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292100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323215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0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SCHEDULE 14A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0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 the Securities Exchange Act of 1934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(Amendment No. )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ArriVent BioPharma,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1430655</wp:posOffset>
            </wp:positionH>
            <wp:positionV relativeFrom="paragraph">
              <wp:posOffset>20320</wp:posOffset>
            </wp:positionV>
            <wp:extent cx="428371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7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1430655</wp:posOffset>
            </wp:positionH>
            <wp:positionV relativeFrom="paragraph">
              <wp:posOffset>268605</wp:posOffset>
            </wp:positionV>
            <wp:extent cx="428371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7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2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</w:t>
      </w:r>
    </w:p>
    <w:p>
      <w:pPr>
        <w:spacing w:after="0" w:line="1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132080</wp:posOffset>
            </wp:positionV>
            <wp:extent cx="71443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155575</wp:posOffset>
            </wp:positionV>
            <wp:extent cx="714438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561975</wp:posOffset>
            </wp:positionV>
            <wp:extent cx="714438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8" w:top="72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542290</wp:posOffset>
            </wp:positionV>
            <wp:extent cx="6776720" cy="89344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9100" cy="89344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2026-04-28T15:58:52Z</dcterms:created>
  <dcterms:modified xsi:type="dcterms:W3CDTF">2026-04-28T15:58:52Z</dcterms:modified>
</cp:coreProperties>
</file>