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18466d1_8k.htm"/>
      <w:bookmarkStart w:id="1" w:name="kstm2618466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61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June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ARRIVENT BIOPHARMA,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165"/>
        <w:gridCol w:w="60"/>
        <w:gridCol w:w="221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60618"/>
            <w:bookmarkEnd w:id="6"/>
            <w:r>
              <w:rPr>
                <w:rFonts w:ascii="Times New Roman;Times;Serif" w:hAnsi="Times New Roman;Times;Serif"/>
                <w:b/>
                <w:sz w:val="20"/>
              </w:rPr>
              <w:t>001-41929</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86-3336099</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3215"/>
        <w:gridCol w:w="60"/>
        <w:gridCol w:w="845"/>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18 Campus Boulevard, </w:t>
            </w:r>
            <w:bookmarkStart w:id="9" w:name="xdx_90B_edei--EntityAddressAddressLine2_"/>
            <w:bookmarkEnd w:id="9"/>
            <w:r>
              <w:rPr>
                <w:rFonts w:ascii="Times New Roman;Times;Serif" w:hAnsi="Times New Roman;Times;Serif"/>
                <w:b/>
                <w:i w:val="false"/>
                <w:caps w:val="false"/>
                <w:smallCaps w:val="false"/>
                <w:sz w:val="20"/>
              </w:rPr>
              <w:t>Suite 100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Newtown Square, </w:t>
            </w:r>
            <w:bookmarkStart w:id="11" w:name="xdx_90A_edei--EntityAddressStateOrProvin"/>
            <w:bookmarkEnd w:id="11"/>
            <w:r>
              <w:rPr>
                <w:rFonts w:ascii="Times New Roman;Times;Serif" w:hAnsi="Times New Roman;Times;Serif"/>
                <w:b/>
                <w:i w:val="false"/>
                <w:caps w:val="false"/>
                <w:smallCaps w:val="false"/>
                <w:sz w:val="20"/>
              </w:rPr>
              <w:t>PA</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b/>
                <w:sz w:val="20"/>
              </w:rPr>
            </w:pPr>
            <w:bookmarkStart w:id="12" w:name="xdx_901_edei--EntityAddressPostalZipCode"/>
            <w:bookmarkEnd w:id="12"/>
            <w:r>
              <w:rPr>
                <w:rFonts w:ascii="Times New Roman;Times;Serif" w:hAnsi="Times New Roman;Times;Serif"/>
                <w:b/>
                <w:sz w:val="20"/>
              </w:rPr>
              <w:t>19073</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w:t>
      </w:r>
      <w:bookmarkStart w:id="13" w:name="xdx_90C_edei--CityAreaCode_c20260618__20"/>
      <w:bookmarkEnd w:id="13"/>
      <w:r>
        <w:rPr>
          <w:rFonts w:ascii="Times New Roman;Times;Serif" w:hAnsi="Times New Roman;Times;Serif"/>
          <w:b/>
          <w:i w:val="false"/>
          <w:caps w:val="false"/>
          <w:smallCaps w:val="false"/>
          <w:sz w:val="20"/>
        </w:rPr>
        <w:t xml:space="preserve">628) </w:t>
      </w:r>
      <w:bookmarkStart w:id="14" w:name="xdx_90F_edei--LocalPhoneNumber_c20260618"/>
      <w:bookmarkEnd w:id="14"/>
      <w:r>
        <w:rPr>
          <w:rFonts w:ascii="Times New Roman;Times;Serif" w:hAnsi="Times New Roman;Times;Serif"/>
          <w:b/>
          <w:i w:val="false"/>
          <w:caps w:val="false"/>
          <w:smallCaps w:val="false"/>
          <w:sz w:val="20"/>
        </w:rPr>
        <w:t>277-4836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A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5_edei--SolicitingMaterial_c202606"/>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2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40" w:type="dxa"/>
        <w:jc w:val="left"/>
        <w:tblInd w:w="0" w:type="dxa"/>
        <w:tblLayout w:type="fixed"/>
        <w:tblCellMar>
          <w:top w:w="0" w:type="dxa"/>
          <w:left w:w="0" w:type="dxa"/>
          <w:bottom w:w="30" w:type="dxa"/>
          <w:right w:w="0" w:type="dxa"/>
        </w:tblCellMar>
      </w:tblPr>
      <w:tblGrid>
        <w:gridCol w:w="3785"/>
        <w:gridCol w:w="60"/>
        <w:gridCol w:w="860"/>
        <w:gridCol w:w="60"/>
        <w:gridCol w:w="2675"/>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0_edei--Security12bTitle_c20260618"/>
            <w:bookmarkEnd w:id="19"/>
            <w:r>
              <w:rPr>
                <w:rFonts w:ascii="Times New Roman;Times;Serif" w:hAnsi="Times New Roman;Times;Serif"/>
                <w:b/>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E_edei--TradingSymbol_c20260618__2"/>
            <w:bookmarkEnd w:id="20"/>
            <w:r>
              <w:rPr>
                <w:rFonts w:ascii="Times New Roman;Times;Serif" w:hAnsi="Times New Roman;Times;Serif"/>
                <w:b/>
                <w:sz w:val="20"/>
              </w:rPr>
              <w:t>AVBP</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8_edei--SecurityExchangeName_c2026"/>
            <w:bookmarkEnd w:id="21"/>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3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A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ArriVent BioPharma, Inc. (the “Company”) held its 2026 annual meeting of stockholders (the “Annual Meeting”) via live audio webcast on the Internet. Of the 46,368,442 shares of common stock, par value $0.0001 per share, issued and outstanding and eligible to vote as of the record date of April 21, 2026, a quorum of 33,418,793 shares, or 72.07% of the eligible shares, was present at the meeting or represented by proxy.</w:t>
      </w:r>
    </w:p>
    <w:p>
      <w:pPr>
        <w:pStyle w:val="TextBody"/>
        <w:shd w:fill="FFFFFF" w:val="clear"/>
        <w:bidi w:val="0"/>
        <w:spacing w:before="0" w:after="0"/>
        <w:ind w:left="0" w:right="0" w:firstLine="408"/>
        <w:jc w:val="left"/>
        <w:rPr>
          <w:caps w:val="false"/>
          <w:smallCaps w:val="false"/>
        </w:rPr>
      </w:pPr>
      <w:r>
        <w:rPr>
          <w:caps w:val="false"/>
          <w:smallCaps w:val="false"/>
        </w:rPr>
        <w:t> </w:t>
      </w:r>
    </w:p>
    <w:p>
      <w:pPr>
        <w:pStyle w:val="TextBody"/>
        <w:shd w:fill="FFFFFF" w:val="clear"/>
        <w:bidi w:val="0"/>
        <w:spacing w:before="0" w:after="0"/>
        <w:ind w:left="0" w:right="0" w:firstLine="4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the stockholders: (1) elected each of James Healy, M.D., Ph.D., John Hohneker, M.D., and Stuart Lutzker, M.D., Ph.D. to the Company’s board of directors as a Class II director for a term of three years to serve until the 2029 annual meeting of stockholders and until his or her successor is duly elected and qualified or until his or her earlier death, resignation, or removal (“Election of Directors”); and (2) ratified the appointment of PricewaterhouseCoopers LLP as the Company’s independent registered public accounting firm for the fiscal year ending December 31, 2026 (“Auditor Ratification”). A more complete description of each of these matters is set forth in the Company’s definitive proxy statement on Schedule 14A filed with the Securities and Exchange Commission on April 28, 2026.</w:t>
      </w:r>
    </w:p>
    <w:p>
      <w:pPr>
        <w:pStyle w:val="TextBody"/>
        <w:shd w:fill="FFFFFF" w:val="clear"/>
        <w:bidi w:val="0"/>
        <w:spacing w:before="0" w:after="0"/>
        <w:ind w:left="0" w:right="0" w:firstLine="408"/>
        <w:jc w:val="left"/>
        <w:rPr>
          <w:caps w:val="false"/>
          <w:smallCaps w:val="false"/>
        </w:rPr>
      </w:pPr>
      <w:r>
        <w:rPr>
          <w:caps w:val="false"/>
          <w:smallCaps w:val="false"/>
        </w:rPr>
        <w:t> </w:t>
      </w:r>
    </w:p>
    <w:p>
      <w:pPr>
        <w:pStyle w:val="TextBody"/>
        <w:shd w:fill="FFFFFF" w:val="clear"/>
        <w:bidi w:val="0"/>
        <w:spacing w:before="0" w:after="0"/>
        <w:ind w:left="0" w:right="0" w:firstLine="40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votes cast in favor or against or withheld by the stockholders and, where applicable, the number of abstentions and the number of broker non-votes on each of the foregoing matters are set forth below.</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Election of Directors</w:t>
      </w:r>
    </w:p>
    <w:p>
      <w:pPr>
        <w:pStyle w:val="TextBody"/>
        <w:bidi w:val="0"/>
        <w:spacing w:before="0" w:after="0"/>
        <w:jc w:val="left"/>
        <w:rPr>
          <w:caps w:val="false"/>
          <w:smallCaps w:val="false"/>
        </w:rPr>
      </w:pPr>
      <w:r>
        <w:rPr>
          <w:caps w:val="false"/>
          <w:smallCaps w:val="false"/>
        </w:rPr>
        <w:t> </w:t>
      </w:r>
    </w:p>
    <w:tbl>
      <w:tblPr>
        <w:tblW w:w="7685" w:type="dxa"/>
        <w:jc w:val="left"/>
        <w:tblInd w:w="0" w:type="dxa"/>
        <w:tblLayout w:type="fixed"/>
        <w:tblCellMar>
          <w:top w:w="0" w:type="dxa"/>
          <w:left w:w="0" w:type="dxa"/>
          <w:bottom w:w="28" w:type="dxa"/>
          <w:right w:w="0" w:type="dxa"/>
        </w:tblCellMar>
      </w:tblPr>
      <w:tblGrid>
        <w:gridCol w:w="2255"/>
        <w:gridCol w:w="60"/>
        <w:gridCol w:w="1490"/>
        <w:gridCol w:w="60"/>
        <w:gridCol w:w="2225"/>
        <w:gridCol w:w="60"/>
        <w:gridCol w:w="1535"/>
      </w:tblGrid>
      <w:tr>
        <w:trPr/>
        <w:tc>
          <w:tcPr>
            <w:tcW w:w="225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Nominee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Voted For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2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Voted to Withhold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2255" w:type="dxa"/>
            <w:tcBorders/>
            <w:shd w:fill="CFF0FC"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James Healy, M.D., Ph.D. </w:t>
            </w:r>
          </w:p>
        </w:tc>
        <w:tc>
          <w:tcPr>
            <w:tcW w:w="60" w:type="dxa"/>
            <w:tcBorders/>
            <w:shd w:fill="CFF0FC" w:val="clear"/>
            <w:tcMar>
              <w:bottom w:w="0" w:type="dxa"/>
            </w:tcMar>
            <w:vAlign w:val="center"/>
          </w:tcPr>
          <w:p>
            <w:pPr>
              <w:pStyle w:val="TableContents"/>
              <w:bidi w:val="0"/>
              <w:spacing w:before="0" w:after="283"/>
              <w:jc w:val="center"/>
              <w:rPr/>
            </w:pPr>
            <w:r>
              <w:rPr/>
              <w:t> </w:t>
            </w:r>
          </w:p>
        </w:tc>
        <w:tc>
          <w:tcPr>
            <w:tcW w:w="1490" w:type="dxa"/>
            <w:tcBorders/>
            <w:shd w:fill="CFF0FC"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18,058,285</w:t>
            </w:r>
          </w:p>
        </w:tc>
        <w:tc>
          <w:tcPr>
            <w:tcW w:w="60" w:type="dxa"/>
            <w:tcBorders/>
            <w:shd w:fill="CFF0FC" w:val="clear"/>
            <w:tcMar>
              <w:bottom w:w="0" w:type="dxa"/>
            </w:tcMar>
            <w:vAlign w:val="center"/>
          </w:tcPr>
          <w:p>
            <w:pPr>
              <w:pStyle w:val="TableContents"/>
              <w:bidi w:val="0"/>
              <w:spacing w:before="0" w:after="283"/>
              <w:jc w:val="center"/>
              <w:rPr/>
            </w:pPr>
            <w:r>
              <w:rPr/>
              <w:t> </w:t>
            </w:r>
          </w:p>
        </w:tc>
        <w:tc>
          <w:tcPr>
            <w:tcW w:w="2225" w:type="dxa"/>
            <w:tcBorders/>
            <w:shd w:fill="CFF0FC"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11,527,650</w:t>
            </w:r>
          </w:p>
        </w:tc>
        <w:tc>
          <w:tcPr>
            <w:tcW w:w="60" w:type="dxa"/>
            <w:tcBorders/>
            <w:shd w:fill="CFF0FC" w:val="clear"/>
            <w:tcMar>
              <w:bottom w:w="0" w:type="dxa"/>
            </w:tcMar>
            <w:vAlign w:val="center"/>
          </w:tcPr>
          <w:p>
            <w:pPr>
              <w:pStyle w:val="TableContents"/>
              <w:bidi w:val="0"/>
              <w:spacing w:before="0" w:after="283"/>
              <w:jc w:val="center"/>
              <w:rPr/>
            </w:pPr>
            <w:r>
              <w:rPr/>
              <w:t> </w:t>
            </w:r>
          </w:p>
        </w:tc>
        <w:tc>
          <w:tcPr>
            <w:tcW w:w="1535" w:type="dxa"/>
            <w:tcBorders/>
            <w:shd w:fill="CFF0FC"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3,832,858</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Hohneker, M.D.</w:t>
            </w:r>
          </w:p>
        </w:tc>
        <w:tc>
          <w:tcPr>
            <w:tcW w:w="60" w:type="dxa"/>
            <w:tcBorders/>
            <w:tcMar>
              <w:bottom w:w="0" w:type="dxa"/>
            </w:tcMar>
            <w:vAlign w:val="center"/>
          </w:tcPr>
          <w:p>
            <w:pPr>
              <w:pStyle w:val="TableContents"/>
              <w:bidi w:val="0"/>
              <w:spacing w:before="0" w:after="283"/>
              <w:jc w:val="center"/>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28,043,164</w:t>
            </w:r>
          </w:p>
        </w:tc>
        <w:tc>
          <w:tcPr>
            <w:tcW w:w="60" w:type="dxa"/>
            <w:tcBorders/>
            <w:tcMar>
              <w:bottom w:w="0" w:type="dxa"/>
            </w:tcMar>
            <w:vAlign w:val="center"/>
          </w:tcPr>
          <w:p>
            <w:pPr>
              <w:pStyle w:val="TableContents"/>
              <w:bidi w:val="0"/>
              <w:spacing w:before="0" w:after="283"/>
              <w:jc w:val="center"/>
              <w:rPr/>
            </w:pPr>
            <w:r>
              <w:rPr/>
              <w:t> </w:t>
            </w:r>
          </w:p>
        </w:tc>
        <w:tc>
          <w:tcPr>
            <w:tcW w:w="22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1,542,771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3,832,858</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Stuart Lutzker, M.D., Ph.D. </w:t>
            </w:r>
          </w:p>
        </w:tc>
        <w:tc>
          <w:tcPr>
            <w:tcW w:w="60" w:type="dxa"/>
            <w:tcBorders/>
            <w:tcMar>
              <w:bottom w:w="0" w:type="dxa"/>
            </w:tcMar>
            <w:vAlign w:val="center"/>
          </w:tcPr>
          <w:p>
            <w:pPr>
              <w:pStyle w:val="TableContents"/>
              <w:bidi w:val="0"/>
              <w:spacing w:before="0" w:after="283"/>
              <w:jc w:val="center"/>
              <w:rPr/>
            </w:pPr>
            <w:r>
              <w:rPr/>
              <w:t> </w:t>
            </w:r>
          </w:p>
        </w:tc>
        <w:tc>
          <w:tcPr>
            <w:tcW w:w="1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29,495,923</w:t>
            </w:r>
          </w:p>
        </w:tc>
        <w:tc>
          <w:tcPr>
            <w:tcW w:w="60" w:type="dxa"/>
            <w:tcBorders/>
            <w:tcMar>
              <w:bottom w:w="0" w:type="dxa"/>
            </w:tcMar>
            <w:vAlign w:val="center"/>
          </w:tcPr>
          <w:p>
            <w:pPr>
              <w:pStyle w:val="TableContents"/>
              <w:bidi w:val="0"/>
              <w:spacing w:before="0" w:after="283"/>
              <w:jc w:val="center"/>
              <w:rPr/>
            </w:pPr>
            <w:r>
              <w:rPr/>
              <w:t> </w:t>
            </w:r>
          </w:p>
        </w:tc>
        <w:tc>
          <w:tcPr>
            <w:tcW w:w="22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90,012</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3,832,858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Auditor Ratification</w:t>
      </w:r>
    </w:p>
    <w:p>
      <w:pPr>
        <w:pStyle w:val="TextBody"/>
        <w:bidi w:val="0"/>
        <w:spacing w:before="0" w:after="0"/>
        <w:ind w:left="0" w:right="0" w:hanging="0"/>
        <w:jc w:val="left"/>
        <w:rPr>
          <w:caps w:val="false"/>
          <w:smallCaps w:val="false"/>
        </w:rPr>
      </w:pPr>
      <w:r>
        <w:rPr>
          <w:caps w:val="false"/>
          <w:smallCaps w:val="false"/>
        </w:rPr>
        <w:t> </w:t>
      </w:r>
    </w:p>
    <w:tbl>
      <w:tblPr>
        <w:tblW w:w="6590" w:type="dxa"/>
        <w:jc w:val="left"/>
        <w:tblInd w:w="0" w:type="dxa"/>
        <w:tblLayout w:type="fixed"/>
        <w:tblCellMar>
          <w:top w:w="0" w:type="dxa"/>
          <w:left w:w="0" w:type="dxa"/>
          <w:bottom w:w="28" w:type="dxa"/>
          <w:right w:w="0" w:type="dxa"/>
        </w:tblCellMar>
      </w:tblPr>
      <w:tblGrid>
        <w:gridCol w:w="1505"/>
        <w:gridCol w:w="60"/>
        <w:gridCol w:w="1820"/>
        <w:gridCol w:w="60"/>
        <w:gridCol w:w="1550"/>
        <w:gridCol w:w="60"/>
        <w:gridCol w:w="1535"/>
      </w:tblGrid>
      <w:tr>
        <w:trPr/>
        <w:tc>
          <w:tcPr>
            <w:tcW w:w="150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Voted For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Voted Against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Abstaining</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1505" w:type="dxa"/>
            <w:tcBorders/>
            <w:shd w:fill="CFF0FC"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33,411,773</w:t>
            </w:r>
          </w:p>
        </w:tc>
        <w:tc>
          <w:tcPr>
            <w:tcW w:w="60" w:type="dxa"/>
            <w:tcBorders/>
            <w:shd w:fill="CFF0FC" w:val="clear"/>
            <w:tcMar>
              <w:bottom w:w="0" w:type="dxa"/>
            </w:tcMar>
            <w:vAlign w:val="center"/>
          </w:tcPr>
          <w:p>
            <w:pPr>
              <w:pStyle w:val="TableContents"/>
              <w:bidi w:val="0"/>
              <w:spacing w:before="0" w:after="283"/>
              <w:jc w:val="center"/>
              <w:rPr/>
            </w:pPr>
            <w:r>
              <w:rPr/>
              <w:t> </w:t>
            </w:r>
          </w:p>
        </w:tc>
        <w:tc>
          <w:tcPr>
            <w:tcW w:w="1820" w:type="dxa"/>
            <w:tcBorders/>
            <w:shd w:fill="CFF0FC"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829</w:t>
            </w:r>
          </w:p>
        </w:tc>
        <w:tc>
          <w:tcPr>
            <w:tcW w:w="60" w:type="dxa"/>
            <w:tcBorders/>
            <w:shd w:fill="CFF0FC" w:val="clear"/>
            <w:tcMar>
              <w:bottom w:w="0" w:type="dxa"/>
            </w:tcMar>
            <w:vAlign w:val="center"/>
          </w:tcPr>
          <w:p>
            <w:pPr>
              <w:pStyle w:val="TableContents"/>
              <w:bidi w:val="0"/>
              <w:spacing w:before="0" w:after="283"/>
              <w:jc w:val="center"/>
              <w:rPr/>
            </w:pPr>
            <w:r>
              <w:rPr/>
              <w:t> </w:t>
            </w:r>
          </w:p>
        </w:tc>
        <w:tc>
          <w:tcPr>
            <w:tcW w:w="1550" w:type="dxa"/>
            <w:tcBorders/>
            <w:shd w:fill="CFF0FC"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6,191</w:t>
            </w:r>
          </w:p>
        </w:tc>
        <w:tc>
          <w:tcPr>
            <w:tcW w:w="60" w:type="dxa"/>
            <w:tcBorders/>
            <w:shd w:fill="CFF0FC" w:val="clear"/>
            <w:tcMar>
              <w:bottom w:w="0" w:type="dxa"/>
            </w:tcMar>
            <w:vAlign w:val="center"/>
          </w:tcPr>
          <w:p>
            <w:pPr>
              <w:pStyle w:val="TableContents"/>
              <w:bidi w:val="0"/>
              <w:spacing w:before="0" w:after="283"/>
              <w:jc w:val="center"/>
              <w:rPr/>
            </w:pPr>
            <w:r>
              <w:rPr/>
              <w:t> </w:t>
            </w:r>
          </w:p>
        </w:tc>
        <w:tc>
          <w:tcPr>
            <w:tcW w:w="1535" w:type="dxa"/>
            <w:tcBorders/>
            <w:shd w:fill="CFF0FC"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320"/>
        <w:gridCol w:w="3035"/>
      </w:tblGrid>
      <w:tr>
        <w:trPr/>
        <w:tc>
          <w:tcPr>
            <w:tcW w:w="75" w:type="dxa"/>
            <w:tcBorders/>
            <w:vAlign w:val="center"/>
          </w:tcPr>
          <w:p>
            <w:pPr>
              <w:pStyle w:val="TableContents"/>
              <w:bidi w:val="0"/>
              <w:spacing w:before="0" w:after="283"/>
              <w:jc w:val="left"/>
              <w:rPr/>
            </w:pPr>
            <w:r>
              <w:rPr/>
              <w:t> </w:t>
            </w:r>
          </w:p>
        </w:tc>
        <w:tc>
          <w:tcPr>
            <w:tcW w:w="33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ARRIVENT BIOPHARMA,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Winston Kung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Winston Kung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3544</Characters>
  <CharactersWithSpaces>4207</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