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46" w:lineRule="exact"/>
        <w:rPr>
          <w:sz w:val="24"/>
          <w:szCs w:val="24"/>
          <w:color w:val="auto"/>
        </w:rPr>
      </w:pPr>
    </w:p>
    <w:p>
      <w:pPr>
        <w:ind w:left="3400" w:right="1340" w:hanging="3392"/>
        <w:spacing w:after="0" w:line="353" w:lineRule="auto"/>
        <w:tabs>
          <w:tab w:leader="none" w:pos="334"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2024</w:t>
      </w:r>
    </w:p>
    <w:p>
      <w:pPr>
        <w:spacing w:after="0" w:line="20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9" w:lineRule="exact"/>
        <w:rPr>
          <w:sz w:val="24"/>
          <w:szCs w:val="24"/>
          <w:color w:val="auto"/>
        </w:rPr>
      </w:pPr>
    </w:p>
    <w:p>
      <w:pPr>
        <w:jc w:val="center"/>
        <w:ind w:right="-19"/>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001-41929</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ARRIVENT BIOPHARMA,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tbl>
      <w:tblPr>
        <w:tblLayout w:type="fixed"/>
        <w:tblInd w:w="500" w:type="dxa"/>
        <w:tblCellMar>
          <w:top w:w="0" w:type="dxa"/>
          <w:left w:w="0" w:type="dxa"/>
          <w:bottom w:w="0" w:type="dxa"/>
          <w:right w:w="0" w:type="dxa"/>
        </w:tblCellMar>
      </w:tblPr>
      <w:tr>
        <w:trPr>
          <w:trHeight w:val="204"/>
        </w:trPr>
        <w:tc>
          <w:tcPr>
            <w:tcW w:w="4860" w:type="dxa"/>
            <w:vAlign w:val="bottom"/>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86-3336099</w:t>
            </w:r>
          </w:p>
        </w:tc>
      </w:tr>
      <w:tr>
        <w:trPr>
          <w:trHeight w:val="210"/>
        </w:trPr>
        <w:tc>
          <w:tcPr>
            <w:tcW w:w="4860" w:type="dxa"/>
            <w:vAlign w:val="bottom"/>
          </w:tcPr>
          <w:p>
            <w:pPr>
              <w:jc w:val="center"/>
              <w:ind w:right="819"/>
              <w:spacing w:after="0"/>
              <w:rPr>
                <w:sz w:val="20"/>
                <w:szCs w:val="20"/>
                <w:color w:val="auto"/>
              </w:rPr>
            </w:pPr>
            <w:r>
              <w:rPr>
                <w:rFonts w:ascii="Times New Roman" w:cs="Times New Roman" w:eastAsia="Times New Roman" w:hAnsi="Times New Roman"/>
                <w:sz w:val="16"/>
                <w:szCs w:val="16"/>
                <w:color w:val="auto"/>
              </w:rPr>
              <w:t>(State of Other Jurisdiction of incorporation or Organization)</w:t>
            </w:r>
          </w:p>
        </w:tc>
        <w:tc>
          <w:tcPr>
            <w:tcW w:w="32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76"/>
        </w:trPr>
        <w:tc>
          <w:tcPr>
            <w:tcW w:w="4860" w:type="dxa"/>
            <w:vAlign w:val="bottom"/>
          </w:tcPr>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18 Campus Boulevard Suite 100, Newtown Square, PA</w:t>
            </w:r>
          </w:p>
        </w:tc>
        <w:tc>
          <w:tcPr>
            <w:tcW w:w="32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19073</w:t>
            </w:r>
          </w:p>
        </w:tc>
      </w:tr>
      <w:tr>
        <w:trPr>
          <w:trHeight w:val="210"/>
        </w:trPr>
        <w:tc>
          <w:tcPr>
            <w:tcW w:w="4860" w:type="dxa"/>
            <w:vAlign w:val="bottom"/>
          </w:tcPr>
          <w:p>
            <w:pPr>
              <w:jc w:val="center"/>
              <w:ind w:right="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(628) 277-4836</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60"/>
        </w:trPr>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20" w:type="dxa"/>
            <w:vAlign w:val="bottom"/>
            <w:gridSpan w:val="3"/>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178"/>
        </w:trPr>
        <w:tc>
          <w:tcPr>
            <w:tcW w:w="1020" w:type="dxa"/>
            <w:vAlign w:val="bottom"/>
          </w:tcPr>
          <w:p>
            <w:pPr>
              <w:spacing w:after="0"/>
              <w:rPr>
                <w:sz w:val="15"/>
                <w:szCs w:val="15"/>
                <w:color w:val="auto"/>
              </w:rPr>
            </w:pPr>
          </w:p>
        </w:tc>
        <w:tc>
          <w:tcPr>
            <w:tcW w:w="13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2000" w:type="dxa"/>
            <w:vAlign w:val="bottom"/>
          </w:tcPr>
          <w:p>
            <w:pPr>
              <w:spacing w:after="0"/>
              <w:rPr>
                <w:sz w:val="15"/>
                <w:szCs w:val="15"/>
                <w:color w:val="auto"/>
              </w:rPr>
            </w:pPr>
          </w:p>
        </w:tc>
        <w:tc>
          <w:tcPr>
            <w:tcW w:w="12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20" w:type="dxa"/>
            <w:vAlign w:val="bottom"/>
            <w:gridSpan w:val="3"/>
          </w:tcPr>
          <w:p>
            <w:pPr>
              <w:jc w:val="center"/>
              <w:ind w:left="1639"/>
              <w:spacing w:after="0" w:line="178" w:lineRule="exact"/>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0"/>
        </w:trPr>
        <w:tc>
          <w:tcPr>
            <w:tcW w:w="1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4320" w:type="dxa"/>
            <w:vAlign w:val="bottom"/>
            <w:gridSpan w:val="3"/>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AVBP</w:t>
            </w:r>
          </w:p>
        </w:tc>
        <w:tc>
          <w:tcPr>
            <w:tcW w:w="3620" w:type="dxa"/>
            <w:vAlign w:val="bottom"/>
            <w:gridSpan w:val="3"/>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bl>
    <w:p>
      <w:pPr>
        <w:spacing w:after="0" w:line="60"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6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Accelerated filer</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 number of outstanding shares of the registrant’s common stock as of August 12, 2024 was 33,585,893.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492125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63500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106045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60" w:right="119" w:firstLine="36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that involve risks and uncertainties. All statements other than statements of historical facts contained in this Quarterly Report,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60" w:right="199" w:firstLine="36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80" w:lineRule="exact"/>
        <w:rPr>
          <w:sz w:val="20"/>
          <w:szCs w:val="20"/>
          <w:color w:val="auto"/>
        </w:rPr>
      </w:pPr>
    </w:p>
    <w:p>
      <w:pPr>
        <w:ind w:left="720" w:right="1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firmonertinib (rINN; also known as furmonertinib) or any of our other current or future product candidates, including our product development plans and strategies;</w:t>
      </w:r>
    </w:p>
    <w:p>
      <w:pPr>
        <w:spacing w:after="0" w:line="175"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future revenue, key performance indicators, expenses, capital requirements and our needs for additional financing;</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 and approvals;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 candidates and technology;</w:t>
      </w:r>
    </w:p>
    <w:p>
      <w:pPr>
        <w:spacing w:after="0" w:line="22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sufficient clinical product for our clinical trials and, if our product candidates are approved and commercialized, commercial product;</w:t>
      </w:r>
    </w:p>
    <w:p>
      <w:pPr>
        <w:spacing w:after="0" w:line="161"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health epidemics and outbreaks, including the novel coronavirus (COVID-19), on our business;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the “Risk Factors” section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9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In addition, statements that “we believe” and similar statements reflect our beliefs and opinions on the relevant subject and are based on information available to us as of the date of this Quarterly Report. Although we believe such information forms a reasonable basis for the expectations reflected in the forward-looking statements, such information may be limited or incomplete, and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to conform these statements to new information, actual results or to changes in our expectations, except as required by law.</w:t>
      </w:r>
    </w:p>
    <w:p>
      <w:pPr>
        <w:spacing w:after="0" w:line="19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with the Securities and Exchange Commission (the SEC) as exhibits to this Quarterly Report with the understanding that our actual future results, levels of activity, performance, and events and circumstances may be materially different from what we expect.</w:t>
      </w:r>
    </w:p>
    <w:p>
      <w:pPr>
        <w:spacing w:after="0" w:line="180"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contains references to our trademarks and to trademarks belonging to other entities. Solely for convenience, trademarks and trade names referred to in this Quarterly Report,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8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80" w:type="dxa"/>
            <w:vAlign w:val="bottom"/>
          </w:tcPr>
          <w:p>
            <w:pPr>
              <w:spacing w:after="0"/>
              <w:rPr>
                <w:sz w:val="20"/>
                <w:szCs w:val="20"/>
                <w:color w:val="auto"/>
              </w:rPr>
            </w:pPr>
          </w:p>
        </w:tc>
      </w:tr>
      <w:tr>
        <w:trPr>
          <w:trHeight w:val="44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40" w:type="dxa"/>
            <w:vAlign w:val="bottom"/>
            <w:tcBorders>
              <w:bottom w:val="single" w:sz="8" w:color="0000EE"/>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1440" w:type="dxa"/>
            <w:vAlign w:val="bottom"/>
            <w:gridSpan w:val="2"/>
          </w:tcPr>
          <w:p>
            <w:pPr>
              <w:spacing w:after="0"/>
              <w:rPr>
                <w:sz w:val="24"/>
                <w:szCs w:val="24"/>
                <w:color w:val="auto"/>
              </w:rPr>
            </w:pPr>
          </w:p>
        </w:tc>
        <w:tc>
          <w:tcPr>
            <w:tcW w:w="1680" w:type="dxa"/>
            <w:vAlign w:val="bottom"/>
          </w:tcPr>
          <w:p>
            <w:pPr>
              <w:spacing w:after="0"/>
              <w:rPr>
                <w:sz w:val="24"/>
                <w:szCs w:val="24"/>
                <w:color w:val="auto"/>
              </w:rPr>
            </w:pPr>
          </w:p>
        </w:tc>
      </w:tr>
      <w:tr>
        <w:trPr>
          <w:trHeight w:val="412"/>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4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Balance Sheets</w:t>
            </w:r>
          </w:p>
        </w:tc>
        <w:tc>
          <w:tcPr>
            <w:tcW w:w="1380" w:type="dxa"/>
            <w:vAlign w:val="bottom"/>
            <w:tcBorders>
              <w:top w:val="single" w:sz="8" w:color="0000EE"/>
            </w:tcBorders>
            <w:gridSpan w:val="7"/>
          </w:tcPr>
          <w:p>
            <w:pPr>
              <w:spacing w:after="0"/>
              <w:rPr>
                <w:sz w:val="17"/>
                <w:szCs w:val="17"/>
                <w:color w:val="auto"/>
              </w:rPr>
            </w:pPr>
          </w:p>
        </w:tc>
        <w:tc>
          <w:tcPr>
            <w:tcW w:w="3980" w:type="dxa"/>
            <w:vAlign w:val="bottom"/>
            <w:gridSpan w:val="6"/>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Convertible Preferred Stock and Stockholders’ Equity (Deficit)</w:t>
            </w:r>
          </w:p>
        </w:tc>
        <w:tc>
          <w:tcPr>
            <w:tcW w:w="86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w:t>
            </w:r>
          </w:p>
        </w:tc>
        <w:tc>
          <w:tcPr>
            <w:tcW w:w="4580" w:type="dxa"/>
            <w:vAlign w:val="bottom"/>
            <w:gridSpan w:val="9"/>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Interim Financial Statements</w:t>
            </w:r>
          </w:p>
        </w:tc>
        <w:tc>
          <w:tcPr>
            <w:tcW w:w="3720" w:type="dxa"/>
            <w:vAlign w:val="bottom"/>
            <w:gridSpan w:val="5"/>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412"/>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40" w:type="dxa"/>
            <w:vAlign w:val="bottom"/>
            <w:gridSpan w:val="8"/>
          </w:tcPr>
          <w:p>
            <w:pPr>
              <w:jc w:val="center"/>
              <w:ind w:right="1600"/>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1680" w:type="dxa"/>
            <w:vAlign w:val="bottom"/>
          </w:tcPr>
          <w:p>
            <w:pPr>
              <w:spacing w:after="0"/>
              <w:rPr>
                <w:sz w:val="24"/>
                <w:szCs w:val="24"/>
                <w:color w:val="auto"/>
              </w:rPr>
            </w:pPr>
          </w:p>
        </w:tc>
      </w:tr>
      <w:tr>
        <w:trPr>
          <w:trHeight w:val="412"/>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940" w:type="dxa"/>
            <w:vAlign w:val="bottom"/>
            <w:tcBorders>
              <w:top w:val="single" w:sz="8" w:color="0000EE"/>
            </w:tcBorders>
            <w:gridSpan w:val="5"/>
          </w:tcPr>
          <w:p>
            <w:pPr>
              <w:spacing w:after="0"/>
              <w:rPr>
                <w:sz w:val="24"/>
                <w:szCs w:val="24"/>
                <w:color w:val="auto"/>
              </w:rPr>
            </w:pPr>
          </w:p>
        </w:tc>
        <w:tc>
          <w:tcPr>
            <w:tcW w:w="1600" w:type="dxa"/>
            <w:vAlign w:val="bottom"/>
            <w:gridSpan w:val="3"/>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4660" w:type="dxa"/>
            <w:vAlign w:val="bottom"/>
            <w:gridSpan w:val="1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140" w:type="dxa"/>
            <w:vAlign w:val="bottom"/>
            <w:gridSpan w:val="1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 operating leases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308,855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163,098</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amount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150,000,000 shares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150,000,000 shares issued and outstanding at December 31, 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$0.0001 par value, 147,619,034 shares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147,619,034 shares issued and outstanding at December 31, 2023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154,625</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outstanding</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33,509,090 and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2,745,480 shares issued and outstanding at June 30, 2024 and December 31, 2023,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(197,136)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296,659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(153,193)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308,855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163,098</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28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21,778</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38,753</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30,594</w:t>
            </w:r>
          </w:p>
        </w:tc>
        <w:tc>
          <w:tcPr>
            <w:tcW w:w="20" w:type="dxa"/>
            <w:vAlign w:val="bottom"/>
          </w:tcPr>
          <w:p>
            <w:pPr>
              <w:spacing w:after="0"/>
              <w:rPr>
                <w:sz w:val="18"/>
                <w:szCs w:val="18"/>
                <w:color w:val="auto"/>
              </w:rPr>
            </w:pPr>
          </w:p>
        </w:tc>
      </w:tr>
      <w:tr>
        <w:trPr>
          <w:trHeight w:val="216"/>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20" w:type="dxa"/>
            <w:vAlign w:val="bottom"/>
            <w:shd w:val="clear" w:color="auto" w:fill="CCEEFF"/>
          </w:tcPr>
          <w:p>
            <w:pPr>
              <w:spacing w:after="0"/>
              <w:rPr>
                <w:sz w:val="18"/>
                <w:szCs w:val="18"/>
                <w:color w:val="auto"/>
              </w:rPr>
            </w:pPr>
          </w:p>
        </w:tc>
      </w:tr>
      <w:tr>
        <w:trPr>
          <w:trHeight w:val="210"/>
        </w:trPr>
        <w:tc>
          <w:tcPr>
            <w:tcW w:w="3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34,756</w:t>
            </w:r>
          </w:p>
        </w:tc>
        <w:tc>
          <w:tcPr>
            <w:tcW w:w="20" w:type="dxa"/>
            <w:vAlign w:val="bottom"/>
            <w:tcBorders>
              <w:bottom w:val="single" w:sz="8" w:color="CCEEFF"/>
            </w:tcBorders>
          </w:tcPr>
          <w:p>
            <w:pPr>
              <w:spacing w:after="0"/>
              <w:rPr>
                <w:sz w:val="18"/>
                <w:szCs w:val="18"/>
                <w:color w:val="auto"/>
              </w:rPr>
            </w:pPr>
          </w:p>
        </w:tc>
      </w:tr>
      <w:tr>
        <w:trPr>
          <w:trHeight w:val="209"/>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(34,756)</w:t>
            </w:r>
          </w:p>
        </w:tc>
        <w:tc>
          <w:tcPr>
            <w:tcW w:w="20" w:type="dxa"/>
            <w:vAlign w:val="bottom"/>
            <w:shd w:val="clear" w:color="auto" w:fill="CCEEFF"/>
          </w:tcPr>
          <w:p>
            <w:pPr>
              <w:spacing w:after="0"/>
              <w:rPr>
                <w:sz w:val="18"/>
                <w:szCs w:val="18"/>
                <w:color w:val="auto"/>
              </w:rPr>
            </w:pPr>
          </w:p>
        </w:tc>
      </w:tr>
      <w:tr>
        <w:trPr>
          <w:trHeight w:val="216"/>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Borders>
              <w:bottom w:val="single" w:sz="8" w:color="CCEEFF"/>
            </w:tcBorders>
          </w:tcPr>
          <w:p>
            <w:pPr>
              <w:spacing w:after="0"/>
              <w:rPr>
                <w:sz w:val="18"/>
                <w:szCs w:val="18"/>
                <w:color w:val="auto"/>
              </w:rPr>
            </w:pPr>
          </w:p>
        </w:tc>
      </w:tr>
      <w:tr>
        <w:trPr>
          <w:trHeight w:val="21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(21,567)</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513" w:right="1440" w:bottom="1440" w:gutter="0" w:footer="0" w:header="0"/>
        </w:sectPr>
      </w:pPr>
    </w:p>
    <w:p>
      <w:pPr>
        <w:ind w:left="60"/>
        <w:spacing w:after="0"/>
        <w:rPr>
          <w:sz w:val="20"/>
          <w:szCs w:val="20"/>
          <w:color w:val="auto"/>
        </w:rPr>
      </w:pPr>
      <w:r>
        <w:rPr>
          <w:rFonts w:ascii="Times New Roman" w:cs="Times New Roman" w:eastAsia="Times New Roman" w:hAnsi="Times New Roman"/>
          <w:sz w:val="18"/>
          <w:szCs w:val="18"/>
          <w:color w:val="auto"/>
        </w:rPr>
        <w:t>Share information:</w:t>
      </w:r>
    </w:p>
    <w:p>
      <w:pPr>
        <w:spacing w:after="0" w:line="27" w:lineRule="exact"/>
        <w:rPr>
          <w:sz w:val="20"/>
          <w:szCs w:val="20"/>
          <w:color w:val="auto"/>
        </w:rPr>
      </w:pPr>
    </w:p>
    <w:p>
      <w:pPr>
        <w:ind w:left="60" w:right="20"/>
        <w:spacing w:after="0" w:line="250" w:lineRule="auto"/>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p>
      <w:pPr>
        <w:spacing w:after="0" w:line="1" w:lineRule="exact"/>
        <w:rPr>
          <w:sz w:val="20"/>
          <w:szCs w:val="20"/>
          <w:color w:val="auto"/>
        </w:rPr>
      </w:pPr>
    </w:p>
    <w:p>
      <w:pPr>
        <w:ind w:left="60"/>
        <w:spacing w:after="0" w:line="260" w:lineRule="auto"/>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tabs>
          <w:tab w:leader="none" w:pos="560" w:val="left"/>
          <w:tab w:leader="none" w:pos="1160" w:val="left"/>
          <w:tab w:leader="none" w:pos="1560" w:val="left"/>
          <w:tab w:leader="none" w:pos="2240" w:val="left"/>
          <w:tab w:leader="none" w:pos="2820" w:val="left"/>
          <w:tab w:leader="none" w:pos="3400" w:val="left"/>
          <w:tab w:leader="none" w:pos="3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(0.65)</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(10.79)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7"/>
          <w:szCs w:val="17"/>
          <w:u w:val="single" w:color="auto"/>
          <w:color w:val="auto"/>
        </w:rPr>
        <w:t>(20.60)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-384810</wp:posOffset>
            </wp:positionV>
            <wp:extent cx="56489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17145</wp:posOffset>
            </wp:positionV>
            <wp:extent cx="5648960"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282575"/>
                    </a:xfrm>
                    <a:prstGeom prst="rect">
                      <a:avLst/>
                    </a:prstGeom>
                    <a:noFill/>
                  </pic:spPr>
                </pic:pic>
              </a:graphicData>
            </a:graphic>
          </wp:anchor>
        </w:drawing>
      </w:r>
    </w:p>
    <w:p>
      <w:pPr>
        <w:spacing w:after="0" w:line="205" w:lineRule="exact"/>
        <w:rPr>
          <w:sz w:val="20"/>
          <w:szCs w:val="20"/>
          <w:color w:val="auto"/>
        </w:rPr>
      </w:pPr>
    </w:p>
    <w:p>
      <w:pPr>
        <w:ind w:left="160"/>
        <w:spacing w:after="0"/>
        <w:tabs>
          <w:tab w:leader="none" w:pos="1300" w:val="left"/>
          <w:tab w:leader="none" w:pos="2380" w:val="left"/>
          <w:tab w:leader="none" w:pos="3560" w:val="left"/>
        </w:tabs>
        <w:rPr>
          <w:sz w:val="20"/>
          <w:szCs w:val="20"/>
          <w:color w:val="auto"/>
        </w:rPr>
      </w:pPr>
      <w:r>
        <w:rPr>
          <w:rFonts w:ascii="Times New Roman" w:cs="Times New Roman" w:eastAsia="Times New Roman" w:hAnsi="Times New Roman"/>
          <w:sz w:val="18"/>
          <w:szCs w:val="18"/>
          <w:color w:val="auto"/>
        </w:rPr>
        <w:t>33,502,347</w:t>
      </w:r>
      <w:r>
        <w:rPr>
          <w:sz w:val="20"/>
          <w:szCs w:val="20"/>
          <w:color w:val="auto"/>
        </w:rPr>
        <w:tab/>
      </w:r>
      <w:r>
        <w:rPr>
          <w:rFonts w:ascii="Times New Roman" w:cs="Times New Roman" w:eastAsia="Times New Roman" w:hAnsi="Times New Roman"/>
          <w:sz w:val="18"/>
          <w:szCs w:val="18"/>
          <w:color w:val="auto"/>
        </w:rPr>
        <w:t>1,999,705</w:t>
      </w:r>
      <w:r>
        <w:rPr>
          <w:sz w:val="20"/>
          <w:szCs w:val="20"/>
          <w:color w:val="auto"/>
        </w:rPr>
        <w:tab/>
      </w:r>
      <w:r>
        <w:rPr>
          <w:rFonts w:ascii="Times New Roman" w:cs="Times New Roman" w:eastAsia="Times New Roman" w:hAnsi="Times New Roman"/>
          <w:sz w:val="18"/>
          <w:szCs w:val="18"/>
          <w:color w:val="auto"/>
        </w:rPr>
        <w:t>29,274,441</w:t>
      </w:r>
      <w:r>
        <w:rPr>
          <w:sz w:val="20"/>
          <w:szCs w:val="20"/>
          <w:color w:val="auto"/>
        </w:rPr>
        <w:tab/>
      </w:r>
      <w:r>
        <w:rPr>
          <w:rFonts w:ascii="Times New Roman" w:cs="Times New Roman" w:eastAsia="Times New Roman" w:hAnsi="Times New Roman"/>
          <w:sz w:val="18"/>
          <w:szCs w:val="18"/>
          <w:color w:val="auto"/>
        </w:rPr>
        <w:t>1,637,623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2768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4080" w:space="500"/>
            <w:col w:w="4439"/>
          </w:cols>
          <w:pgMar w:left="1440" w:top="513" w:right="1440"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0" w:type="dxa"/>
            <w:vAlign w:val="bottom"/>
          </w:tcPr>
          <w:p>
            <w:pPr>
              <w:spacing w:after="0"/>
              <w:rPr>
                <w:sz w:val="3"/>
                <w:szCs w:val="3"/>
                <w:color w:val="auto"/>
              </w:rPr>
            </w:pPr>
          </w:p>
        </w:tc>
        <w:tc>
          <w:tcPr>
            <w:tcW w:w="1720" w:type="dxa"/>
            <w:vAlign w:val="bottom"/>
            <w:gridSpan w:val="4"/>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80" w:type="dxa"/>
            <w:vAlign w:val="bottom"/>
          </w:tcPr>
          <w:p>
            <w:pPr>
              <w:spacing w:after="0"/>
              <w:rPr>
                <w:sz w:val="3"/>
                <w:szCs w:val="3"/>
                <w:color w:val="auto"/>
              </w:rPr>
            </w:pPr>
          </w:p>
        </w:tc>
        <w:tc>
          <w:tcPr>
            <w:tcW w:w="11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3"/>
                <w:szCs w:val="3"/>
                <w:color w:val="auto"/>
              </w:rPr>
            </w:pPr>
          </w:p>
        </w:tc>
        <w:tc>
          <w:tcPr>
            <w:tcW w:w="8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4"/>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8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80" w:type="dxa"/>
            <w:vAlign w:val="bottom"/>
            <w:tcBorders>
              <w:left w:val="single" w:sz="8" w:color="auto"/>
            </w:tcBorders>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left w:val="single" w:sz="8" w:color="auto"/>
            </w:tcBorders>
          </w:tcPr>
          <w:p>
            <w:pPr>
              <w:spacing w:after="0"/>
              <w:rPr>
                <w:sz w:val="13"/>
                <w:szCs w:val="13"/>
                <w:color w:val="auto"/>
              </w:rPr>
            </w:pPr>
          </w:p>
        </w:tc>
        <w:tc>
          <w:tcPr>
            <w:tcW w:w="62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January 1, 2023</w:t>
            </w: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149,865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104,761,894</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109,706</w:t>
            </w:r>
          </w:p>
        </w:tc>
        <w:tc>
          <w:tcPr>
            <w:tcW w:w="80" w:type="dxa"/>
            <w:vAlign w:val="bottom"/>
            <w:tcBorders>
              <w:top w:val="single" w:sz="8" w:color="CCEEFF"/>
              <w:left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2,597,738</w:t>
            </w:r>
          </w:p>
        </w:tc>
        <w:tc>
          <w:tcPr>
            <w:tcW w:w="1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3,403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(88,512)</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(85,109)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convertible preferred stock at</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$1.05 per share, net of</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42,857,140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44,943</w:t>
            </w:r>
          </w:p>
        </w:tc>
        <w:tc>
          <w:tcPr>
            <w:tcW w:w="80" w:type="dxa"/>
            <w:vAlign w:val="bottom"/>
            <w:tcBorders>
              <w:lef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costs of $57</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left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11,417</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auto"/>
            </w:tcBorders>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71"/>
        </w:trPr>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March 31, 2023</w:t>
            </w:r>
          </w:p>
        </w:tc>
        <w:tc>
          <w:tcPr>
            <w:tcW w:w="1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150,000,000</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149,865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147,619,034</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154,649</w:t>
            </w:r>
          </w:p>
        </w:tc>
        <w:tc>
          <w:tcPr>
            <w:tcW w:w="80" w:type="dxa"/>
            <w:vAlign w:val="bottom"/>
            <w:tcBorders>
              <w:left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2,609,155</w:t>
            </w:r>
          </w:p>
        </w:tc>
        <w:tc>
          <w:tcPr>
            <w:tcW w:w="16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3,595</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(100,684)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(97,089)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Issuance costs of Series B</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left w:val="single" w:sz="8" w:color="auto"/>
            </w:tcBorders>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left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(7,387)</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left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1,647</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auto"/>
            </w:tcBorders>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71"/>
        </w:trPr>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(21,567)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(21,567)</w:t>
            </w:r>
          </w:p>
        </w:tc>
        <w:tc>
          <w:tcPr>
            <w:tcW w:w="0" w:type="dxa"/>
            <w:vAlign w:val="bottom"/>
          </w:tcPr>
          <w:p>
            <w:pPr>
              <w:spacing w:after="0"/>
              <w:rPr>
                <w:sz w:val="1"/>
                <w:szCs w:val="1"/>
                <w:color w:val="auto"/>
              </w:rPr>
            </w:pPr>
          </w:p>
        </w:tc>
      </w:tr>
      <w:tr>
        <w:trPr>
          <w:trHeight w:val="142"/>
        </w:trPr>
        <w:tc>
          <w:tcPr>
            <w:tcW w:w="1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Balance, June 30, 2023</w:t>
            </w: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150,000,000</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149,865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147,619,034</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154,625</w:t>
            </w:r>
          </w:p>
        </w:tc>
        <w:tc>
          <w:tcPr>
            <w:tcW w:w="80" w:type="dxa"/>
            <w:vAlign w:val="bottom"/>
            <w:tcBorders>
              <w:left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2,603,415</w:t>
            </w:r>
          </w:p>
        </w:tc>
        <w:tc>
          <w:tcPr>
            <w:tcW w:w="1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3,788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(122,251)</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(118,459)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760" w:type="dxa"/>
            <w:vAlign w:val="bottom"/>
            <w:gridSpan w:val="4"/>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3"/>
                <w:szCs w:val="3"/>
                <w:color w:val="auto"/>
              </w:rPr>
            </w:pPr>
          </w:p>
        </w:tc>
        <w:tc>
          <w:tcPr>
            <w:tcW w:w="12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3"/>
                <w:szCs w:val="3"/>
                <w:color w:val="auto"/>
              </w:rPr>
            </w:pPr>
          </w:p>
        </w:tc>
        <w:tc>
          <w:tcPr>
            <w:tcW w:w="8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8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76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20" w:type="dxa"/>
            <w:vAlign w:val="bottom"/>
            <w:shd w:val="clear" w:color="auto" w:fill="000000"/>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3"/>
                <w:szCs w:val="13"/>
                <w:color w:val="auto"/>
              </w:rPr>
            </w:pPr>
          </w:p>
        </w:tc>
        <w:tc>
          <w:tcPr>
            <w:tcW w:w="820" w:type="dxa"/>
            <w:vAlign w:val="bottom"/>
            <w:tcBorders>
              <w:top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top w:val="single" w:sz="8" w:color="auto"/>
            </w:tcBorders>
            <w:shd w:val="clear" w:color="auto" w:fill="000000"/>
          </w:tcPr>
          <w:p>
            <w:pPr>
              <w:spacing w:after="0"/>
              <w:rPr>
                <w:sz w:val="13"/>
                <w:szCs w:val="13"/>
                <w:color w:val="auto"/>
              </w:rPr>
            </w:pPr>
          </w:p>
        </w:tc>
        <w:tc>
          <w:tcPr>
            <w:tcW w:w="76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3"/>
                <w:szCs w:val="13"/>
                <w:color w:val="auto"/>
              </w:rPr>
            </w:pPr>
          </w:p>
        </w:tc>
        <w:tc>
          <w:tcPr>
            <w:tcW w:w="6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January 1, 2024</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149,865</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147,619,034</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154,625</w:t>
            </w:r>
          </w:p>
        </w:tc>
        <w:tc>
          <w:tcPr>
            <w:tcW w:w="20" w:type="dxa"/>
            <w:vAlign w:val="bottom"/>
            <w:tcBorders>
              <w:top w:val="single" w:sz="8" w:color="auto"/>
            </w:tcBorders>
            <w:shd w:val="clear" w:color="auto" w:fill="000000"/>
          </w:tcPr>
          <w:p>
            <w:pPr>
              <w:spacing w:after="0"/>
              <w:rPr>
                <w:sz w:val="12"/>
                <w:szCs w:val="12"/>
                <w:color w:val="auto"/>
              </w:rPr>
            </w:pPr>
          </w:p>
        </w:tc>
        <w:tc>
          <w:tcPr>
            <w:tcW w:w="760" w:type="dxa"/>
            <w:vAlign w:val="bottom"/>
            <w:tcBorders>
              <w:top w:val="single" w:sz="8" w:color="auto"/>
              <w:lef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2,745,480</w:t>
            </w: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4,652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(157,845)</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$(153,193)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initial public offering, net of</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11,180,555</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183,216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183,217</w:t>
            </w: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costs of $18,032</w:t>
            </w: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convertible</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60" w:type="dxa"/>
            <w:vAlign w:val="bottom"/>
            <w:tcBorders>
              <w:lef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stock into common</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(149,865)</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(147,619,034)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(154,625)</w:t>
            </w:r>
          </w:p>
        </w:tc>
        <w:tc>
          <w:tcPr>
            <w:tcW w:w="20" w:type="dxa"/>
            <w:vAlign w:val="bottom"/>
            <w:shd w:val="clear" w:color="auto" w:fill="000000"/>
          </w:tcPr>
          <w:p>
            <w:pPr>
              <w:spacing w:after="0"/>
              <w:rPr>
                <w:sz w:val="12"/>
                <w:szCs w:val="12"/>
                <w:color w:val="auto"/>
              </w:rPr>
            </w:pPr>
          </w:p>
        </w:tc>
        <w:tc>
          <w:tcPr>
            <w:tcW w:w="76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19,567,306</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304,488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304,490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w:t>
            </w:r>
          </w:p>
        </w:tc>
        <w:tc>
          <w:tcPr>
            <w:tcW w:w="9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60" w:type="dxa"/>
            <w:vAlign w:val="bottom"/>
            <w:tcBorders>
              <w:left w:val="single" w:sz="8" w:color="CCEEFF"/>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76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60" w:type="dxa"/>
            <w:vAlign w:val="bottom"/>
            <w:tcBorders>
              <w:left w:val="single" w:sz="8" w:color="CCEEFF"/>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(17,417)</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March 31, 2024</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760" w:type="dxa"/>
            <w:vAlign w:val="bottom"/>
            <w:tcBorders>
              <w:top w:val="single" w:sz="8" w:color="auto"/>
              <w:left w:val="single" w:sz="8" w:color="CCEEFF"/>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33,493,750</w:t>
            </w: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492,982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(175,262)</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317,723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Exercise of stock options</w:t>
            </w: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15,340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76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60" w:type="dxa"/>
            <w:vAlign w:val="bottom"/>
            <w:tcBorders>
              <w:left w:val="single" w:sz="8" w:color="CCEEFF"/>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(21,874)</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June 30, 2024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760" w:type="dxa"/>
            <w:vAlign w:val="bottom"/>
            <w:tcBorders>
              <w:top w:val="single" w:sz="8" w:color="auto"/>
              <w:left w:val="single" w:sz="8" w:color="CCEEFF"/>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33,509,090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493,792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(197,136)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$ 296,659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75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in an initial public offering, net of issuance</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185,950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Proceeds from the sale of Series B convertible preferred stock, net of issuance costs</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298,669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non-cash financing and investing activities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 accounts payable</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transferred to additional paid in capital</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ArriVent BioPharma, Inc., a Delaware Corporation (the “Company”), founded on April 14, 2021, is a clinical-stage biopharmaceutical company focused on identifying, licensing and globalizing top biopharma innovations from around the world to deliver important medicines to patients. In June 2021, the Company entered into a license agreement with Shanghai Allist Pharmaceuticals Co. Ltd. (“Allist”) which granted the Company an exclusive license under certain intellectual property owned or controlled by Allist to develop, manufacture and commercialize any product containing firmonertinib or any of its derivatives as an active ingredient, for all uses, in all countries and territories other than greater China, which includes mainland China, Hong Kong, Macau and Taiwan (See Note 9). The Company’s lead development candidate, firmonertinib, is a third-generation tyrosine kinase inhibitor currently being evaluated in multiple clinical trials across a range of epidermal growth factor receptor (EGFR) mutations in non-small cell lung cancer (NSCLC), many for which there are limited treatment options.</w:t>
      </w:r>
    </w:p>
    <w:p>
      <w:pPr>
        <w:spacing w:after="0" w:line="194"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On January 30, 2024, the Company completed the closing of its initial public offering of 9,722,222 shares of common stock at a price of $18.00 per share. Additionally, the underwriters exercised their option to purchase an additional 1,458,333 shares of common stock at a price of $18.00 per share. The shares of common stock began trading on the Nasdaq Global Market on January 26, 2024, under the symbol “AVBP”. The Company received net proceeds of $183.2 million, after deducting underwriting discounts and commissions and other offering expenses. In addition, as a result of the closing of the Company’s initial public offering, the Company’s Series A and Series B convertible preferred stock converted into 19,567,306 shares of common stock in January 2024.</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Development-Stage Risks and Liquidity</w:t>
      </w:r>
    </w:p>
    <w:p>
      <w:pPr>
        <w:spacing w:after="0" w:line="229"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The Company has incurred losses since inception and has an accumulated deficit of $197.1 million as of June 30, 2024. The Company anticipates incurring additional losses until such time, if ever, that it can generate significant sales from its product candidates currently in development. Management believes that cash and cash equivalents of $298.7 million as of June 30, 2024 are sufficient to sustain planned operations through at least twelve months from the issuance date of these financial statements.</w:t>
      </w:r>
    </w:p>
    <w:p>
      <w:pPr>
        <w:spacing w:after="0" w:line="18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those risks associated with any specialty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summary of significant accounting policies included in the Company’s Annual Report on Form 10-K for the year ended December 31, 2023, filed with the Securities and Exchange Commission on March 28, 2024 (the “Annual Report”) has not materially changed, except as set forth below.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Interim Financial Statements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U.S. generally accepted accounting principles (“GAAP”). Any references in these notes to applicable guidance are meant to refer to GAAP as found in Accounting Standards Codification (“ASC”) and Accounting Standards Update (“ASU”) promulgated by the Financial Accounting Standards Board (“FASB”).</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the opinion of management, the accompanying interim financial statements include all the normal and recurring adjustments (which consist primarily of accruals, estimates, and assumptions that impact financial statements) considered necessary to present fairly the Company’s financial position as of June 30, 2024 and its results of operations for the three and six months ended June 30, 2024 and 2023. Certain information and disclosures normally included in the annual financial statements prepared in accordance with GAAP, but that is not required for interim reporting purposes, have been condensed or omitted. These interim financial statements should be read in conjunction with the audited financial statements and related notes as of and for the year ended December 31, 2023, which are included in the Annual Report. The December 31, 2023 balance sheet has been derived from the audited financial statements. The results of operations for the interim periods are not necessarily indicative of the results to be expected for a full year, any other interim periods or any future year or period.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such estimates. Estimates and assumptions are periodically reviewed, and the effects of revisions are reflected in the financial statements in the period they are determined to be necessary.</w:t>
      </w:r>
    </w:p>
    <w:p>
      <w:pPr>
        <w:spacing w:after="0" w:line="183"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Significant areas that require management’s estimates include the fair value of the Company’s common stock prior to the completion of the Company’s initial public offering, stock-based compensation expense assumptions and accrued research and development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  Fair Value Measurements</w:t>
      </w:r>
    </w:p>
    <w:p>
      <w:pPr>
        <w:spacing w:after="0" w:line="229" w:lineRule="exact"/>
        <w:rPr>
          <w:sz w:val="20"/>
          <w:szCs w:val="20"/>
          <w:color w:val="auto"/>
        </w:rPr>
      </w:pPr>
    </w:p>
    <w:p>
      <w:pPr>
        <w:ind w:left="60" w:right="499" w:firstLine="324"/>
        <w:spacing w:after="0" w:line="258"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ind w:left="720" w:right="53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Management believes that the carrying amounts of the Company’s financial instruments, principally cash equivalents and accounts payable, approximate fair value due to the short-term nature of those instruments.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 Net Loss per Share</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jc w:val="both"/>
        <w:ind w:left="60" w:right="139"/>
        <w:spacing w:after="0" w:line="277" w:lineRule="auto"/>
        <w:rPr>
          <w:sz w:val="20"/>
          <w:szCs w:val="20"/>
          <w:color w:val="auto"/>
        </w:rPr>
      </w:pPr>
      <w:r>
        <w:rPr>
          <w:rFonts w:ascii="Times New Roman" w:cs="Times New Roman" w:eastAsia="Times New Roman" w:hAnsi="Times New Roman"/>
          <w:sz w:val="17"/>
          <w:szCs w:val="17"/>
          <w:color w:val="auto"/>
        </w:rPr>
        <w:t>average number of shares of common stock is the same for basic net loss per share since when a net loss exists, potentially dilutive securities are not included in the calculation as their impact is anti-dilutive. The Company’s convertible preferred stock entitled the holder to participate in dividends and earnings of the Company, and, if the Company had recognized net income, it would have used the two-class method to calculate earnings per share. The two-class method was not applicable during periods with a net loss, as the holders of the convertible preferred stock had no obligation to fund losses.</w:t>
      </w:r>
    </w:p>
    <w:p>
      <w:pPr>
        <w:spacing w:after="0" w:line="16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net loss, basic and diluted (in thousands, except share and per share data):</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33,502,347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2,617,198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29,274,441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2,609,919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Less: Weighted-average shares of common stock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subject to repurchase</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(617,493)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(972,296)</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8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33,502,347</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1,999,705</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29,274,441</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1,637,623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79)</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8"/>
                <w:szCs w:val="18"/>
                <w:u w:val="single" w:color="auto"/>
                <w:color w:val="auto"/>
              </w:rPr>
              <w:t>60)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0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760" w:type="dxa"/>
            <w:vAlign w:val="bottom"/>
          </w:tcPr>
          <w:p>
            <w:pPr>
              <w:spacing w:after="0"/>
              <w:rPr>
                <w:sz w:val="15"/>
                <w:szCs w:val="15"/>
                <w:color w:val="auto"/>
              </w:rPr>
            </w:pPr>
          </w:p>
        </w:tc>
        <w:tc>
          <w:tcPr>
            <w:tcW w:w="20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47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r>
      <w:tr>
        <w:trPr>
          <w:trHeight w:val="178"/>
        </w:trPr>
        <w:tc>
          <w:tcPr>
            <w:tcW w:w="47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Series A convertible preferred stock (as converted to common</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3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9,861,923</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9,861,923</w:t>
            </w:r>
          </w:p>
        </w:tc>
        <w:tc>
          <w:tcPr>
            <w:tcW w:w="160" w:type="dxa"/>
            <w:vAlign w:val="bottom"/>
            <w:shd w:val="clear" w:color="auto" w:fill="CCEEFF"/>
          </w:tcPr>
          <w:p>
            <w:pPr>
              <w:spacing w:after="0"/>
              <w:rPr>
                <w:sz w:val="20"/>
                <w:szCs w:val="20"/>
                <w:color w:val="auto"/>
              </w:rPr>
            </w:pPr>
          </w:p>
        </w:tc>
      </w:tr>
      <w:tr>
        <w:trPr>
          <w:trHeight w:val="198"/>
        </w:trPr>
        <w:tc>
          <w:tcPr>
            <w:tcW w:w="4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(as converted to common</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9,705,383</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9,705,383</w:t>
            </w:r>
          </w:p>
        </w:tc>
        <w:tc>
          <w:tcPr>
            <w:tcW w:w="160" w:type="dxa"/>
            <w:vAlign w:val="bottom"/>
          </w:tcPr>
          <w:p>
            <w:pPr>
              <w:spacing w:after="0"/>
              <w:rPr>
                <w:sz w:val="20"/>
                <w:szCs w:val="20"/>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subject to repurchase</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1,314,914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1,314,914</w:t>
            </w:r>
          </w:p>
        </w:tc>
        <w:tc>
          <w:tcPr>
            <w:tcW w:w="160" w:type="dxa"/>
            <w:vAlign w:val="bottom"/>
            <w:shd w:val="clear" w:color="auto" w:fill="CCEEFF"/>
          </w:tcPr>
          <w:p>
            <w:pPr>
              <w:spacing w:after="0"/>
              <w:rPr>
                <w:sz w:val="18"/>
                <w:szCs w:val="18"/>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2,669,121</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1,556,964</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2,669,121</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1,556,964</w:t>
            </w:r>
          </w:p>
        </w:tc>
        <w:tc>
          <w:tcPr>
            <w:tcW w:w="160" w:type="dxa"/>
            <w:vAlign w:val="bottom"/>
            <w:tcBorders>
              <w:bottom w:val="single" w:sz="8" w:color="CCEEFF"/>
            </w:tcBorders>
          </w:tcPr>
          <w:p>
            <w:pPr>
              <w:spacing w:after="0"/>
              <w:rPr>
                <w:sz w:val="18"/>
                <w:szCs w:val="18"/>
                <w:color w:val="auto"/>
              </w:rPr>
            </w:pPr>
          </w:p>
        </w:tc>
      </w:tr>
      <w:tr>
        <w:trPr>
          <w:trHeight w:val="209"/>
        </w:trPr>
        <w:tc>
          <w:tcPr>
            <w:tcW w:w="47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2,669,121</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22,439,184</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2,669,121</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22,439,184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  Accounting Pronouncements Not Yet Adopted</w:t>
      </w:r>
    </w:p>
    <w:p>
      <w:pPr>
        <w:spacing w:after="0" w:line="22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This standard includes the requirements that a public entity disclose, on an annual and interim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segment expenses that are regularly provided to the chief operating decision maker and included within each reported measure of segment profit or loss, the title and position of the chief operating decision maker, and an explanation of how the chief operating decision maker uses the reported measure(s) of segment profit or loss in assessing segment performance and deciding how to allocate resources. It also requires that a public entity that has a single reportable segment provide all the disclosures required by the guidance and all existing segment disclosures in ASC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This standard is effective for fiscal years beginning after December 15, 2023, and interim periods within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beginning after December 15, 2024. Early adoption is permitted. A public entity should apply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amendments in the guidance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is currently evaluating the impact that this standard may have on its financial statements.</w:t>
      </w:r>
    </w:p>
    <w:p>
      <w:pPr>
        <w:spacing w:after="0" w:line="178"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standard includes the requirement that public business entities, on an annual basis, disclose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It also requires that all entities disclose, on an annual basis, the amount of income taxes paid (net of refunds received) disaggregated by federal, state, and foreign taxes and the amount of income taxes paid (net of refunds received) disaggregated by individual jurisdictions in which income taxes paid (net of refunds received) is equal to or greater than 5% of total income taxes paid (net of refunds received) and requires that all entities disclose income (or loss) from continuing operations before income tax expense (or benefit) disaggregated between domestic and foreign and income tax expense (or benefit) from continuing operations disaggregated by federal, state, and foreign. Lastly, this standard eliminates the requirement for all entities to disclose the nature and estimate of the range of the reasonably possible change in the unrecognized tax benefits balance in the next 12 months or make a statement that an estimate of the range cannot be made. This standard is effective for the Company for the annual period beginning January 1, 2026. Early adoption is permitted. This standard should be applied on a prospective basis. Retrospective application is permitted. The Company is currently evaluating the impact that this standard may have on its financial statements.</w:t>
      </w:r>
    </w:p>
    <w:p>
      <w:pPr>
        <w:spacing w:after="0" w:line="193"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Reverse Stock Split</w:t>
      </w:r>
    </w:p>
    <w:p>
      <w:pPr>
        <w:spacing w:after="0" w:line="229"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On January 23, 2024, the Company filed an amendment to its Articles of Incorporation and effected a 15.21-for-1 reverse stock split of its issued and outstanding shares of common stock. All common stock share and per-share amounts presented in the financial statements and related notes have been retroactively adjusted to reflect the reverse stock split.</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jc w:val="right"/>
              <w:ind w:right="2850"/>
              <w:spacing w:after="0"/>
              <w:rPr>
                <w:sz w:val="20"/>
                <w:szCs w:val="20"/>
                <w:color w:val="auto"/>
              </w:rPr>
            </w:pPr>
            <w:r>
              <w:rPr>
                <w:rFonts w:ascii="Times New Roman" w:cs="Times New Roman" w:eastAsia="Times New Roman" w:hAnsi="Times New Roman"/>
                <w:sz w:val="18"/>
                <w:szCs w:val="18"/>
                <w:color w:val="auto"/>
                <w:w w:val="97"/>
              </w:rPr>
              <w:t>Current assets: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293,669</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293,669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293,669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293,669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210"/>
        </w:trPr>
        <w:tc>
          <w:tcPr>
            <w:tcW w:w="4020" w:type="dxa"/>
            <w:vAlign w:val="bottom"/>
            <w:gridSpan w:val="2"/>
            <w:shd w:val="clear" w:color="auto" w:fill="CCEEFF"/>
          </w:tcPr>
          <w:p>
            <w:pPr>
              <w:jc w:val="right"/>
              <w:ind w:right="2850"/>
              <w:spacing w:after="0"/>
              <w:rPr>
                <w:sz w:val="20"/>
                <w:szCs w:val="20"/>
                <w:color w:val="auto"/>
              </w:rPr>
            </w:pPr>
            <w:r>
              <w:rPr>
                <w:rFonts w:ascii="Times New Roman" w:cs="Times New Roman" w:eastAsia="Times New Roman" w:hAnsi="Times New Roman"/>
                <w:sz w:val="18"/>
                <w:szCs w:val="18"/>
                <w:color w:val="auto"/>
                <w:w w:val="99"/>
              </w:rPr>
              <w:t>Current assets: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124,322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124,322</w:t>
            </w:r>
          </w:p>
        </w:tc>
        <w:tc>
          <w:tcPr>
            <w:tcW w:w="20" w:type="dxa"/>
            <w:vAlign w:val="bottom"/>
          </w:tcPr>
          <w:p>
            <w:pPr>
              <w:spacing w:after="0"/>
              <w:rPr>
                <w:sz w:val="18"/>
                <w:szCs w:val="18"/>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color w:val="auto"/>
                <w:w w:val="98"/>
              </w:rPr>
              <w:t>Total assets measured at fair value</w:t>
            </w:r>
          </w:p>
        </w:tc>
        <w:tc>
          <w:tcPr>
            <w:tcW w:w="1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124,322</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Money market accounts are highly liquid investments. The pricing information on the Company’s money market account is based on quoted prices in active markets. This approach results in a classification of these securities as Level 1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6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credit receivable</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6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Operating lease expense was less than $0.1 million for each of the three and six months ended June 30, 2024 and 2023. The Company’s remaining lease term and discount rate for its operating lease as of June 30, 2024 were 1.58 years and 10.0%, respectively.</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Future maturities of operating lease liabilities were as follows as of June 30, 2024 (in thousands):</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Remainder of 2024</w:t>
            </w:r>
          </w:p>
        </w:tc>
        <w:tc>
          <w:tcPr>
            <w:tcW w:w="68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Cash paid for rent expense recorded during the three months ended June 30, 2024 and 2023 was less than $0.1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paid for rent expense recorded during the six months ended June 30, 2024 and 2023 was less than $0.1 million.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9"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In June 2021, the Company adopted the 2021 Employee, Director and Consultant Equity Incentive Plan, as amended (the “2021 Plan”), that authorized the Company to grant up to 803,564 shares of common stock. In 2022, the Company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ind w:left="60" w:right="99"/>
        <w:spacing w:after="0" w:line="274" w:lineRule="auto"/>
        <w:rPr>
          <w:sz w:val="20"/>
          <w:szCs w:val="20"/>
          <w:color w:val="auto"/>
        </w:rPr>
      </w:pPr>
      <w:r>
        <w:rPr>
          <w:rFonts w:ascii="Times New Roman" w:cs="Times New Roman" w:eastAsia="Times New Roman" w:hAnsi="Times New Roman"/>
          <w:sz w:val="17"/>
          <w:szCs w:val="17"/>
          <w:color w:val="auto"/>
        </w:rPr>
        <w:t>amended the 2021 Plan and increased the total number of shares authorized under the Plan to 2,748,818. In January 2024, the Company adopted the 2024 Employee, Director and Consultant Equity Incentive Plan (the “2024 Plan”) that authorized the Company to grant up to 3,900,000 shares of common stock plus any remaining ungranted or forfeited shares from the 2021 Plan. As of June 30, 2024, there were 3,802,245 shares available to be granted. The Company’s stock options vest based on the terms in the awards agreements and generally vest over four years. The Company recorded stock-based compensation expense in the following expense categories in its accompanying statements of operations (in thousands):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9"/>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6"/>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94</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The following is a summary of stock options activity:</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0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0" w:type="dxa"/>
            <w:vAlign w:val="bottom"/>
          </w:tcPr>
          <w:p>
            <w:pPr>
              <w:spacing w:after="0"/>
              <w:rPr>
                <w:sz w:val="12"/>
                <w:szCs w:val="12"/>
                <w:color w:val="auto"/>
              </w:rPr>
            </w:pPr>
          </w:p>
        </w:tc>
        <w:tc>
          <w:tcPr>
            <w:tcW w:w="100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60" w:type="dxa"/>
            <w:vAlign w:val="bottom"/>
          </w:tcPr>
          <w:p>
            <w:pPr>
              <w:spacing w:after="0"/>
              <w:rPr>
                <w:sz w:val="15"/>
                <w:szCs w:val="15"/>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1,683,156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1,023,951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(22,237)</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2,669,121</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33,129</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June 30, 2024</w:t>
            </w:r>
          </w:p>
        </w:tc>
        <w:tc>
          <w:tcPr>
            <w:tcW w:w="8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9,948</w:t>
            </w:r>
          </w:p>
        </w:tc>
        <w:tc>
          <w:tcPr>
            <w:tcW w:w="0" w:type="dxa"/>
            <w:vAlign w:val="bottom"/>
          </w:tcPr>
          <w:p>
            <w:pPr>
              <w:spacing w:after="0" w:line="20" w:lineRule="exact"/>
              <w:rPr>
                <w:sz w:val="1"/>
                <w:szCs w:val="1"/>
                <w:color w:val="auto"/>
              </w:rPr>
            </w:pPr>
          </w:p>
        </w:tc>
      </w:tr>
      <w:tr>
        <w:trPr>
          <w:trHeight w:val="237"/>
        </w:trPr>
        <w:tc>
          <w:tcPr>
            <w:tcW w:w="5060" w:type="dxa"/>
            <w:vAlign w:val="bottom"/>
            <w:tcBorders>
              <w:bottom w:val="single" w:sz="8" w:color="CCEEFF"/>
            </w:tcBorders>
            <w:vMerge w:val="continue"/>
          </w:tcPr>
          <w:p>
            <w:pPr>
              <w:spacing w:after="0"/>
              <w:rPr>
                <w:sz w:val="20"/>
                <w:szCs w:val="20"/>
                <w:color w:val="auto"/>
              </w:rPr>
            </w:pPr>
          </w:p>
        </w:tc>
        <w:tc>
          <w:tcPr>
            <w:tcW w:w="86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646,440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Vested and expected to vest at June 30, 2024</w:t>
            </w:r>
          </w:p>
        </w:tc>
        <w:tc>
          <w:tcPr>
            <w:tcW w:w="86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2,669,121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5.64</w:t>
            </w:r>
          </w:p>
        </w:tc>
        <w:tc>
          <w:tcPr>
            <w:tcW w:w="280" w:type="dxa"/>
            <w:vAlign w:val="bottom"/>
            <w:tcBorders>
              <w:bottom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3"/>
            <w:shd w:val="clear" w:color="auto" w:fill="CCEEFF"/>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33,129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in the first six months of 2024 and 2023 were $7.49 and $2.74 per share, respectively. The fair value was estimated using the Black-Scholes option-pricing model based on the following assumptions: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9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- 4.66%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- 3.68%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3.85% - 4.66%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3.45% - 3.68%</w:t>
            </w: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6.0 - 6.1 years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6.0 - 6.1 years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5.5 - 6.1 years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6.0 years</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 - 89.8%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93.1% - 98.6%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87.0% - 88.0%</w:t>
            </w: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Estimated fair value of the Company's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per share</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15.90 - 20.15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5.85 - 16.14</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cost for awards not vested as of June 30, 2024 was $9.2 million and will be expensed over a weighted-average period of 2.81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5" w:lineRule="exact"/>
        <w:rPr>
          <w:sz w:val="20"/>
          <w:szCs w:val="20"/>
          <w:color w:val="auto"/>
        </w:rPr>
      </w:pPr>
    </w:p>
    <w:p>
      <w:pPr>
        <w:ind w:left="380" w:right="5679" w:hanging="330"/>
        <w:spacing w:after="0" w:line="503" w:lineRule="auto"/>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License and Collaborative Agreements </w:t>
      </w:r>
      <w:r>
        <w:rPr>
          <w:rFonts w:ascii="Times New Roman" w:cs="Times New Roman" w:eastAsia="Times New Roman" w:hAnsi="Times New Roman"/>
          <w:sz w:val="18"/>
          <w:szCs w:val="18"/>
          <w:i w:val="1"/>
          <w:iCs w:val="1"/>
          <w:color w:val="auto"/>
        </w:rPr>
        <w:t>Allist</w:t>
      </w: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June 2021, the Company entered into a Global Technology Transfer and License Agreement with Allist (the “Allist Agreement”). Pursuant to the Allist Agreement, the Company was granted an exclusive license under certain intellectual property to develop, manufacture and commercialize certain licensed products in the field in the licensed territory. Upon execution of the Allist Agreement, the Company paid Allist a non-refundable cash payment of $40.0 million and issued 1,276,250 shares of its common stock.</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Upon the achievement of certain clinical, regulatory and commercial milestones using the licensed technology,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is obligated to make future milestone payments to Allist. During the six months ended June 30, 2024 and 2023,</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clinical milestones were met or achieved. The Company is obligated to make future milestone payments of up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$105.0 million in clinical and regulatory milestones and up to $655.0 million in sales milestones. Furthermore royalties,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ranging from high single digit percentages to low mid-teen percentage will be payable on net sales of licensed products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licensed territories.</w:t>
      </w:r>
    </w:p>
    <w:p>
      <w:pPr>
        <w:spacing w:after="0" w:line="20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Allist Agreement, in December 2021, the parties also entered into a Joint Clinical Collaboration Agreement (“Clinical Collaboration”) to define the framework under which the parties will cooperate and share costs related to global clinical studies to be conducted jointly by the Company and Allist. During the six months ended June 30, 2024 and 2023, the Company incurred $0.3 million and $1.3 million, respectively, in cost reimbursements to Allist which have been recorded as research and development expense under the Clinical Collaboration. The Company also was entitled to cost reimbursement from Allist of $0.3 million for each of the six months ended June 30, 2024 and 2023, which has been recorded as a reduction of research and development expenses.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Alphamab</w:t>
      </w:r>
    </w:p>
    <w:p>
      <w:pPr>
        <w:spacing w:after="0" w:line="22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collaboration agreement with Jiangsu Alphamab Biopharmaceuticals Co., Ltd. (“Alphamab”) to discover, develop and commercialize novel antibody drug conjugates (“ADCs”) for the treatment of cancers.</w:t>
      </w:r>
    </w:p>
    <w:p>
      <w:pPr>
        <w:spacing w:after="0" w:line="176" w:lineRule="exact"/>
        <w:rPr>
          <w:sz w:val="20"/>
          <w:szCs w:val="20"/>
          <w:color w:val="auto"/>
        </w:rPr>
      </w:pPr>
    </w:p>
    <w:p>
      <w:pPr>
        <w:ind w:left="60" w:right="419" w:firstLine="324"/>
        <w:spacing w:after="0" w:line="281" w:lineRule="auto"/>
        <w:rPr>
          <w:sz w:val="20"/>
          <w:szCs w:val="20"/>
          <w:color w:val="auto"/>
        </w:rPr>
      </w:pPr>
      <w:r>
        <w:rPr>
          <w:rFonts w:ascii="Times New Roman" w:cs="Times New Roman" w:eastAsia="Times New Roman" w:hAnsi="Times New Roman"/>
          <w:sz w:val="17"/>
          <w:szCs w:val="17"/>
          <w:color w:val="auto"/>
        </w:rPr>
        <w:t>Under the agreement, both companies will leverage Alphamab’s proprietary linker-payload platform and glycan-conjugation technology to identify novel ADCs for oncology indications. The agreement gives the Company exclusive rights to develop and commercialize ADCs globally, except greater China, which includes outside of mainland China, Hong Kong, Macau and Taiwan where Alphamab retains the right to develop and commercialize the ADCs.</w:t>
      </w:r>
    </w:p>
    <w:p>
      <w:pPr>
        <w:spacing w:after="0" w:line="164" w:lineRule="exact"/>
        <w:rPr>
          <w:sz w:val="20"/>
          <w:szCs w:val="20"/>
          <w:color w:val="auto"/>
        </w:rPr>
      </w:pPr>
    </w:p>
    <w:p>
      <w:pPr>
        <w:ind w:left="60" w:right="179" w:firstLine="324"/>
        <w:spacing w:after="0" w:line="289" w:lineRule="auto"/>
        <w:rPr>
          <w:sz w:val="20"/>
          <w:szCs w:val="20"/>
          <w:color w:val="auto"/>
        </w:rPr>
      </w:pPr>
      <w:r>
        <w:rPr>
          <w:rFonts w:ascii="Times New Roman" w:cs="Times New Roman" w:eastAsia="Times New Roman" w:hAnsi="Times New Roman"/>
          <w:sz w:val="17"/>
          <w:szCs w:val="17"/>
          <w:color w:val="auto"/>
        </w:rPr>
        <w:t>The terms of the agreement include combined upfront and potential milestone payments to Alphamab of up to $615.5 million in aggregate for the potential programs, based on the achievement of certain regulatory, development, and sales milestones. In addition, Alphamab is entitled to receive tiered sales royalties from the Company for each ADC product.</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Aarvik</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December 2021, the Company entered into a Research Collaboration Agreement, as amended, effective June 30, 2023 (the “Aarvik Collaboration Agreement”), with Aarvik Pharmaceuticals, Inc. (“Aarvik”), under which the Company is required to pay Aarvik up to $3.1 million on statements of work (“SOWs”) and an initiation fee of $0.3 million predefined in the agreement. After the completion of the SOWs, the Company has an exclusive option to license the Aarvik intellectual property, and the option to acquire certain of Aarvik’s intellectual property, after which it is the Company’s sole responsibility to research, develop, manufacture and commercialize any applicable compound and product in the field and territory. If the Company exercises that option, it would be obligated to pay up to $18.0 million per product upon the achievement of certain clinical and regulatory milestone events and up to $80.0 million per product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2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in commercial milestones. Additionally, the Company would be obligated to pay Aarvik royalties in the mid-single digits based on net sales of licensed products.</w:t>
      </w:r>
    </w:p>
    <w:p>
      <w:pPr>
        <w:spacing w:after="0" w:line="16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$0.8 million and $0.6 million in research and development expenses related to the Aarvik SOWs during the three months ended June 30, 2024 and 2023, respectively. The Company incurred $1.0 million and $0.7 million in research and development expenses related to the Aarvik SOWs during the six months ended June 30, 2024 and 2023, respectively.</w:t>
      </w:r>
    </w:p>
    <w:p>
      <w:pPr>
        <w:spacing w:after="0" w:line="180"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On August 9, 2024, the Company entered into an amendment and restatement of the Aarvik Collaboration Agreement (the “Amended and Restated Aarvik Collaboration Agreement”). Under the Amended and Restated Aarvik Collaboration Agreement, Aarvik has granted the Company an exclusive option to obtain exclusive rights to certain of Aarvik’s intellectual property for the research, development, manufacture, use, commercialization, or other exploitation of the ADCs related to (i) the two agreed targets to which the compounds being developed under the collaboration bind, which is referred to as the Target Pair, and (ii) to acquire exclusive rights to certain intellectual property generated during the collaboration. The Company has not yet selected the indication or indications that it would pursue in the collaboration and anticipates doing so in connection with the identification of a lead candidate for IND-enabling studies. Under the Amended and Restated Aarvik Collaboration Agreement, the Company is now required to pay Aarvik a collaboration initiation fee and research fees as provided in the SOWs in an aggregate of up to $4.7 million (based on estimated research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interim financial statements and related notes appearing elsewhere in this Quarterly Report on Form 10-Q and the audited financial information and the notes thereto included in our Annual Report on Form 10-K, which was filed with the SEC on March 28, 2024 (the Annual Report). Some of the information contained in this discussion and analysis or set forth elsewhere, including information with respect to our plans and strategy for our business and related financing, includes forward-looking statements that involve risks and uncertainties. As a result of many factors, including those factors set forth in the “Risk Factors” sections of this Quarterly Report on Form 10-Q as well as our Annual Report, our actual results could differ materially from the results described in or implied by the forward-looking statements contained in the following discussion and analysis. You should carefully read the “Risk Factors” sections of this Quarterly Report on Form 10-Q and our Annual Report to gain an understanding of the important factors that could cause actual results to differ materially from our forward-looking statements. Please also see the section titled “Special Note Regarding Forward-Looking Statements” included elsewhere in this Quarterly Report on Form 10-Q. Investors and others should note that we routinely use the Investor Relations section of our website to announce material information to investors and the marketplace. While not all of the information that we post on the Investor Relations section of our website is of a material nature, some information could be deemed to be material. Accordingly, we encourage investors, the media, and others interested in us to review the information that we share on the Investors section of our website, https://ir.arrivent.com/.</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firmonertinib, and advance a pipeline of novel therapeutics, such as next-generation antibody drug conjugates, through approval and commercialization in patients suffering from cancer, with an initial focus on solid tumors. Firmonertinib is currently being evaluated in multiple clinical trials across a range of epidermal growth factor receptor mutant (EGFRm) in non-small cell lung cancer (NSCLC), including a pivotal Phase 3 clinical trial in treatment naïve, or first-line, patients with locally advanced or metastatic EGFRm NSCLC with exon 20 insertion mutations. We received Breakthrough Therapy Designation for firmonertinib for this disease from the United States Food and Drug Administration (FDA) in</w:t>
      </w:r>
    </w:p>
    <w:p>
      <w:pPr>
        <w:spacing w:after="0" w:line="6"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October 2023, and Orphan Drug Designation for treatment of NSCLC with EGFRm or human epidermal growth factor receptor 2 (HER2) mutations or human epidermal growth factor receptor 4 (HER4) mutations in February 2024.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The receipt of a Breakthrough Therapy Designation for a product candidate may not result in a faster development process, review or approval compared to product candidates considered for approval under conventional FDA procedures and does not increase the likelihood that the product candidate will ultimately receive FDA approval for any indication.</w:t>
      </w:r>
    </w:p>
    <w:p>
      <w:pPr>
        <w:spacing w:after="0" w:line="19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Firmonertinib is an investigational, novel, epidermal growth factor receptor (EGFR) mutant-selective tyrosine kinase inhibitor (TKI) that we are developing for the treatment of NSCLC patients across a broader set of EGFRm than are currently served by approved EGFR TKIs. Firmonertinib is currently only approved and commercially distributed by Shanghai Allist Pharmaceuticals Co. Ltd. (Allist) in China as a first-line therapy to treat classical EGFRm NSCLC. The FDA has not approved firmonertinib for any use. We selected firmonertinib for global development against nonclassical, or uncommon, mutations based on preliminary reductions in tumor size observed in seven out of ten patients in first-line treatment with EGFR exon 20 insertion mutations in the ongoing Phase 1b clinical trial, the FAVOUR trial, conducted by Allist in China, and preclinical activity in EGFR P-loop and-alpha-c-helix compressing (PACC) mutations, each a subtype of uncommon mutation. In a subsequent interim data readout from the FAVOUR trial of firmonertinib in first-line patients with locally advanced or metastatic EGFRm NSCLC with exon 20 insertion mutations, 79% of patients (n=22 out of 28 patients) were observed to experience a reduction in tumor size of at least 30%. If the future clinical trial results of the FAVOUR trial are unfavorable, our clinical development plans for firmonertinib, which include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conducting our global, pivotal Phase 3 FURVENT clinical trial in first-line non-squamous locally advanced or metastatic EGFRm NSCLC patients with exon 20 insertion mutations, may be adversely affected. In 2021, we licensed from Allist the right to develop and commercialize firmonertinib worldwide, with the exception of greater China, which includes mainland China, Hong Kong, Macau and Taiwan.</w:t>
      </w:r>
    </w:p>
    <w:p>
      <w:pPr>
        <w:spacing w:after="0" w:line="180"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firmonertinib in first-line patients with locally advanced or metastatic EGFRm NSCLC with exon 20 insertion mutations, 79% of patients (n=22 out of 28 patients) were observed to experience a reduction in tumor size of at least 30% from the baseline in a patient without evidence of progression as measured by RECIST 1.1 criteria, which measurement of reduction is the threshold in this trial for a partial response and for inclusion in determination of the overall response rate (ORR), which is the primary endpoint of this trial. In the same interim data readout, those 79% of patients were observed to experience a</w:t>
      </w:r>
    </w:p>
    <w:p>
      <w:pPr>
        <w:spacing w:after="0" w:line="6" w:lineRule="exact"/>
        <w:rPr>
          <w:sz w:val="20"/>
          <w:szCs w:val="20"/>
          <w:color w:val="auto"/>
        </w:rPr>
      </w:pPr>
    </w:p>
    <w:p>
      <w:pPr>
        <w:jc w:val="both"/>
        <w:ind w:left="60" w:right="119"/>
        <w:spacing w:after="0" w:line="290" w:lineRule="auto"/>
        <w:rPr>
          <w:sz w:val="20"/>
          <w:szCs w:val="20"/>
          <w:color w:val="auto"/>
        </w:rPr>
      </w:pPr>
      <w:r>
        <w:rPr>
          <w:rFonts w:ascii="Times New Roman" w:cs="Times New Roman" w:eastAsia="Times New Roman" w:hAnsi="Times New Roman"/>
          <w:sz w:val="17"/>
          <w:szCs w:val="17"/>
          <w:color w:val="auto"/>
        </w:rPr>
        <w:t>15.2 month median duration of response (DOR). Interim results may not be indicative of final results; however, we believe these interim clinical results underscore firmonertinib’s potential in patients whose tumors contain an uncommon EGFRm.</w:t>
      </w:r>
    </w:p>
    <w:p>
      <w:pPr>
        <w:spacing w:after="0" w:line="15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have entered into the Global Technology Transfer and License Agreement (Allist License Agreement), pursuant to which, we have, among other things, secured an exclusive, royalty bearing and sublicensable license under certain intellectual property, including patents and know-how, owned or controlled by Allist to develop and commercialize any product containing firmonertinib or any of its salts or derivatives as an active ingredient of a product, which is led by a joint collaboration committee, comprising of representatives from both Allist and us. Under the Allist License Agreement, we are obligated to pay Allist milestone payments up to an aggregate of $765.0 million upon the achievement of certain development, regulatory and sales milestone events as set forth in the Allist License Agreement. During the six months ended June 30, 2024 and 2023, no clinical milestones were met or achieved. We are also obligated under the Allist License Agreement to pay Allist tiered royalties based on net sales of Licensed Products (as defined in the Allist License Agreement). See “Business — Licenses, Partnerships and Collaborations — Allist Agreements” in our Annual Report.</w:t>
      </w:r>
    </w:p>
    <w:p>
      <w:pPr>
        <w:spacing w:after="0" w:line="194"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Since our inception in April 2021, we have devoted substantially all of our resources to organizing and staffing our company, acquiring the rights to develop firmonertinib, clinical development of firmonertinib, business planning, raising capital, identifying potential product candidates, enhancing our intellectual property portfolio and undertaking research and clinical and preclinical studies for our development programs. We do not have any products approved for sale and have not generated any revenue from product sales or otherwise. We have funded our operations to date primarily through the private placement of convertible preferred stock and our initial public offering in January 2024.</w:t>
      </w:r>
    </w:p>
    <w:p>
      <w:pPr>
        <w:spacing w:after="0" w:line="18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On January 30, 2024, we completed the closing of our initial public offering of 9,722,222 shares of common stock at a price of $18.00 per share. Additionally, the underwriters exercised their option to purchase an additional 1,458,333 shares of common stock at a price of $18.00 per share. The shares of common stock began trading on the Nasdaq Global Market on January 26, 2024, under the symbol “AVBP”. We received net proceeds of $183.2 million, after deducting underwriting discounts and commissions and other offering expenses. In addition, as a result of the closing of our initial public offering, our convertible preferred stock converted into 19,567,306 shares of common stock in January 2024.</w:t>
      </w:r>
    </w:p>
    <w:p>
      <w:pPr>
        <w:spacing w:after="0" w:line="18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have not yet generated any revenue. Our net losses were $39.3 million and $33.7 million for the six months ended June 30, 2024 and 2023, respectively. As of June 30, 2024, we had an accumulated deficit of $197.1 million. Our net losses may fluctuate significantly from quarter-to-quarter and year-to-year, depending on the timing of our preclinical studies, clinical trials and our expenditures on other research and development activities. We expect to continue to incur losses for the foreseeable future. We anticipate these losses will increase substantially as we:</w:t>
      </w:r>
    </w:p>
    <w:p>
      <w:pPr>
        <w:spacing w:after="0" w:line="187"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firmonertinib, through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programs to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invest in our pipeline;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support our external partners’ manufacturing capabilities;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commercialization of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defend our intellectual property portfolio;</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headcount to support our development efforts and to expand our clinical development team;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and headcount associated with operating as a public company.</w:t>
      </w:r>
    </w:p>
    <w:p>
      <w:pPr>
        <w:spacing w:after="0" w:line="225"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if we obtain regulatory approval for firmonertinib or any product candidates, we expect to incur significant commercialization expenses related to product manufacturing, marketing, sales and distribution.</w:t>
      </w:r>
    </w:p>
    <w:p>
      <w:pPr>
        <w:spacing w:after="0" w:line="16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generate any revenues from product sales unless and until we successfully complete development and obtain regulatory approval for one or more product candidates. Accordingly, until such time as we can generate significant revenue from sales of our product candidates, if ever, we expect to finance our cash needs through public or private equity offerings, debt financings, collaborations and licensing arrangements or other capital 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To date, our research and development expenses have been related primarily to the development of firmonertinib, preclinical studies and other clinical activities related to our portfolio. Research and development costs are expensed as incurred and payments made prior to the receipt of goods or services to be used in research and development are deferred and recognized when the goods or services are received.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225" w:lineRule="exact"/>
        <w:rPr>
          <w:sz w:val="20"/>
          <w:szCs w:val="20"/>
          <w:color w:val="auto"/>
        </w:rPr>
      </w:pPr>
    </w:p>
    <w:p>
      <w:pPr>
        <w:ind w:left="720" w:right="1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those individuals involved in research and development efforts;</w:t>
      </w:r>
    </w:p>
    <w:p>
      <w:pPr>
        <w:spacing w:after="0" w:line="53"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costs incurred under agreements with contract research organizations (CROs) and consultants to conduct our clinical trials and other preclinical studies;</w:t>
      </w:r>
    </w:p>
    <w:p>
      <w:pPr>
        <w:spacing w:after="0" w:line="53"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our product candidates, including fees paid to third-party manufacturers and raw material suppliers;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research funding;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insurance, equipment and other supplies.</w:t>
      </w:r>
    </w:p>
    <w:p>
      <w:pPr>
        <w:spacing w:after="0" w:line="225"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Our direct research and development expenses consist principally of external costs, such as fees paid to CROs and consultants in connection with our clinical trials for firmonertinib, preclinical and toxicology studies and costs related to</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manufacturing materials for clinical and preclinical studies. Prior to our identification of potential product candidates in 2022, we did not track external costs by program. Subsequent to the identification of potential product candidates, a significant majority of our direct research and development costs have been related to firmonertinib. We deploy our personnel resources across all of our research and development activities.</w:t>
      </w:r>
    </w:p>
    <w:p>
      <w:pPr>
        <w:spacing w:after="0" w:line="180"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plan to substantially increase our research and development expenses for the foreseeable future as we continue the development of firmonertinib and the identification and development of new product candidates. We cannot determine with certainty the timing of initiation, the duration or the completion costs of future clinical trials and preclinical studies of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as to each product candidate’s commercial potential.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225"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needed to determine a recommended dose;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payroll taxes, employee benefits and stock-based compensation expenses for those individuals in executive, finance and other administrative functions. Other significant costs include legal fees relating to intellectual property and corporate matters, professional fees for accounting and consulting services, and insurance costs. We anticipate that our general and administrative expenses will increase in the future to support our continued research and development activities and, if any product candidates receive marketing approval, commercialization activities. We also anticipate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equivalents.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2024 and 2023:</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5"/>
                <w:szCs w:val="15"/>
                <w:color w:val="auto"/>
              </w:rPr>
            </w:pPr>
          </w:p>
        </w:tc>
        <w:tc>
          <w:tcPr>
            <w:tcW w:w="27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4"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We track outsourced clinical and preclinical costs and other external research and development costs associated with our lead product candidate, firmonertinib, and other discovery-stage programs. We do not track internal research and development costs by product candidate. The following table summarizes our research and development expenses for the three months ended June 30, 2024 and 2023:</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5"/>
                <w:szCs w:val="15"/>
                <w:color w:val="auto"/>
              </w:rPr>
            </w:pPr>
          </w:p>
        </w:tc>
        <w:tc>
          <w:tcPr>
            <w:tcW w:w="270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Firmonertinib:</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FURVENT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FAVOUR</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Firmonertinib</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Discovery-stage programs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Personnel-related and other internal costs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$21.8 million and $20.4 million for the three months ended June 30, 2024 and 2023, respectively. The increase of $1.4 million was primarily due to a decrease of $5.1 million related to our lead product candidate, firmonertinib, offset by increases of $5.7 million in preclinical discovery work and $0.8 million in personnel-related costs due to increased headcount. Costs related to firmonertinib decreased as a result of decreased costs related to our FURVENT Phase 3 clinical trial of $3.6 million, a $0.6 million decrease in costs related to our FAVOUR trial, and a $1.2 million decrease in costs related to our FURTHER Phase 1 clinical trial, partially offset by an increase in general firmonertinib costs. Discovery-stage program costs increased due to an up-front payment related to the collaboration with Jiangsu Alphamab Biopharmaceuticals Co., Ltd. (Alphamab).</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$3.9 million and $2.2 million for the three months ended June 30, 2024 and 2023, respectively. The increase of $1.7 million was due primarily to increases of $1.0 million in personnel-related costs, and $0.7 million in insurance, taxes, and outside services.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income was $3.8 million and $1.0 million for the three months ended June 30, 2024 and 2023, respectively.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increase in interest income is due to increased invested balances and increased average market yields.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2024 and 2023:</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980" w:type="dxa"/>
            <w:vAlign w:val="bottom"/>
            <w:tcBorders>
              <w:bottom w:val="single" w:sz="8" w:color="CCEEFF"/>
            </w:tcBorders>
            <w:vMerge w:val="continue"/>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4"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We track outsourced clinical and preclinical costs and other external research and development costs associated with our lead product candidate, firmonertinib, and other discovery-stage programs. We do not track internal research and development costs by product candidate. The following table summarizes our research and development expenses for the six months ended June 30, 2024 and 2023:</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vMerge w:val="continue"/>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Firmonertinib:</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FURVENT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FAVOUR</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1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Firmonertinib</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Discovery-stage programs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Personnel-related and other internal costs</w:t>
            </w:r>
          </w:p>
        </w:tc>
        <w:tc>
          <w:tcPr>
            <w:tcW w:w="1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$38.8 million and $30.6 million for the six months ended June 30, 2024 and 2023, respectively. The increase of $8.2 million was primarily due to an increase of $0.8 million related to our lead product candidate, firmonertinib, an increase of $1.5 million in personnel-related costs due to increased headcount, and an increase of $5.9 million in preclinical discovery work. Costs related to firmonertinib increased as a result of increased costs related to our FURVENT Phase 3 clinical trial of $1.7 million, a $1.0 million increase in other general firmonertinib costs, offset by a $0.9 million decrease in costs related to our FURTHER Phase 1 clinical trial, and a decrease of $1.0 million related to our FAVOUR trial.</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jc w:val="both"/>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$7.6 million and $4.2 million for the six months ended June 30, 2024 and 2023, respectively. The increase of $3.5 million was due primarily to increases of $1.6 million in personnel-related costs, $0.9 million in outside services, and $1.0 million in software, insurance, and taxes.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Interest income was $7.1 million and $1.0 million for the six months ended June 30, 2024 and 2023, respectively. The increase in interest income is due to increased invested balances and increased average market yields.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jc w:val="both"/>
        <w:ind w:left="60" w:right="159" w:firstLine="324"/>
        <w:spacing w:after="0" w:line="257" w:lineRule="auto"/>
        <w:rPr>
          <w:sz w:val="20"/>
          <w:szCs w:val="20"/>
          <w:color w:val="auto"/>
        </w:rPr>
      </w:pPr>
      <w:r>
        <w:rPr>
          <w:rFonts w:ascii="Times New Roman" w:cs="Times New Roman" w:eastAsia="Times New Roman" w:hAnsi="Times New Roman"/>
          <w:sz w:val="18"/>
          <w:szCs w:val="18"/>
          <w:color w:val="auto"/>
        </w:rPr>
        <w:t>We have previously funded our operations primarily through the private placement of convertible preferred stock and our initial public offering of common stock. To date, we have raised gross proceeds of $305.0 million from the issuance of convertible preferred stock. Additionally, in the first quarter of 2024, we completed our initial public offering of</w:t>
      </w:r>
    </w:p>
    <w:p>
      <w:pPr>
        <w:spacing w:after="0" w:line="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11,180,555 shares of our common stock at a price to the public of $18.00 per share, including the exercise in full by the underwriters of their option to purchase 1,458,333 additional shares of our common stock for aggregate proceeds of $183.2 million, net of underwriting discounts, commissions and other offering expenses. As of June 30, 2024, we had cash and cash equivalents of $298.7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0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plan to continue to fund our operating expenses and capital expenditure requirements through additional public or private equity offerings, debt financings, collaborations and licensing arrangements or other capital sources. Debt or equity financing or collaborations and partnerships with other entities may not be available on a timely basis, on acceptable terms, or at all. In addition, we may be required to scale back or discontinue the advancement of product candidates, reduce headcount or reduce other operating expenses. This could have an adverse impact on our ability to achieve certain of our planned objectives, and thus, materially harm our business. Our ability to successfully transition to profitability will depend upon obtaining additional financing and achieving a level of product sales adequate to support our cost structure. We cannot be assured that we will ever be profitable or generate positive cash flows from operating activities.</w:t>
      </w:r>
    </w:p>
    <w:p>
      <w:pPr>
        <w:spacing w:after="0" w:line="178"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June 30, 2024 will be sufficient to meet our anticipated cash requirements into 2026.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98" w:lineRule="exact"/>
        <w:rPr>
          <w:sz w:val="20"/>
          <w:szCs w:val="20"/>
          <w:color w:val="auto"/>
        </w:rPr>
      </w:pPr>
    </w:p>
    <w:p>
      <w:pPr>
        <w:ind w:left="720" w:right="39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drug discovery, preclinical studies and clinical trials of our lead product candidate, firmonertinib, and any other product candidates;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117"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firmonertinib, if approved, and future product candidates for clinical trials in preparation for marketing approval and in preparation for commercialization;</w:t>
      </w:r>
    </w:p>
    <w:p>
      <w:pPr>
        <w:spacing w:after="0" w:line="53"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third-party products used in our combination clinical trials that are not covered by such third party or other sources;</w:t>
      </w:r>
    </w:p>
    <w:p>
      <w:pPr>
        <w:spacing w:after="0" w:line="53"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53"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marketing approval and revenue received from any potential commercial sales of firmonertinib or other product candidates;</w:t>
      </w:r>
    </w:p>
    <w:p>
      <w:pPr>
        <w:spacing w:after="0" w:line="53"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firmonertinib and future product candidates we develop if we receive marketing approval, including marketing, sales and distribution costs;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and other adverse market developments;</w:t>
      </w:r>
    </w:p>
    <w:p>
      <w:pPr>
        <w:spacing w:after="0" w:line="117"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establish and maintain strategic licensing or other arrangements and the financial terms of such agreements;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3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1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a combination of public or private equity offerings, debt financings, collaborations and licensing arrangements or other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platform technology, future revenue streams, research programs or product candidates or may have to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vMerge w:val="continue"/>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(37,715)</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7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185,995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44,949</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7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148,280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$37.7 million for the six months ended June 30, 2024 reflecting our net loss of $39.3 million, offset by $1.4 million in stock-based compensation and a $0.2 million net decrease in our operating assets and liabilities attributable to the timing in which we pay our vendors for research and development activities.</w:t>
      </w:r>
    </w:p>
    <w:p>
      <w:pPr>
        <w:spacing w:after="0" w:line="149" w:lineRule="exact"/>
        <w:rPr>
          <w:sz w:val="20"/>
          <w:szCs w:val="20"/>
          <w:color w:val="auto"/>
        </w:rPr>
      </w:pPr>
    </w:p>
    <w:p>
      <w:pPr>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Net cash used in operating activities was $25.5 million for the six months ended June 30, 2023 reflecting our net loss of $33.7 million, offset by $0.4 million in stock-based compensation, and a $7.8 million net decrease in our operating assets and liabilities attributable to the timing in which we pay our vendors for research and development activities.</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4"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No net cash was provided by investing activities for the six months ended June 30, 2024. Net cash used by investing activities was $25.0 million for the six months ended June 30, 2023. This was attributable to the purchase of short-term investments.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$186.0 million for the six months ended June 30, 2024, due to the net proceeds from our initial public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$45.0 million for the six months ended June 30, 2023, primarily due to the issuance of Series B convertible preferred stock.</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ind w:left="60" w:right="79" w:firstLine="500"/>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third-party CROs and clinical trial sites for our clinical trials, and with supply vendors for other services and products for operating purposes. These contracts generally provide for termination after a notice period, and, therefore, are cancelable contracts. We have leases for office space in Gaithersburg, Virginia and Burlingame, California that extend through January 2025 and January 2026, respectively. Amounts related to future lease payments as of June 30, 2024 totaled $0.2 million, to be paid within the next 12 months.</w:t>
      </w:r>
    </w:p>
    <w:p>
      <w:pPr>
        <w:spacing w:after="0" w:line="183" w:lineRule="exact"/>
        <w:rPr>
          <w:sz w:val="20"/>
          <w:szCs w:val="20"/>
          <w:color w:val="auto"/>
        </w:rPr>
      </w:pPr>
    </w:p>
    <w:p>
      <w:pPr>
        <w:ind w:left="60" w:right="819"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except for the operating leases, we did not have any long-term obligations, capital lease obligations, purchase obligations or long-term liabilities.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1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and stock-based compensation expenses.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5"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Use of Estimates” included in the Annual Report.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JOBS Act and Emerging Growth Company Status</w:t>
      </w:r>
    </w:p>
    <w:p>
      <w:pPr>
        <w:spacing w:after="0" w:line="216"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complying with new or revised accounting standards and as a result of this election, our financial statements may not be comparable to companies that comply with public company effective dates. We intend to rely on other exemptions provided by the JOBS Act, including without limitation, not being required to comply with the auditor attestation requirements of Section 404(b) of the Sarbanes-Oxley Act (Sarbanes-Oxley).</w:t>
      </w:r>
    </w:p>
    <w:p>
      <w:pPr>
        <w:spacing w:after="0" w:line="178"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initial public offering, (ii) the last day of the fiscal year in which we have total annual gross revenue of at least $1.235 billion, (iii) the last day of the fiscal year in which we are deemed to be a “large accelerated filer” as defined in Rule 12b-2 under the Securities Exchange Act of 1934, as amended (Exchange Act), which would occur if, among other factors, the market value of our common stock held by non-affiliates exceeded $700.0 million as of the last business day of the second fiscal quarter of such year (subject to certain conditions) or (iv) the date on which we have issued more than $1.0 billion in non-convertible debt securities during the prior three-year period.</w:t>
      </w:r>
    </w:p>
    <w:p>
      <w:pPr>
        <w:spacing w:after="0" w:line="162" w:lineRule="exact"/>
        <w:rPr>
          <w:sz w:val="20"/>
          <w:szCs w:val="20"/>
          <w:color w:val="auto"/>
        </w:rPr>
      </w:pPr>
    </w:p>
    <w:p>
      <w:pPr>
        <w:ind w:left="60" w:right="259" w:firstLine="324"/>
        <w:spacing w:after="0" w:line="277" w:lineRule="auto"/>
        <w:rPr>
          <w:sz w:val="20"/>
          <w:szCs w:val="20"/>
          <w:color w:val="auto"/>
        </w:rPr>
      </w:pPr>
      <w:r>
        <w:rPr>
          <w:rFonts w:ascii="Times New Roman" w:cs="Times New Roman" w:eastAsia="Times New Roman" w:hAnsi="Times New Roman"/>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recently completed fiscal year and our voting and non-voting common stock held by non-affiliates is less than $700.0 million measured on the last business day of our second fiscal quarter.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6"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our financial position, results of operations or cash flows is disclosed in Note 3 to our accompanying financial statements appearing elsewhere in this Quarterly Report.</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jc w:val="both"/>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Our cash and cash equivalents consist of cash held in an interest-bearing savings account and money market account. As a result, we believe that our exposure to interest rate risk is not significant, and a hypothetical 1.0% change in market interest rates during any of the periods presented would not have had a material impact on the total value of our portfolio.</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0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do not regularly incur any material expenses with vendors outside the United States or that are denominated in currencies other than the U.S. dollar. We may incur such expenses in the future at which point exchange rate fluctuations might adversely affect our expenses, results of operations, financial position and cash flows. To date, exchange rate fluctuations have not had a material effect on our results of operations.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1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inflation has had a material effect on our results of operations during the periods presented and do not anticipate a material impact going forward.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5"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as of June 30, 2024. As of June 30, 2024, our disclosure controls and procedures were not effective as a result of our material weaknesses in our internal control over financial reporting. You should read this description of our controls and procedures together with “Item 9A. Controls and Procedures” included in our Annual Report on Form 10-K, which was filed with the SEC on March 28, 2024</w:t>
      </w:r>
    </w:p>
    <w:p>
      <w:pPr>
        <w:spacing w:after="0" w:line="174"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However, our management, including our Chief Executive Officer and our Chief Financial Officer, has concluded that, notwithstanding the identified material weaknesses in our internal control over financial reporting, the financial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statements in this Quarterly Report on Form 10-Q fairly present, in all material respects, our financial position, results of operations and cash flows for the periods presented in conformity with U.S. GAAP.</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Other than the material weakness remediation activities described below, there were no changes in our internal control over financial reporting, as identified in connection with evaluation required by Rules 13a-15(e) and 15d-15(e) under the Exchange Act, that occurred during the three months ended June 30, 2024 that have materially affected, or are reasonably likely to materially affect, our internal control over financial reporting.</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2024, we have taken steps of implementing our remediation plans with respect to the material weaknesses identified in our internal control over financial reporting. Specifically, with the oversight of senior management and our audit committee, we have hired our Chief Financial Officer, and begun implementing processes and controls to address the material weaknesses. We have increased the number of resources (internal and third-party) dedicated to our accounting and finance team, including personnel with additional knowledge, experience, and training, to ensure we have adequate staff, to segregate key duties, and to comply with company policies and procedures. We have also engaged a third-party provider to help us assess and improve our internal controls in preparation for compliance with Sarbanes-Oxley. Additionally, we continue to make progress on implementing written policies and implementing process level and management review controls for our manual journal entries. However, we cannot assure you that we will be successful in remediating the material weaknesses we identified or that our internal control over financial reporting, as modified, will enable us to identify or avoid material weaknesses in the future.</w:t>
      </w:r>
    </w:p>
    <w:p>
      <w:pPr>
        <w:spacing w:after="0" w:line="192"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While we believe that these efforts will improve our internal control over financial reporting in accordance with U.S. GAAP and SEC reporting requirements, the implementation of these measures is ongoing and will require validation and testing of the design and operating effectiveness of internal controls over a sustained period of financial reporting cycles. The material weaknesses will not be considered remediated until our management designs and implements effective controls that operate for a sufficient period of time and our management has concluded through testing that these controls are effective. We cannot assure you that the measures we have taken to date, and are continuing to implement, will be sufficient to establish and maintain effective internal control over financial reporting.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are no material changes to the risk factors disclosed in Part I, Item 1A of our Annual Report.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Sales of Unregistered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Use of Proceeds from Public Offering of Common Stock</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On January 25, 2024, our registration statement on Form S-1 (File No 333-276397) relating to our initial public offering of common stock was declared effective by the SEC. Upon the closing of the initial public offering, we issued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11,180,555 shares of common stock (including the exercise in full by the underwriters of their option to purchase an additional 1,458,333 shares of common stock) at a public offering price of $18.00 per share. We received net proceeds from the initial public offering of $183.2 million, after deducting underwriting discounts and commissions and other offering expenses. None of the expenses associated with our initial public offering were paid to directors, officers, persons owning 10% or more of any class of equity securities, or to our affiliates.</w:t>
      </w:r>
    </w:p>
    <w:p>
      <w:pPr>
        <w:spacing w:after="0" w:line="183"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initial public offering from that described in the prospectus filed with the SEC pursuant to Rule 424(b)(4) under the Securities Act on January 26,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Rule 10b5-1 Trading Plans</w:t>
      </w:r>
    </w:p>
    <w:p>
      <w:pPr>
        <w:spacing w:after="0" w:line="225"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During the fiscal quarter ended June 30, 2024,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Aarvik Amendment</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previously reported in our Annual Report on Form 10-K for the fiscal year ended December 31, 2023 (the “2023 Annual Report”), on December 21, 2021, we entered into a Research Collaboration Agreement, as amended effective June 30, 2023 (the “Aarvik Collaboration”), with Aarvik Therapeutics, Inc. (“Aarvik”), pursuant to which we and Aarvik agreed to collaborate on the discovery and characterization of novel antibody drug conjugates (ADCs) with a goal to identify ADCs that may be suitable for further development by us in accordance with the applicable statements of work (each a “SOW”, and collectively, the “SOWs”) until the completion of all activities in accordance with the applicable SOWs (collectively, the “Aarvik Collaboration Agreement”).</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August 9, 2024, we entered into an amendment and restatement of the Aarvik Collaboration (the “Amended and Restated Aarvik Collaboration Agreement”). Under the Amended and Restated Aarvik Collaboration Agreement, Aarvik has granted us an exclusive option (the “Option”) to obtain exclusive rights to certain of Aarvik’s intellectual property for the research, development, manufacture, use, commercialization, or other exploitation of the ADCs related to (i) the two agreed targets to which the compounds being developed under the Aarvik Collaboration bind, which we refer to as the Target Pair, and (ii) to acquire exclusive rights to certain intellectual property generated during the Aarvik Collaboration. We have not yet selected the indication or indications that we would pursue in the collaboration and anticipate doing so in connection with the identification of a lead candidate for IND-enabling studies. Under the Aarvik Collaboration Agreement, we are now required to pay Aarvik a collaboration execution fee and research fees as provided in the SOWs in an aggregate of up to $4.7 million (based on estimated research fees).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than the preceding disclosure, no other disclosure reported in the Annual Report under the section titled “Item 1. Business – Licenses, Partnerships and Collaborations – Aarvik Research Collaboration Agreement” is amended hereby. The foregoing description of the Amended and Restated Aarvik Collaboration Agreement does not purport to be complete and is qualified in its entirety by reference to the full text of the Amended and Restated Aarvik Collaboration Agreement, a copy of which will be filed with our Quarterly Report on Form 10-Q for the quarter ending September 30,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320" w:type="dxa"/>
            <w:vAlign w:val="bottom"/>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6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320" w:type="dxa"/>
            <w:vAlign w:val="bottom"/>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40" w:right="539" w:hanging="884"/>
        <w:spacing w:after="0" w:line="298" w:lineRule="auto"/>
        <w:tabs>
          <w:tab w:leader="none" w:pos="153" w:val="left"/>
        </w:tabs>
        <w:numPr>
          <w:ilvl w:val="0"/>
          <w:numId w:val="1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hyperlink r:id="rId44">
        <w:r>
          <w:rPr>
            <w:rFonts w:ascii="Times New Roman" w:cs="Times New Roman" w:eastAsia="Times New Roman" w:hAnsi="Times New Roman"/>
            <w:sz w:val="17"/>
            <w:szCs w:val="17"/>
            <w:u w:val="single" w:color="auto"/>
            <w:color w:val="0000EE"/>
          </w:rPr>
          <w:t>Amended and Restated Certificate of Incorporation (incorporated by reference to Exhibit 3.1 of the</w:t>
        </w:r>
      </w:hyperlink>
      <w:r>
        <w:rPr>
          <w:rFonts w:ascii="Times New Roman" w:cs="Times New Roman" w:eastAsia="Times New Roman" w:hAnsi="Times New Roman"/>
          <w:sz w:val="17"/>
          <w:szCs w:val="17"/>
          <w:u w:val="single" w:color="auto"/>
          <w:color w:val="0000EE"/>
        </w:rPr>
        <w:t xml:space="preserve"> </w:t>
      </w:r>
      <w:hyperlink r:id="rId44">
        <w:r>
          <w:rPr>
            <w:rFonts w:ascii="Times New Roman" w:cs="Times New Roman" w:eastAsia="Times New Roman" w:hAnsi="Times New Roman"/>
            <w:sz w:val="17"/>
            <w:szCs w:val="17"/>
            <w:u w:val="single" w:color="auto"/>
            <w:color w:val="0000EE"/>
          </w:rPr>
          <w:t>Registrant’s Current Report on Form 8-K (File No. 001-41929) filed with the SEC on January 30, 2024).</w:t>
        </w:r>
      </w:hyperlink>
    </w:p>
    <w:p>
      <w:pPr>
        <w:ind w:left="940" w:right="139" w:hanging="884"/>
        <w:spacing w:after="0" w:line="281" w:lineRule="auto"/>
        <w:tabs>
          <w:tab w:leader="none" w:pos="153" w:val="left"/>
        </w:tabs>
        <w:numPr>
          <w:ilvl w:val="0"/>
          <w:numId w:val="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hyperlink r:id="rId45">
        <w:r>
          <w:rPr>
            <w:rFonts w:ascii="Times New Roman" w:cs="Times New Roman" w:eastAsia="Times New Roman" w:hAnsi="Times New Roman"/>
            <w:sz w:val="18"/>
            <w:szCs w:val="18"/>
            <w:u w:val="single" w:color="auto"/>
            <w:color w:val="0000EE"/>
          </w:rPr>
          <w:t>Amended and Restated Bylaws (incorporated by reference to Exhibit 3.2 of the Registrant’s Current Report on</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Form 8-K (File No. 001-41929) filed with the SEC on January 30,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39370</wp:posOffset>
            </wp:positionH>
            <wp:positionV relativeFrom="paragraph">
              <wp:posOffset>-612775</wp:posOffset>
            </wp:positionV>
            <wp:extent cx="56489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95"/>
        </w:trPr>
        <w:tc>
          <w:tcPr>
            <w:tcW w:w="8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7960" w:type="dxa"/>
            <w:vAlign w:val="bottom"/>
            <w:tcBorders>
              <w:bottom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9"/>
              </w:rPr>
              <w:t>Research and Collaboration Agreement Between Jiangsu Alphamab Biopharmaceuticals Co., Ltd and Arrivent</w:t>
            </w:r>
          </w:p>
        </w:tc>
      </w:tr>
      <w:tr>
        <w:trPr>
          <w:trHeight w:val="196"/>
        </w:trPr>
        <w:tc>
          <w:tcPr>
            <w:tcW w:w="880" w:type="dxa"/>
            <w:vAlign w:val="bottom"/>
          </w:tcPr>
          <w:p>
            <w:pPr>
              <w:spacing w:after="0"/>
              <w:rPr>
                <w:sz w:val="17"/>
                <w:szCs w:val="17"/>
                <w:color w:val="auto"/>
              </w:rPr>
            </w:pPr>
          </w:p>
        </w:tc>
        <w:tc>
          <w:tcPr>
            <w:tcW w:w="1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Biopharma, Inc.</w:t>
            </w:r>
          </w:p>
        </w:tc>
        <w:tc>
          <w:tcPr>
            <w:tcW w:w="6800" w:type="dxa"/>
            <w:vAlign w:val="bottom"/>
            <w:gridSpan w:val="7"/>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9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13a-15(e) or Rule 15d-15(e) under the Securities</w:t>
            </w:r>
          </w:p>
        </w:tc>
      </w:tr>
      <w:tr>
        <w:trPr>
          <w:trHeight w:val="196"/>
        </w:trPr>
        <w:tc>
          <w:tcPr>
            <w:tcW w:w="88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780" w:type="dxa"/>
            <w:vAlign w:val="bottom"/>
            <w:tcBorders>
              <w:top w:val="single" w:sz="8" w:color="0000EE"/>
            </w:tcBorders>
            <w:gridSpan w:val="2"/>
          </w:tcPr>
          <w:p>
            <w:pPr>
              <w:spacing w:after="0"/>
              <w:rPr>
                <w:sz w:val="17"/>
                <w:szCs w:val="17"/>
                <w:color w:val="auto"/>
              </w:rPr>
            </w:pPr>
          </w:p>
        </w:tc>
        <w:tc>
          <w:tcPr>
            <w:tcW w:w="300" w:type="dxa"/>
            <w:vAlign w:val="bottom"/>
            <w:gridSpan w:val="3"/>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13a-15(e) or Rule 15d-15(e) under the Securities</w:t>
            </w:r>
          </w:p>
        </w:tc>
        <w:tc>
          <w:tcPr>
            <w:tcW w:w="340" w:type="dxa"/>
            <w:vAlign w:val="bottom"/>
            <w:gridSpan w:val="4"/>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6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1080" w:type="dxa"/>
            <w:vAlign w:val="bottom"/>
            <w:gridSpan w:val="5"/>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of Periodic Report Pursuant to 18 U.S.C. Section 1350, as Adopted</w:t>
            </w:r>
          </w:p>
        </w:tc>
        <w:tc>
          <w:tcPr>
            <w:tcW w:w="20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4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3640" w:type="dxa"/>
            <w:vAlign w:val="bottom"/>
            <w:gridSpan w:val="6"/>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9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of Periodic Report Pursuant to 18 U.S.C. Section 1350, as Adopted</w:t>
            </w:r>
          </w:p>
        </w:tc>
      </w:tr>
      <w:tr>
        <w:trPr>
          <w:trHeight w:val="196"/>
        </w:trPr>
        <w:tc>
          <w:tcPr>
            <w:tcW w:w="88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3380" w:type="dxa"/>
            <w:vAlign w:val="bottom"/>
            <w:tcBorders>
              <w:top w:val="single" w:sz="8" w:color="0000EE"/>
            </w:tcBorders>
            <w:gridSpan w:val="4"/>
          </w:tcPr>
          <w:p>
            <w:pPr>
              <w:spacing w:after="0"/>
              <w:rPr>
                <w:sz w:val="17"/>
                <w:szCs w:val="17"/>
                <w:color w:val="auto"/>
              </w:rPr>
            </w:pPr>
          </w:p>
        </w:tc>
        <w:tc>
          <w:tcPr>
            <w:tcW w:w="260" w:type="dxa"/>
            <w:vAlign w:val="bottom"/>
            <w:gridSpan w:val="2"/>
          </w:tcPr>
          <w:p>
            <w:pPr>
              <w:spacing w:after="0"/>
              <w:rPr>
                <w:sz w:val="17"/>
                <w:szCs w:val="17"/>
                <w:color w:val="auto"/>
              </w:rPr>
            </w:pPr>
          </w:p>
        </w:tc>
      </w:tr>
      <w:tr>
        <w:trPr>
          <w:trHeight w:val="27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w:t>
            </w:r>
          </w:p>
        </w:tc>
      </w:tr>
      <w:tr>
        <w:trPr>
          <w:trHeight w:val="234"/>
        </w:trPr>
        <w:tc>
          <w:tcPr>
            <w:tcW w:w="880" w:type="dxa"/>
            <w:vAlign w:val="bottom"/>
          </w:tcPr>
          <w:p>
            <w:pPr>
              <w:spacing w:after="0"/>
              <w:rPr>
                <w:sz w:val="20"/>
                <w:szCs w:val="20"/>
                <w:color w:val="auto"/>
              </w:rPr>
            </w:pPr>
          </w:p>
        </w:tc>
        <w:tc>
          <w:tcPr>
            <w:tcW w:w="7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bl>
    <w:p>
      <w:pPr>
        <w:spacing w:after="0" w:line="36" w:lineRule="exact"/>
        <w:rPr>
          <w:rFonts w:ascii="Times New Roman" w:cs="Times New Roman" w:eastAsia="Times New Roman" w:hAnsi="Times New Roman"/>
          <w:sz w:val="18"/>
          <w:szCs w:val="18"/>
          <w:color w:val="auto"/>
        </w:rPr>
      </w:pPr>
    </w:p>
    <w:p>
      <w:pPr>
        <w:ind w:left="940" w:right="199" w:hanging="884"/>
        <w:spacing w:after="0" w:line="282" w:lineRule="auto"/>
        <w:tabs>
          <w:tab w:leader="none" w:pos="9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9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Filed with this Quarterly Report on Form 10-Q.</w:t>
      </w:r>
    </w:p>
    <w:p>
      <w:pPr>
        <w:spacing w:after="0" w:line="95" w:lineRule="exact"/>
        <w:rPr>
          <w:rFonts w:ascii="Times New Roman" w:cs="Times New Roman" w:eastAsia="Times New Roman" w:hAnsi="Times New Roman"/>
          <w:sz w:val="18"/>
          <w:szCs w:val="18"/>
          <w:color w:val="auto"/>
        </w:rPr>
      </w:pPr>
    </w:p>
    <w:p>
      <w:pPr>
        <w:ind w:left="380" w:right="79" w:hanging="330"/>
        <w:spacing w:after="0" w:line="236"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ArriVent BioPharma, Inc. under the Securities Act of 1933, as amended, or the Securities Exchange Act of 1934, as amended, whether made before or after the date of this Form 10-Q, irrespective of any general incorporation language contained in such filing.</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-609600</wp:posOffset>
            </wp:positionV>
            <wp:extent cx="14141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49" w:lineRule="exact"/>
        <w:rPr>
          <w:rFonts w:ascii="Times New Roman" w:cs="Times New Roman" w:eastAsia="Times New Roman" w:hAnsi="Times New Roman"/>
          <w:sz w:val="18"/>
          <w:szCs w:val="18"/>
          <w:color w:val="auto"/>
        </w:rPr>
      </w:pPr>
    </w:p>
    <w:p>
      <w:pPr>
        <w:ind w:left="380" w:right="619" w:hanging="330"/>
        <w:spacing w:after="0" w:line="180" w:lineRule="auto"/>
        <w:tabs>
          <w:tab w:leader="none" w:pos="380" w:val="left"/>
        </w:tabs>
        <w:numPr>
          <w:ilvl w:val="0"/>
          <w:numId w:val="16"/>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2"/>
          <w:szCs w:val="12"/>
          <w:color w:val="auto"/>
        </w:rPr>
        <w:t>Certain confidential portions of this Exhibit were omitted by means of marking such portions with brackets (“[***]”) because the identified confidential portions (i) are not material and (ii) would be competitively harmful if publicly disclosed.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80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ARRIVENT BIOPHARMA, INC.</w:t>
            </w:r>
          </w:p>
        </w:tc>
      </w:tr>
      <w:tr>
        <w:trPr>
          <w:trHeight w:val="43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18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Zhengbin (Bing) Yao, Ph.D.</w:t>
            </w:r>
          </w:p>
        </w:tc>
      </w:tr>
      <w:tr>
        <w:trPr>
          <w:trHeight w:val="191"/>
        </w:trPr>
        <w:tc>
          <w:tcPr>
            <w:tcW w:w="30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Zhengbin (Bing) Yao, Ph.D.</w:t>
            </w:r>
          </w:p>
        </w:tc>
      </w:tr>
      <w:tr>
        <w:trPr>
          <w:trHeight w:val="216"/>
        </w:trPr>
        <w:tc>
          <w:tcPr>
            <w:tcW w:w="3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18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Winston Kung, MBA</w:t>
            </w:r>
          </w:p>
        </w:tc>
      </w:tr>
      <w:tr>
        <w:trPr>
          <w:trHeight w:val="191"/>
        </w:trPr>
        <w:tc>
          <w:tcPr>
            <w:tcW w:w="30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Winston Kung, MBA</w:t>
            </w:r>
          </w:p>
        </w:tc>
      </w:tr>
      <w:tr>
        <w:trPr>
          <w:trHeight w:val="234"/>
        </w:trPr>
        <w:tc>
          <w:tcPr>
            <w:tcW w:w="3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r>
    </w:tbl>
    <w:p>
      <w:pPr>
        <w:jc w:val="center"/>
        <w:ind w:left="490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234315</wp:posOffset>
            </wp:positionV>
            <wp:extent cx="62922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292215" cy="8890"/>
                    </a:xfrm>
                    <a:prstGeom prst="rect">
                      <a:avLst/>
                    </a:prstGeom>
                    <a:noFill/>
                  </pic:spPr>
                </pic:pic>
              </a:graphicData>
            </a:graphic>
          </wp:anchor>
        </w:drawing>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RESEARCH AND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JIANGSU ALPHAMAB BIOPHARMACEUTICALS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firstLine="8"/>
        <w:spacing w:after="0" w:line="264" w:lineRule="auto"/>
        <w:tabs>
          <w:tab w:leader="none" w:pos="358"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92" w:right="999" w:bottom="1440" w:gutter="0" w:footer="0" w:header="0"/>
        </w:sectPr>
      </w:pPr>
    </w:p>
    <w:bookmarkStart w:id="32" w:name="page33"/>
    <w:bookmarkEnd w:id="32"/>
    <w:p>
      <w:pPr>
        <w:jc w:val="both"/>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577215</wp:posOffset>
            </wp:positionV>
            <wp:extent cx="6292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292215" cy="8890"/>
                    </a:xfrm>
                    <a:prstGeom prst="rect">
                      <a:avLst/>
                    </a:prstGeom>
                    <a:noFill/>
                  </pic:spPr>
                </pic:pic>
              </a:graphicData>
            </a:graphic>
          </wp:anchor>
        </w:drawing>
        <w:t xml:space="preserve">This </w:t>
      </w:r>
      <w:r>
        <w:rPr>
          <w:rFonts w:ascii="Times New Roman" w:cs="Times New Roman" w:eastAsia="Times New Roman" w:hAnsi="Times New Roman"/>
          <w:sz w:val="18"/>
          <w:szCs w:val="18"/>
          <w:b w:val="1"/>
          <w:bCs w:val="1"/>
          <w:color w:val="auto"/>
        </w:rPr>
        <w:t>RESEARCH AND COLLABORATION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on June 2,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JIANGSU ALPHAMAB BIOPHARMACEUTICALS CO., LTD, with a place of business at No. 175 Fangzhou Road, SIP, Suzhou, Jiangsu, P.R. China 215125 (“</w:t>
      </w:r>
      <w:r>
        <w:rPr>
          <w:rFonts w:ascii="Times New Roman" w:cs="Times New Roman" w:eastAsia="Times New Roman" w:hAnsi="Times New Roman"/>
          <w:sz w:val="18"/>
          <w:szCs w:val="18"/>
          <w:b w:val="1"/>
          <w:bCs w:val="1"/>
          <w:color w:val="auto"/>
        </w:rPr>
        <w:t>Alphamab</w:t>
      </w:r>
      <w:r>
        <w:rPr>
          <w:rFonts w:ascii="Times New Roman" w:cs="Times New Roman" w:eastAsia="Times New Roman" w:hAnsi="Times New Roman"/>
          <w:sz w:val="18"/>
          <w:szCs w:val="18"/>
          <w:color w:val="auto"/>
        </w:rPr>
        <w:t>”), and ARRIVENT BIOPHARMA, INC., with a place of business at 18 Campus Blvd, Suite 100, Newtown Square, PA 19073-3269, United States (“</w:t>
      </w:r>
      <w:r>
        <w:rPr>
          <w:rFonts w:ascii="Times New Roman" w:cs="Times New Roman" w:eastAsia="Times New Roman" w:hAnsi="Times New Roman"/>
          <w:sz w:val="18"/>
          <w:szCs w:val="18"/>
          <w:b w:val="1"/>
          <w:bCs w:val="1"/>
          <w:color w:val="auto"/>
        </w:rPr>
        <w:t>ArriVent</w:t>
      </w:r>
      <w:r>
        <w:rPr>
          <w:rFonts w:ascii="Times New Roman" w:cs="Times New Roman" w:eastAsia="Times New Roman" w:hAnsi="Times New Roman"/>
          <w:sz w:val="18"/>
          <w:szCs w:val="18"/>
          <w:color w:val="auto"/>
        </w:rPr>
        <w:t>”). Alphamab and ArriVent may be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Alphamab has expertise in, and platforms for, the discovery of novel molecules;</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ArriVent has expertise in the research and development of pharmaceutical products;</w:t>
      </w:r>
    </w:p>
    <w:p>
      <w:pPr>
        <w:spacing w:after="0" w:line="198" w:lineRule="exact"/>
        <w:rPr>
          <w:sz w:val="20"/>
          <w:szCs w:val="20"/>
          <w:color w:val="auto"/>
        </w:rPr>
      </w:pPr>
    </w:p>
    <w:p>
      <w:pPr>
        <w:jc w:val="both"/>
        <w:ind w:left="10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wish to collaborate to use Alphamab Intellectual Property to discover and develop novel bispecific-antibody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drug conjugates (“</w:t>
      </w:r>
      <w:r>
        <w:rPr>
          <w:rFonts w:ascii="Times New Roman" w:cs="Times New Roman" w:eastAsia="Times New Roman" w:hAnsi="Times New Roman"/>
          <w:sz w:val="18"/>
          <w:szCs w:val="18"/>
          <w:b w:val="1"/>
          <w:bCs w:val="1"/>
          <w:color w:val="auto"/>
        </w:rPr>
        <w:t>Bi-ADC</w:t>
      </w:r>
      <w:r>
        <w:rPr>
          <w:rFonts w:ascii="Times New Roman" w:cs="Times New Roman" w:eastAsia="Times New Roman" w:hAnsi="Times New Roman"/>
          <w:sz w:val="18"/>
          <w:szCs w:val="18"/>
          <w:color w:val="auto"/>
        </w:rPr>
        <w:t>”), from which Compounds and Products may be selected and further developed and commercialized by the Parties in accordance with the terms of this Agreement; and</w:t>
      </w:r>
    </w:p>
    <w:p>
      <w:pPr>
        <w:spacing w:after="0" w:line="130" w:lineRule="exact"/>
        <w:rPr>
          <w:sz w:val="20"/>
          <w:szCs w:val="20"/>
          <w:color w:val="auto"/>
        </w:rPr>
      </w:pPr>
    </w:p>
    <w:p>
      <w:pPr>
        <w:jc w:val="both"/>
        <w:ind w:left="10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provided herein below and other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is hereby acknowledged, Alphamab and ArriVent hereby agree as follows: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 DEFINITIONS</w:t>
      </w:r>
    </w:p>
    <w:p>
      <w:pPr>
        <w:spacing w:after="0" w:line="198" w:lineRule="exact"/>
        <w:rPr>
          <w:sz w:val="20"/>
          <w:szCs w:val="20"/>
          <w:color w:val="auto"/>
        </w:rPr>
      </w:pPr>
    </w:p>
    <w:p>
      <w:pPr>
        <w:jc w:val="center"/>
        <w:ind w:right="80"/>
        <w:spacing w:after="0" w:line="453" w:lineRule="auto"/>
        <w:rPr>
          <w:sz w:val="20"/>
          <w:szCs w:val="20"/>
          <w:color w:val="auto"/>
        </w:rPr>
      </w:pPr>
      <w:r>
        <w:rPr>
          <w:rFonts w:ascii="Times New Roman" w:cs="Times New Roman" w:eastAsia="Times New Roman" w:hAnsi="Times New Roman"/>
          <w:sz w:val="18"/>
          <w:szCs w:val="18"/>
          <w:color w:val="auto"/>
        </w:rPr>
        <w:t xml:space="preserve">Capitalized terms used in this Agreement have the meanings ascribed to them herein or referenced in </w:t>
      </w:r>
      <w:r>
        <w:rPr>
          <w:rFonts w:ascii="Times New Roman" w:cs="Times New Roman" w:eastAsia="Times New Roman" w:hAnsi="Times New Roman"/>
          <w:sz w:val="18"/>
          <w:szCs w:val="18"/>
          <w:b w:val="1"/>
          <w:bCs w:val="1"/>
          <w:u w:val="single" w:color="auto"/>
          <w:color w:val="auto"/>
        </w:rPr>
        <w:t>Exhibit 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ARTICLE 2 LICENSE</w:t>
      </w:r>
    </w:p>
    <w:p>
      <w:pPr>
        <w:spacing w:after="0" w:line="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License Grants to ArriVent</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2.1.1 </w:t>
      </w:r>
      <w:r>
        <w:rPr>
          <w:rFonts w:ascii="Times New Roman" w:cs="Times New Roman" w:eastAsia="Times New Roman" w:hAnsi="Times New Roman"/>
          <w:sz w:val="18"/>
          <w:szCs w:val="18"/>
          <w:color w:val="auto"/>
        </w:rPr>
        <w:t>Upon the JSC’s approval of each Compound pursuant to Article 3, and subject to Article 4.5, Alphamab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grants to ArriVent an exclusive, royalty-bearing, sublicensable (subject to Article 2.2) and non-transferable license under the Alphamab Patents (except for any Patents under the Manufacturing License), Alphamab Know-How (except for any Know-How under the Manufacturing License), Joint New IP and Joint New Patents for ArriVent to Develop and Commercialize the Compound and Products in the Field in the ArriVent Territory (“</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Alphamab will provide ArriVent with an updated list of applicable Alphamab Patents and Alphamab Know-How upon the confirmation of the Compound by the Parties through the JSC.</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color w:val="auto"/>
        </w:rPr>
        <w:t>Upon commencement of activities to manufacture Compounds and Product for use in [***],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7.3, Alphamab grants to ArriVent a royalty-bearing, sublicensable (upon prior-approval from Alphamab) and non-transferable license under the Alphamab Patents and Alphamab Know-How for ArriVent to Manufacture the applicable Compounds and Products in the Field in the ArriVent Territory (“</w:t>
      </w:r>
      <w:r>
        <w:rPr>
          <w:rFonts w:ascii="Times New Roman" w:cs="Times New Roman" w:eastAsia="Times New Roman" w:hAnsi="Times New Roman"/>
          <w:sz w:val="18"/>
          <w:szCs w:val="18"/>
          <w:b w:val="1"/>
          <w:bCs w:val="1"/>
          <w:color w:val="auto"/>
        </w:rPr>
        <w:t>Manufacturing License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2" w:right="999" w:bottom="1440" w:gutter="0" w:footer="0" w:header="0"/>
        </w:sectPr>
      </w:pPr>
    </w:p>
    <w:bookmarkStart w:id="33" w:name="page34"/>
    <w:bookmarkEnd w:id="33"/>
    <w:p>
      <w:pPr>
        <w:jc w:val="both"/>
        <w:ind w:left="632" w:hanging="634"/>
        <w:spacing w:after="0" w:line="255"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577215</wp:posOffset>
            </wp:positionV>
            <wp:extent cx="6292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292215" cy="889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8"/>
          <w:szCs w:val="18"/>
          <w:b w:val="1"/>
          <w:bCs w:val="1"/>
          <w:color w:val="auto"/>
        </w:rPr>
        <w:t xml:space="preserve">Right to Sublicenses. </w:t>
      </w:r>
      <w:r>
        <w:rPr>
          <w:rFonts w:ascii="Times New Roman" w:cs="Times New Roman" w:eastAsia="Times New Roman" w:hAnsi="Times New Roman"/>
          <w:sz w:val="18"/>
          <w:szCs w:val="18"/>
          <w:color w:val="auto"/>
        </w:rPr>
        <w:t>ArriVent shall have the right to grant Sublicenses under all or part of the Licenses and rights granted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2.1 to (a) Affiliates; and/or (b) Third Parties with prompt written notice to Alphamab of such Sublicense, and for a Sublicense for which an Out-license Fee is due, including details of the transaction amount. ArriVent shall cause each Sublicensee to comply with the applicable terms and conditions of this Agreement. Any breach by a Sublicensee of this Agreement shall be considered a breach by ArriVent. The grant of any such Sublicense shall not relieve ArriVent of its obligations under this Agreement. For purposes of this Agreement, a “</w:t>
      </w:r>
      <w:r>
        <w:rPr>
          <w:rFonts w:ascii="Times New Roman" w:cs="Times New Roman" w:eastAsia="Times New Roman" w:hAnsi="Times New Roman"/>
          <w:sz w:val="18"/>
          <w:szCs w:val="18"/>
          <w:b w:val="1"/>
          <w:bCs w:val="1"/>
          <w:color w:val="auto"/>
        </w:rPr>
        <w:t>Sublicense</w:t>
      </w:r>
      <w:r>
        <w:rPr>
          <w:rFonts w:ascii="Times New Roman" w:cs="Times New Roman" w:eastAsia="Times New Roman" w:hAnsi="Times New Roman"/>
          <w:sz w:val="18"/>
          <w:szCs w:val="18"/>
          <w:color w:val="auto"/>
        </w:rPr>
        <w:t>” means a sublicense of all or part of the rights granted to a Party hereunder to a Third Party including the right for the Third Party to Develop or Commercialize one or more Products on its own behalf in the applicable Territory.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will mean the Third Party in receipt of a Sublicense.</w:t>
      </w:r>
    </w:p>
    <w:p>
      <w:pPr>
        <w:spacing w:after="0" w:line="144" w:lineRule="exact"/>
        <w:rPr>
          <w:sz w:val="20"/>
          <w:szCs w:val="20"/>
          <w:color w:val="auto"/>
        </w:rPr>
      </w:pPr>
    </w:p>
    <w:p>
      <w:pPr>
        <w:jc w:val="both"/>
        <w:ind w:left="632" w:hanging="634"/>
        <w:spacing w:after="0" w:line="262"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 xml:space="preserve">Right to Subcontract. </w:t>
      </w:r>
      <w:r>
        <w:rPr>
          <w:rFonts w:ascii="Times New Roman" w:cs="Times New Roman" w:eastAsia="Times New Roman" w:hAnsi="Times New Roman"/>
          <w:sz w:val="18"/>
          <w:szCs w:val="18"/>
          <w:color w:val="auto"/>
        </w:rPr>
        <w:t>Each Party may engage one or more Affiliates or Third Party subcontractors to perform services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furtherance of the performance of its obligations or exercise of its rights under this Agreement; provided that no engagement of any such Affiliates, or Third Party subcontractors will relieve the engaging Party of its obligations under this Agreement or any liability hereunder. Any breach by a subcontractor by a Party of this Agreement shall be considered a breach by such Party.</w:t>
      </w:r>
    </w:p>
    <w:p>
      <w:pPr>
        <w:spacing w:after="0" w:line="136" w:lineRule="exact"/>
        <w:rPr>
          <w:sz w:val="20"/>
          <w:szCs w:val="20"/>
          <w:color w:val="auto"/>
        </w:rPr>
      </w:pPr>
    </w:p>
    <w:p>
      <w:pPr>
        <w:jc w:val="both"/>
        <w:ind w:left="632" w:hanging="634"/>
        <w:spacing w:after="0" w:line="256"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License Grant to Alphamab</w:t>
      </w:r>
      <w:r>
        <w:rPr>
          <w:rFonts w:ascii="Times New Roman" w:cs="Times New Roman" w:eastAsia="Times New Roman" w:hAnsi="Times New Roman"/>
          <w:sz w:val="18"/>
          <w:szCs w:val="18"/>
          <w:color w:val="auto"/>
        </w:rPr>
        <w:t>. In consideration for the License granted by Alphamab to ArriVent under Article 2.1, ArriVent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grants to Alphamab a royalty-free, fully-paid, perpetual license, with the right to grant Sublicenses through multiple tiers, under ArriVent’s New Patents, ArriVent’s New IP, Joint New Patent and Joint New IP, with the right to grant Sublicense, for any and all purposes within the Alphamab Territory. The license grant in this Article 2.4 will be exclusive during the Term. Upon expiration or early termination (subject to Article 13.3.3), ArriVent shall promptly assign to Alphamab all of its rights in and under ArriVent’s New Patents, ArriVent’s New IP, Joint New Patents and Joint New IP to Alphamab within Alphamab Territory.</w:t>
      </w:r>
    </w:p>
    <w:p>
      <w:pPr>
        <w:spacing w:after="0" w:line="142" w:lineRule="exact"/>
        <w:rPr>
          <w:sz w:val="20"/>
          <w:szCs w:val="20"/>
          <w:color w:val="auto"/>
        </w:rPr>
      </w:pPr>
    </w:p>
    <w:p>
      <w:pPr>
        <w:jc w:val="both"/>
        <w:ind w:left="632" w:right="20" w:hanging="634"/>
        <w:spacing w:after="0" w:line="262"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 xml:space="preserve">Retained Rights. </w:t>
      </w:r>
      <w:r>
        <w:rPr>
          <w:rFonts w:ascii="Times New Roman" w:cs="Times New Roman" w:eastAsia="Times New Roman" w:hAnsi="Times New Roman"/>
          <w:sz w:val="18"/>
          <w:szCs w:val="18"/>
          <w:color w:val="auto"/>
        </w:rPr>
        <w:t>Rights to any Patents, Know-How, any corporate names, trademarks owned or used by a Party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or any other Intellectual Property Rights, not expressly granted herein, whether by estoppel, implication or otherwise, shall be retained by such Party. Alphamab retains all and any rights not expressly granted to ArriVent under Article 2.1 above, including rights for Development and Commercialization within the Alphamab Territory.</w:t>
      </w:r>
    </w:p>
    <w:p>
      <w:pPr>
        <w:spacing w:after="0" w:line="13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ARTICLE 3 GOVERNANCE</w:t>
      </w:r>
    </w:p>
    <w:p>
      <w:pPr>
        <w:spacing w:after="0" w:line="198" w:lineRule="exact"/>
        <w:rPr>
          <w:sz w:val="20"/>
          <w:szCs w:val="20"/>
          <w:color w:val="auto"/>
        </w:rPr>
      </w:pPr>
    </w:p>
    <w:p>
      <w:pPr>
        <w:jc w:val="both"/>
        <w:ind w:left="632" w:hanging="634"/>
        <w:spacing w:after="0" w:line="262"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 xml:space="preserve">Joint Steering Committee. </w:t>
      </w:r>
      <w:r>
        <w:rPr>
          <w:rFonts w:ascii="Times New Roman" w:cs="Times New Roman" w:eastAsia="Times New Roman" w:hAnsi="Times New Roman"/>
          <w:sz w:val="18"/>
          <w:szCs w:val="18"/>
          <w:color w:val="auto"/>
        </w:rPr>
        <w:t>Promptly and in any event within fifteen (15) days after the Effective Date, the Parties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 a joint steering committee (the “</w:t>
      </w:r>
      <w:r>
        <w:rPr>
          <w:rFonts w:ascii="Times New Roman" w:cs="Times New Roman" w:eastAsia="Times New Roman" w:hAnsi="Times New Roman"/>
          <w:sz w:val="18"/>
          <w:szCs w:val="18"/>
          <w:b w:val="1"/>
          <w:bCs w:val="1"/>
          <w:color w:val="auto"/>
        </w:rPr>
        <w:t>Joint Steering Committee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to provide a forum for the communication and decision-making to facilitate co-ordination and maximization of the value of the Parties’ activities under this Agreement. The JSC will dissolve upon the expiration of the Term.</w:t>
      </w:r>
    </w:p>
    <w:p>
      <w:pPr>
        <w:spacing w:after="0" w:line="136" w:lineRule="exact"/>
        <w:rPr>
          <w:sz w:val="20"/>
          <w:szCs w:val="20"/>
          <w:color w:val="auto"/>
        </w:rPr>
      </w:pPr>
    </w:p>
    <w:p>
      <w:pPr>
        <w:jc w:val="both"/>
        <w:ind w:left="632" w:hanging="634"/>
        <w:spacing w:after="0" w:line="286"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Membership</w:t>
      </w:r>
      <w:r>
        <w:rPr>
          <w:rFonts w:ascii="Times New Roman" w:cs="Times New Roman" w:eastAsia="Times New Roman" w:hAnsi="Times New Roman"/>
          <w:sz w:val="18"/>
          <w:szCs w:val="18"/>
          <w:color w:val="auto"/>
        </w:rPr>
        <w:t>. The JSC shall initially consist of a total of six (6) individuals with three (3) representatives designated by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The Parties may agree to increase or decrease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left="-8" w:firstLine="8"/>
        <w:spacing w:after="0" w:line="264" w:lineRule="auto"/>
        <w:tabs>
          <w:tab w:leader="none" w:pos="349"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12"/>
          </w:cols>
          <w:pgMar w:left="988" w:top="1332" w:right="999" w:bottom="1440" w:gutter="0" w:footer="0" w:header="0"/>
        </w:sectPr>
      </w:pPr>
    </w:p>
    <w:bookmarkStart w:id="34" w:name="page35"/>
    <w:bookmarkEnd w:id="34"/>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577215</wp:posOffset>
            </wp:positionV>
            <wp:extent cx="62922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292215" cy="8255"/>
                    </a:xfrm>
                    <a:prstGeom prst="rect">
                      <a:avLst/>
                    </a:prstGeom>
                    <a:noFill/>
                  </pic:spPr>
                </pic:pic>
              </a:graphicData>
            </a:graphic>
          </wp:anchor>
        </w:drawing>
        <w:t>number of representatives that each Party may appoint on the JSC, provided that each Party has the same number of representatives. A party that replaces a representative will notify the other Party at least ten (10) Business Days prior to the next scheduled meeting of the JSC.</w:t>
      </w:r>
    </w:p>
    <w:p>
      <w:pPr>
        <w:spacing w:after="0" w:line="145" w:lineRule="exact"/>
        <w:rPr>
          <w:sz w:val="20"/>
          <w:szCs w:val="20"/>
          <w:color w:val="auto"/>
        </w:rPr>
      </w:pPr>
    </w:p>
    <w:p>
      <w:pPr>
        <w:jc w:val="both"/>
        <w:ind w:left="632" w:hanging="634"/>
        <w:spacing w:after="0" w:line="257"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 xml:space="preserve">Co-Chairpersons of JSC. </w:t>
      </w:r>
      <w:r>
        <w:rPr>
          <w:rFonts w:ascii="Times New Roman" w:cs="Times New Roman" w:eastAsia="Times New Roman" w:hAnsi="Times New Roman"/>
          <w:sz w:val="18"/>
          <w:szCs w:val="18"/>
          <w:color w:val="auto"/>
        </w:rPr>
        <w:t>Each Party will select from their representatives of the JSC a co-chairperson for the JSC,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may change its designated co-chairperson from time to time upon notice to the other Party. The co-chairpersons of the JSC will be responsible for: (a) calling meetings of the JSC; (b) preparing and circulating an agenda and relevant materials to the other Party at least five (5) Business Days in advance of each meeting, casting any votes on behalf of a Party at a JSC meeting, or designating another representative of such Party to cast a vote on their behalf; and (c) within ten (10) Business Days after conclusion of a JSC meeting, preparing and issuing draft minutes of the meeting.</w:t>
      </w:r>
    </w:p>
    <w:p>
      <w:pPr>
        <w:spacing w:after="0" w:line="142" w:lineRule="exact"/>
        <w:rPr>
          <w:sz w:val="20"/>
          <w:szCs w:val="20"/>
          <w:color w:val="auto"/>
        </w:rPr>
      </w:pPr>
    </w:p>
    <w:p>
      <w:pPr>
        <w:jc w:val="both"/>
        <w:ind w:left="632" w:hanging="634"/>
        <w:spacing w:after="0" w:line="256"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b w:val="1"/>
          <w:bCs w:val="1"/>
          <w:color w:val="auto"/>
        </w:rPr>
        <w:t>Alliance Managers</w:t>
      </w:r>
      <w:r>
        <w:rPr>
          <w:rFonts w:ascii="Times New Roman" w:cs="Times New Roman" w:eastAsia="Times New Roman" w:hAnsi="Times New Roman"/>
          <w:sz w:val="18"/>
          <w:szCs w:val="18"/>
          <w:color w:val="auto"/>
        </w:rPr>
        <w:t>. Promptly after the Effective Date, each Party will appoint an individual to act as alliance manager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which may be one of the representatives of such Party on the JSC (each, an “</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The Alliance Managers will be the primary point of contact for the Parties regarding the activities contemplated by this Agreement and will facilitate all such activities hereunder. The Alliance Managers will attend all meetings of the JSC and will be responsible for assisting the JSC in performing its oversight responsibilities. The name and contact information for each Party’s Alliance Manager, as well as any replacement(s) chosen by such Party, in its sole discretion, from time to time, will be promptly provided by written notice to the other Party.</w:t>
      </w:r>
    </w:p>
    <w:p>
      <w:pPr>
        <w:spacing w:after="0" w:line="142" w:lineRule="exact"/>
        <w:rPr>
          <w:sz w:val="20"/>
          <w:szCs w:val="20"/>
          <w:color w:val="auto"/>
        </w:rPr>
      </w:pPr>
    </w:p>
    <w:p>
      <w:pPr>
        <w:jc w:val="both"/>
        <w:ind w:left="632" w:hanging="634"/>
        <w:spacing w:after="0" w:line="262"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8"/>
          <w:szCs w:val="18"/>
          <w:b w:val="1"/>
          <w:bCs w:val="1"/>
          <w:color w:val="auto"/>
        </w:rPr>
        <w:t>Additional Participants</w:t>
      </w:r>
      <w:r>
        <w:rPr>
          <w:rFonts w:ascii="Times New Roman" w:cs="Times New Roman" w:eastAsia="Times New Roman" w:hAnsi="Times New Roman"/>
          <w:sz w:val="18"/>
          <w:szCs w:val="18"/>
          <w:color w:val="auto"/>
        </w:rPr>
        <w:t>. In addition to Alliance Managers, the JSC may invite non-members (including other employees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and/or scientific consultants and advisors of a Party who are under an obligation of confidentiality consistent with this Agreement) to participate in the discussions and meetings of the JSC, provided that such participants shall have no voting authority at the JSC meetings.</w:t>
      </w:r>
    </w:p>
    <w:p>
      <w:pPr>
        <w:spacing w:after="0" w:line="136" w:lineRule="exact"/>
        <w:rPr>
          <w:sz w:val="20"/>
          <w:szCs w:val="20"/>
          <w:color w:val="auto"/>
        </w:rPr>
      </w:pPr>
    </w:p>
    <w:p>
      <w:pPr>
        <w:jc w:val="both"/>
        <w:ind w:left="632" w:hanging="634"/>
        <w:spacing w:after="0" w:line="253"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8"/>
          <w:szCs w:val="18"/>
          <w:b w:val="1"/>
          <w:bCs w:val="1"/>
          <w:color w:val="auto"/>
        </w:rPr>
        <w:t>JSC Meetings</w:t>
      </w:r>
      <w:r>
        <w:rPr>
          <w:rFonts w:ascii="Times New Roman" w:cs="Times New Roman" w:eastAsia="Times New Roman" w:hAnsi="Times New Roman"/>
          <w:sz w:val="18"/>
          <w:szCs w:val="18"/>
          <w:color w:val="auto"/>
        </w:rPr>
        <w:t>. The JSC will hold meetings at such times and places as the co-chairpersons may reasonably determine,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unless the Parties agree otherwise, the JSC will meet at least bi-weekly through the completion of Research, and quarterly thereafter. The JSC may meet in person or by means of teleconference, Internet conference, video conference, or other similar communication method. Each Party will bear its own costs and expenses associated with attending meetings of the JSC. At the JSC meeting, the presence of at least one (1) member designated by each Party shall constitute a quorum. Each meeting will be held in English, unless otherwise agreed by all JSC members in attendance at the applicable meeting. Further, all documents submitted to the JSC will be provided in English, unless otherwise agreed in advance by all members of the JSC. Each individual attending any JSC meeting hereunder (whether as a JSC member or invitee) shall be bound by written non-use, non-disclosure terms and conditions at least as restrictive as those set forth in this Agreement with respect to the Confidential Information of the other Party. The minutes of JSC meeting shall be maintained in English deemed agreed only after such minutes have been approved by both Parties in writing (which may be upon signature of a JSC member of each Party). The minutes should include any matters presented to the JSC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left="-8" w:firstLine="8"/>
        <w:spacing w:after="0" w:line="264" w:lineRule="auto"/>
        <w:tabs>
          <w:tab w:leader="none" w:pos="349"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12"/>
          </w:cols>
          <w:pgMar w:left="988" w:top="1336" w:right="99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577215</wp:posOffset>
            </wp:positionV>
            <wp:extent cx="62922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8255"/>
                    </a:xfrm>
                    <a:prstGeom prst="rect">
                      <a:avLst/>
                    </a:prstGeom>
                    <a:noFill/>
                  </pic:spPr>
                </pic:pic>
              </a:graphicData>
            </a:graphic>
          </wp:anchor>
        </w:drawing>
        <w:t>for a vote and the vote cast by each of the chairpersons on behalf of a Party’s members of the JSC.</w:t>
      </w:r>
    </w:p>
    <w:p>
      <w:pPr>
        <w:spacing w:after="0" w:line="1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7"/>
          <w:szCs w:val="17"/>
          <w:b w:val="1"/>
          <w:bCs w:val="1"/>
          <w:color w:val="auto"/>
        </w:rPr>
        <w:t>Specific Responsibilities of the JSC</w:t>
      </w:r>
      <w:r>
        <w:rPr>
          <w:rFonts w:ascii="Times New Roman" w:cs="Times New Roman" w:eastAsia="Times New Roman" w:hAnsi="Times New Roman"/>
          <w:sz w:val="17"/>
          <w:szCs w:val="17"/>
          <w:color w:val="auto"/>
        </w:rPr>
        <w:t>. The responsibilities of the JSC will be to:</w:t>
      </w:r>
    </w:p>
    <w:p>
      <w:pPr>
        <w:spacing w:after="0" w:line="189" w:lineRule="exact"/>
        <w:rPr>
          <w:sz w:val="20"/>
          <w:szCs w:val="20"/>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 and approve the Screening Plan and any amendments thereto;</w:t>
      </w:r>
    </w:p>
    <w:p>
      <w:pPr>
        <w:spacing w:after="0" w:line="184" w:lineRule="exact"/>
        <w:rPr>
          <w:rFonts w:ascii="Times New Roman" w:cs="Times New Roman" w:eastAsia="Times New Roman" w:hAnsi="Times New Roman"/>
          <w:sz w:val="18"/>
          <w:szCs w:val="18"/>
          <w:b w:val="1"/>
          <w:bCs w:val="1"/>
          <w:color w:val="auto"/>
        </w:rPr>
      </w:pPr>
    </w:p>
    <w:p>
      <w:pPr>
        <w:ind w:left="1040" w:right="20" w:hanging="384"/>
        <w:spacing w:after="0" w:line="282" w:lineRule="auto"/>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 the overall Research collaboration alignment between the Parties under this Agreement and maintain the relationship;</w:t>
      </w:r>
    </w:p>
    <w:p>
      <w:pPr>
        <w:spacing w:after="0" w:line="121" w:lineRule="exact"/>
        <w:rPr>
          <w:rFonts w:ascii="Times New Roman" w:cs="Times New Roman" w:eastAsia="Times New Roman" w:hAnsi="Times New Roman"/>
          <w:sz w:val="18"/>
          <w:szCs w:val="18"/>
          <w:b w:val="1"/>
          <w:bCs w:val="1"/>
          <w:color w:val="auto"/>
        </w:rPr>
      </w:pPr>
    </w:p>
    <w:p>
      <w:pPr>
        <w:ind w:left="1040" w:right="20" w:hanging="384"/>
        <w:spacing w:after="0" w:line="282" w:lineRule="auto"/>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Select and decide on the Target Pairs (and any replacements thereof) based on ArriVent’s nomination and available information, including the screening results;</w:t>
      </w:r>
    </w:p>
    <w:p>
      <w:pPr>
        <w:spacing w:after="0" w:line="121"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 and approve the Research Plan, ArriVent Directed Research and any amendments thereto;</w:t>
      </w:r>
    </w:p>
    <w:p>
      <w:pPr>
        <w:spacing w:after="0" w:line="184"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 and decide the design and process of Compounds and Products during Research stage;</w:t>
      </w:r>
    </w:p>
    <w:p>
      <w:pPr>
        <w:spacing w:after="0" w:line="184"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 the Research results;</w:t>
      </w:r>
    </w:p>
    <w:p>
      <w:pPr>
        <w:spacing w:after="0" w:line="184" w:lineRule="exact"/>
        <w:rPr>
          <w:rFonts w:ascii="Times New Roman" w:cs="Times New Roman" w:eastAsia="Times New Roman" w:hAnsi="Times New Roman"/>
          <w:sz w:val="18"/>
          <w:szCs w:val="18"/>
          <w:b w:val="1"/>
          <w:bCs w:val="1"/>
          <w:color w:val="auto"/>
        </w:rPr>
      </w:pPr>
    </w:p>
    <w:p>
      <w:pPr>
        <w:ind w:left="1040" w:hanging="384"/>
        <w:spacing w:after="0" w:line="282" w:lineRule="auto"/>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 and approve the costs and expenses budget on screening activities and budget on Research activities in excess of [***] of the Research Budget;</w:t>
      </w:r>
    </w:p>
    <w:p>
      <w:pPr>
        <w:spacing w:after="0" w:line="121" w:lineRule="exact"/>
        <w:rPr>
          <w:rFonts w:ascii="Times New Roman" w:cs="Times New Roman" w:eastAsia="Times New Roman" w:hAnsi="Times New Roman"/>
          <w:sz w:val="18"/>
          <w:szCs w:val="18"/>
          <w:b w:val="1"/>
          <w:bCs w:val="1"/>
          <w:color w:val="auto"/>
        </w:rPr>
      </w:pPr>
    </w:p>
    <w:p>
      <w:pPr>
        <w:ind w:left="1040" w:right="20" w:hanging="384"/>
        <w:spacing w:after="0" w:line="282" w:lineRule="auto"/>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 and approve the costs and expenses budget on Development activities within and for the ArriVent Territory and Dual Territory Study;</w:t>
      </w:r>
    </w:p>
    <w:p>
      <w:pPr>
        <w:spacing w:after="0" w:line="121"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Supervise on the performance of the Supply Agreements;</w:t>
      </w:r>
    </w:p>
    <w:p>
      <w:pPr>
        <w:spacing w:after="0" w:line="184"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Report and discuss the Development Plan and any updates thereto;</w:t>
      </w:r>
    </w:p>
    <w:p>
      <w:pPr>
        <w:spacing w:after="0" w:line="184"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Report and share information for Development activities in the Alphamab Territory;</w:t>
      </w:r>
    </w:p>
    <w:p>
      <w:pPr>
        <w:spacing w:after="0" w:line="184" w:lineRule="exact"/>
        <w:rPr>
          <w:rFonts w:ascii="Times New Roman" w:cs="Times New Roman" w:eastAsia="Times New Roman" w:hAnsi="Times New Roman"/>
          <w:sz w:val="18"/>
          <w:szCs w:val="18"/>
          <w:b w:val="1"/>
          <w:bCs w:val="1"/>
          <w:color w:val="auto"/>
        </w:rPr>
      </w:pPr>
    </w:p>
    <w:p>
      <w:pPr>
        <w:ind w:left="1040" w:right="20" w:hanging="384"/>
        <w:spacing w:after="0" w:line="282" w:lineRule="auto"/>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Report and share information for the regulatory and Commercialization strategy of the Product within ArriVent Territory and the Alphamab Territory;</w:t>
      </w:r>
    </w:p>
    <w:p>
      <w:pPr>
        <w:spacing w:after="0" w:line="121" w:lineRule="exact"/>
        <w:rPr>
          <w:rFonts w:ascii="Times New Roman" w:cs="Times New Roman" w:eastAsia="Times New Roman" w:hAnsi="Times New Roman"/>
          <w:sz w:val="18"/>
          <w:szCs w:val="18"/>
          <w:b w:val="1"/>
          <w:bCs w:val="1"/>
          <w:color w:val="auto"/>
        </w:rPr>
      </w:pPr>
    </w:p>
    <w:p>
      <w:pPr>
        <w:jc w:val="both"/>
        <w:ind w:left="1040" w:right="20" w:hanging="384"/>
        <w:spacing w:after="0" w:line="266" w:lineRule="auto"/>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 any concerns raised by either Party regarding any action that the other Party is taking or intends to take with respect to any Product that is likely to have a material adverse effect upon the regulatory status of any Product in the other Party’s Territory;</w:t>
      </w:r>
    </w:p>
    <w:p>
      <w:pPr>
        <w:spacing w:after="0" w:line="135" w:lineRule="exact"/>
        <w:rPr>
          <w:rFonts w:ascii="Times New Roman" w:cs="Times New Roman" w:eastAsia="Times New Roman" w:hAnsi="Times New Roman"/>
          <w:sz w:val="18"/>
          <w:szCs w:val="18"/>
          <w:b w:val="1"/>
          <w:bCs w:val="1"/>
          <w:color w:val="auto"/>
        </w:rPr>
      </w:pPr>
    </w:p>
    <w:p>
      <w:pPr>
        <w:jc w:val="both"/>
        <w:ind w:left="1040" w:hanging="384"/>
        <w:spacing w:after="0" w:line="266" w:lineRule="auto"/>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Forming any subcommittee as it or the Parties deem appropriate or necessary, deciding the scope of responsibilities of any subcommittee, supervising the subcommittees and making decisions resolving matters submitted by any subcommittee in accordance with Article 3.8;</w:t>
      </w:r>
    </w:p>
    <w:p>
      <w:pPr>
        <w:spacing w:after="0" w:line="135"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and discuss patenting and Intellectual Property Right protection strategies for Products and other Joint New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36" w:name="page37"/>
    <w:bookmarkEnd w:id="36"/>
    <w:p>
      <w:pPr>
        <w:jc w:val="both"/>
        <w:ind w:left="1040" w:right="20" w:hanging="384"/>
        <w:spacing w:after="0" w:line="261" w:lineRule="auto"/>
        <w:tabs>
          <w:tab w:leader="none" w:pos="10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577215</wp:posOffset>
            </wp:positionV>
            <wp:extent cx="62922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292215" cy="8255"/>
                    </a:xfrm>
                    <a:prstGeom prst="rect">
                      <a:avLst/>
                    </a:prstGeom>
                    <a:noFill/>
                  </pic:spPr>
                </pic:pic>
              </a:graphicData>
            </a:graphic>
          </wp:anchor>
        </w:drawing>
        <w:t>Facilitate access to and the exchange of information between the Parties pursuant to this Agreement and any Ancillary Agreements, including the exchange of relevant information and data between the Parties (i) as required for the performance of any rights or obligations and (ii) related to the Development and Commercialization of Products in the Territory by the Parties;</w:t>
      </w:r>
    </w:p>
    <w:p>
      <w:pPr>
        <w:spacing w:after="0" w:line="139"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Establish procedures for Publications as set forth in Article 11; and</w:t>
      </w:r>
    </w:p>
    <w:p>
      <w:pPr>
        <w:spacing w:after="0" w:line="184"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other responsibilities as may be assigned to the JSC pursuant to this Agreement and any Ancillary Agreement.</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7"/>
          <w:szCs w:val="17"/>
          <w:b w:val="1"/>
          <w:bCs w:val="1"/>
          <w:color w:val="auto"/>
        </w:rPr>
        <w:t>Decision Making</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3.8.1 Voting</w:t>
      </w:r>
      <w:r>
        <w:rPr>
          <w:rFonts w:ascii="Times New Roman" w:cs="Times New Roman" w:eastAsia="Times New Roman" w:hAnsi="Times New Roman"/>
          <w:sz w:val="18"/>
          <w:szCs w:val="18"/>
          <w:color w:val="auto"/>
        </w:rPr>
        <w:t>. All decisions of the JSC shall be made by unanimous vote, with each Party’s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having one (1) vote on all matters brought before such committee for a decision by consensus. No vote of the JSC may be taken unless at least one of each Party’s representatives is present for the vote. Each Party shall be responsible for ensuring that, at all times, its representatives on the JSC act reasonably and in good faith in carrying out their respective responsibilities hereunder.</w:t>
      </w:r>
    </w:p>
    <w:p>
      <w:pPr>
        <w:spacing w:after="0" w:line="14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3.8.2 Failure to Achieve Unanimous Vote</w:t>
      </w:r>
      <w:r>
        <w:rPr>
          <w:rFonts w:ascii="Times New Roman" w:cs="Times New Roman" w:eastAsia="Times New Roman" w:hAnsi="Times New Roman"/>
          <w:sz w:val="18"/>
          <w:szCs w:val="18"/>
          <w:color w:val="auto"/>
        </w:rPr>
        <w:t>. The JSC will use good faith efforts, in compliance with this Article,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promptly resolve any matter for which it has authority and come to a unanimous decision. If, after the use of good faith efforts, the JSC is unable to resolve any matter within the scope of the JSC’s authority, in each case, within a period of [***], then either Party may refer such matter to the Party’s respective senior executive officer for resolution. If a Party refers a matter to the senior executive officers, then the senior executive officers will use good faith efforts to resolve any such matter so referred to them as soon as practicable but, in any event, within [***] after such matter is referred to them, and any final decision that the senior executive officers agree to in writing will be conclusive and binding on the Parties.</w:t>
      </w:r>
    </w:p>
    <w:p>
      <w:pPr>
        <w:spacing w:after="0" w:line="14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3.8.3 Final Decision-Making Authority</w:t>
      </w:r>
      <w:r>
        <w:rPr>
          <w:rFonts w:ascii="Times New Roman" w:cs="Times New Roman" w:eastAsia="Times New Roman" w:hAnsi="Times New Roman"/>
          <w:sz w:val="18"/>
          <w:szCs w:val="18"/>
          <w:color w:val="auto"/>
        </w:rPr>
        <w:t>. If the senior executive officers are unable to reach agreement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referred to them within [***] after such matter is referred to them (or such longer period as the senior executive officers may agree upon), then, subject to Article 3.8.5: (a) except with respect to any costs to be incurred by ArriVent, Alphamab will have the final decision-making authority over all Development and Commercialization matters under the JSC’s authority that are related to the Alphamab Territory; (b) except with respect to any costs to be incurred by Alphamab, ArriVent will have the final decision-making authority over all Development and Commercialization matters under the JSC’s authority that are related to the ArriVent Territory. To avoid confusion, the confirmation on the final decision of the Target Pairs (and any replacements thereof) shall be made by unanimous vote and either Party shall not have any final decision-making authority on such matters, provided, however, Alphamab will not unreasonably withhold its vote in favor of a Target Pair for an oncology indication nominated by ArriVent.</w:t>
      </w:r>
    </w:p>
    <w:p>
      <w:pPr>
        <w:spacing w:after="0" w:line="14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3.8.4 Impacts of Decisions</w:t>
      </w:r>
      <w:r>
        <w:rPr>
          <w:rFonts w:ascii="Times New Roman" w:cs="Times New Roman" w:eastAsia="Times New Roman" w:hAnsi="Times New Roman"/>
          <w:sz w:val="18"/>
          <w:szCs w:val="18"/>
          <w:color w:val="auto"/>
        </w:rPr>
        <w:t>. If either Party reasonably believes that the decision made by the other Party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Article 3.8.3 is likely to have a material adverse effect or may negatively influence any Products in such Party’s Territory, then, in addition to such other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577215</wp:posOffset>
            </wp:positionV>
            <wp:extent cx="62922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292215" cy="8255"/>
                    </a:xfrm>
                    <a:prstGeom prst="rect">
                      <a:avLst/>
                    </a:prstGeom>
                    <a:noFill/>
                  </pic:spPr>
                </pic:pic>
              </a:graphicData>
            </a:graphic>
          </wp:anchor>
        </w:drawing>
        <w:t>and remedies as may be available, such Party shall have the right to comment and the other Party shall consider in good faith the reasonable requests and suggestions of such Party.</w:t>
      </w:r>
    </w:p>
    <w:p>
      <w:pPr>
        <w:spacing w:after="0" w:line="13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3.8.5 Limitations. </w:t>
      </w:r>
      <w:r>
        <w:rPr>
          <w:rFonts w:ascii="Times New Roman" w:cs="Times New Roman" w:eastAsia="Times New Roman" w:hAnsi="Times New Roman"/>
          <w:sz w:val="18"/>
          <w:szCs w:val="18"/>
          <w:color w:val="auto"/>
        </w:rPr>
        <w:t>Notwithstanding anything to the contrary set forth in this Agreement, no decision of the JSC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Party’s senior executive officer pursuant to this Article 3, in each case may (a) have a material adverse impact on the Development, Manufacture, Commercialization, or exploitation of any Target Pair, Compound or Products in the other Party’s Territory, (b) impose any requirements that the other Party take or decline to take any action that constitutes a violation of any Applicable Law, the requirements of any Regulatory Authority, any agreement with any Third Party (including requirements for confidentiality) or the infringement or misappropriation of Intellectual Property Rights of any Third Party, or (c) conflict with, amend, interpret, modify, or waive compliance under this Agreement.</w:t>
      </w:r>
    </w:p>
    <w:p>
      <w:pPr>
        <w:spacing w:after="0" w:line="142"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Day-to-Day Responsibilities</w:t>
      </w:r>
      <w:r>
        <w:rPr>
          <w:rFonts w:ascii="Times New Roman" w:cs="Times New Roman" w:eastAsia="Times New Roman" w:hAnsi="Times New Roman"/>
          <w:sz w:val="18"/>
          <w:szCs w:val="18"/>
          <w:color w:val="auto"/>
        </w:rPr>
        <w:t>. Each Party will: (a) be responsible for day-to-day implementation and conduct of the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for which it has or is otherwise assigned responsibility under this Agreement, provided that such implementation is consistent with the express terms of this Agreement or the decisions of the JSC within the scope of its authority as provided herein; and (b) provide the other Party with information about material events related to the progress of such activities, as may be reasonably requested by the other Party from time to time.</w:t>
      </w:r>
    </w:p>
    <w:p>
      <w:pPr>
        <w:spacing w:after="0" w:line="139" w:lineRule="exact"/>
        <w:rPr>
          <w:sz w:val="20"/>
          <w:szCs w:val="20"/>
          <w:color w:val="auto"/>
        </w:rPr>
      </w:pPr>
    </w:p>
    <w:p>
      <w:pPr>
        <w:jc w:val="both"/>
        <w:ind w:left="640" w:hanging="634"/>
        <w:spacing w:after="0" w:line="26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3.10</w:t>
      </w:r>
      <w:r>
        <w:rPr>
          <w:sz w:val="20"/>
          <w:szCs w:val="20"/>
          <w:color w:val="auto"/>
        </w:rPr>
        <w:tab/>
      </w:r>
      <w:r>
        <w:rPr>
          <w:rFonts w:ascii="Times New Roman" w:cs="Times New Roman" w:eastAsia="Times New Roman" w:hAnsi="Times New Roman"/>
          <w:sz w:val="18"/>
          <w:szCs w:val="18"/>
          <w:b w:val="1"/>
          <w:bCs w:val="1"/>
          <w:color w:val="auto"/>
        </w:rPr>
        <w:t>Additional Committees</w:t>
      </w:r>
      <w:r>
        <w:rPr>
          <w:rFonts w:ascii="Times New Roman" w:cs="Times New Roman" w:eastAsia="Times New Roman" w:hAnsi="Times New Roman"/>
          <w:sz w:val="18"/>
          <w:szCs w:val="18"/>
          <w:color w:val="auto"/>
        </w:rPr>
        <w:t>. The Parties may form additional committees for discussion, review and coordination regarding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Manufacture and/or Commercialization of Compounds and Products, with responsibilities and procedures agreed to by the Parties, but such committees will have no decision-making authority.</w:t>
      </w:r>
    </w:p>
    <w:p>
      <w:pPr>
        <w:spacing w:after="0" w:line="13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ARTICLE 4 RESEARCH COLLABORATION</w:t>
      </w:r>
    </w:p>
    <w:p>
      <w:pPr>
        <w:spacing w:after="0" w:line="18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Screening Activities and Target Pair Selection</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4.1.1 Programs. </w:t>
      </w:r>
      <w:r>
        <w:rPr>
          <w:rFonts w:ascii="Times New Roman" w:cs="Times New Roman" w:eastAsia="Times New Roman" w:hAnsi="Times New Roman"/>
          <w:sz w:val="18"/>
          <w:szCs w:val="18"/>
          <w:color w:val="auto"/>
        </w:rPr>
        <w:t>In consideration for payment of the Upfront Payment under Article 8.1.1, ArriVent has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select [***], other than Outside Target Pairs within [***] after the Effective Date. Approval of a pair of Targets nominated by ArriVent is subject to approval by the JSC. Each Target Pair confirmed by the JSC and the related Research, Development and Commercializing activities (expressly excluding any screening activities) for such Target Pairs shall be regarded as a “</w:t>
      </w: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4.1.2 Screening Activities. </w:t>
      </w:r>
      <w:r>
        <w:rPr>
          <w:rFonts w:ascii="Times New Roman" w:cs="Times New Roman" w:eastAsia="Times New Roman" w:hAnsi="Times New Roman"/>
          <w:sz w:val="18"/>
          <w:szCs w:val="18"/>
          <w:color w:val="auto"/>
        </w:rPr>
        <w:t>Prior to nominating a pair of Targets for a Program, ArriVent has the right to nominate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to [***], including [***], identified as such by ArriVent (“</w:t>
      </w:r>
      <w:r>
        <w:rPr>
          <w:rFonts w:ascii="Times New Roman" w:cs="Times New Roman" w:eastAsia="Times New Roman" w:hAnsi="Times New Roman"/>
          <w:sz w:val="18"/>
          <w:szCs w:val="18"/>
          <w:b w:val="1"/>
          <w:bCs w:val="1"/>
          <w:color w:val="auto"/>
        </w:rPr>
        <w:t>Main Target</w:t>
      </w:r>
      <w:r>
        <w:rPr>
          <w:rFonts w:ascii="Times New Roman" w:cs="Times New Roman" w:eastAsia="Times New Roman" w:hAnsi="Times New Roman"/>
          <w:sz w:val="18"/>
          <w:szCs w:val="18"/>
          <w:color w:val="auto"/>
        </w:rPr>
        <w:t>”), and [***] to pair with the Main Target, for the selection of each Target Pairs. The antibody sequence used for the Main Target will be those antibody sequences that are [***]. Upon ArriVent’s nomination and request, Alphamab will prepare a draft plan to screen the identified Targets for the pairing of the Main Target with other Targets elected by ArriVent, the plan will include the expected screening activities and estimated budget (including but not limited to costs and expenses for public research or screening (as applicable), trial, experiments, tests and translations) (“</w:t>
      </w:r>
      <w:r>
        <w:rPr>
          <w:rFonts w:ascii="Times New Roman" w:cs="Times New Roman" w:eastAsia="Times New Roman" w:hAnsi="Times New Roman"/>
          <w:sz w:val="18"/>
          <w:szCs w:val="18"/>
          <w:b w:val="1"/>
          <w:bCs w:val="1"/>
          <w:color w:val="auto"/>
        </w:rPr>
        <w:t>Screening Plan</w:t>
      </w:r>
      <w:r>
        <w:rPr>
          <w:rFonts w:ascii="Times New Roman" w:cs="Times New Roman" w:eastAsia="Times New Roman" w:hAnsi="Times New Roman"/>
          <w:sz w:val="18"/>
          <w:szCs w:val="18"/>
          <w:color w:val="auto"/>
        </w:rPr>
        <w:t>”) for JSC approval. Under no condition shall the Parties select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292215" cy="8255"/>
                    </a:xfrm>
                    <a:prstGeom prst="rect">
                      <a:avLst/>
                    </a:prstGeom>
                    <a:noFill/>
                  </pic:spPr>
                </pic:pic>
              </a:graphicData>
            </a:graphic>
          </wp:anchor>
        </w:drawing>
        <w:t>Outside Target Pairs as Targets for screening under this Agreement. Following an applicable Screening Plan approved by JSC and full payment by ArriVent in accordance with Article 4.3.1, Alphamab shall commence the screening activities set forth in such Screening Plan and submit the screening result to the JSC for nomination of the Target Pair(s) by ArriVent.</w:t>
      </w:r>
    </w:p>
    <w:p>
      <w:pPr>
        <w:spacing w:after="0" w:line="14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4.1.3 Confirmation of Target Pairs by JSC</w:t>
      </w:r>
      <w:r>
        <w:rPr>
          <w:rFonts w:ascii="Times New Roman" w:cs="Times New Roman" w:eastAsia="Times New Roman" w:hAnsi="Times New Roman"/>
          <w:sz w:val="18"/>
          <w:szCs w:val="18"/>
          <w:color w:val="auto"/>
        </w:rPr>
        <w:t>. The JSC shall discuss the information available regarding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nominated pairs of Targets, including any screening results, if applicable, and decide on the Target Pairs in a timely manner. The Target Pairs shall be deemed as approved and confirmed by JSC upon the earlier of: (a) written confirmation from JSC, (b) the expiration of</w:t>
      </w:r>
    </w:p>
    <w:p>
      <w:pPr>
        <w:jc w:val="both"/>
        <w:ind w:firstLine="8"/>
        <w:spacing w:after="0" w:line="255"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ArriVent or Alphamab initiates the request for confirmation of Target Pairs and JSC has not made any decision on such matters. In either of these cases, the other pairs of Targets not confirmed by JSC will be automatically recognized as Abandoned Target Pairs.</w:t>
      </w:r>
    </w:p>
    <w:p>
      <w:pPr>
        <w:spacing w:after="0" w:line="14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4.1.4 Exclusivity of Target Pairs</w:t>
      </w:r>
      <w:r>
        <w:rPr>
          <w:rFonts w:ascii="Times New Roman" w:cs="Times New Roman" w:eastAsia="Times New Roman" w:hAnsi="Times New Roman"/>
          <w:sz w:val="18"/>
          <w:szCs w:val="18"/>
          <w:color w:val="auto"/>
        </w:rPr>
        <w:t>. During the Term, except for the Outside Target Pairs and Abandoned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Pairs, Parties will not, directly or indirectly, alone or with any Third Party, develop or commercialize any Target Pairs confirmed by JSC hereunder, except pursuant to this Agreement.</w:t>
      </w:r>
    </w:p>
    <w:p>
      <w:pPr>
        <w:spacing w:after="0" w:line="13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4.1.5 Outside Target Pairs</w:t>
      </w:r>
      <w:r>
        <w:rPr>
          <w:rFonts w:ascii="Times New Roman" w:cs="Times New Roman" w:eastAsia="Times New Roman" w:hAnsi="Times New Roman"/>
          <w:sz w:val="18"/>
          <w:szCs w:val="18"/>
          <w:color w:val="auto"/>
        </w:rPr>
        <w:t>. Under no condition shall the Parties select the Outside Target Pairs for screening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under this Agreement. During the Term, except for the Outside Target Pairs or Abandoned Target Pairs, Parties will not, directly or indirectly, alone or with any Third Party, develop or commercialize any pair of Targets nominated by ArriVent hereunder, except pursuant to this Agreement. For the avoidance of doubt, Parties are free to develop or commercialize the Main Target to pair with any of the Targets not nominated or confirmed by the JSC hereunder.</w:t>
      </w:r>
    </w:p>
    <w:p>
      <w:pPr>
        <w:spacing w:after="0" w:line="152"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4.1.6</w:t>
      </w:r>
      <w:r>
        <w:rPr>
          <w:sz w:val="20"/>
          <w:szCs w:val="20"/>
          <w:color w:val="auto"/>
        </w:rPr>
        <w:tab/>
      </w:r>
      <w:r>
        <w:rPr>
          <w:rFonts w:ascii="Times New Roman" w:cs="Times New Roman" w:eastAsia="Times New Roman" w:hAnsi="Times New Roman"/>
          <w:sz w:val="18"/>
          <w:szCs w:val="18"/>
          <w:b w:val="1"/>
          <w:bCs w:val="1"/>
          <w:color w:val="auto"/>
        </w:rPr>
        <w:t>Research Activities</w:t>
      </w:r>
      <w:r>
        <w:rPr>
          <w:rFonts w:ascii="Times New Roman" w:cs="Times New Roman" w:eastAsia="Times New Roman" w:hAnsi="Times New Roman"/>
          <w:sz w:val="18"/>
          <w:szCs w:val="18"/>
          <w:color w:val="auto"/>
        </w:rPr>
        <w:t>. For each Program:</w:t>
      </w:r>
    </w:p>
    <w:p>
      <w:pPr>
        <w:spacing w:after="0" w:line="189" w:lineRule="exact"/>
        <w:rPr>
          <w:sz w:val="20"/>
          <w:szCs w:val="20"/>
          <w:color w:val="auto"/>
        </w:rPr>
      </w:pPr>
    </w:p>
    <w:p>
      <w:pPr>
        <w:jc w:val="both"/>
        <w:ind w:firstLine="1952"/>
        <w:spacing w:after="0" w:line="254" w:lineRule="auto"/>
        <w:tabs>
          <w:tab w:leader="none" w:pos="25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cooperation of ArriVent, Alphamab will prepare a draft Research Plan for submission to the JSC. The “</w:t>
      </w:r>
      <w:r>
        <w:rPr>
          <w:rFonts w:ascii="Times New Roman" w:cs="Times New Roman" w:eastAsia="Times New Roman" w:hAnsi="Times New Roman"/>
          <w:sz w:val="18"/>
          <w:szCs w:val="18"/>
          <w:b w:val="1"/>
          <w:bCs w:val="1"/>
          <w:color w:val="auto"/>
        </w:rPr>
        <w:t>Research Plan</w:t>
      </w:r>
      <w:r>
        <w:rPr>
          <w:rFonts w:ascii="Times New Roman" w:cs="Times New Roman" w:eastAsia="Times New Roman" w:hAnsi="Times New Roman"/>
          <w:sz w:val="18"/>
          <w:szCs w:val="18"/>
          <w:color w:val="auto"/>
        </w:rPr>
        <w:t>” shall set forth: (i) agreed Research activities to be performed by or on behalf of Alphamab; (ii) the requirements for the applicable Research record, reports, materials and other deliverables to be delivered to ArriVent, including reports that will be required for ArriVent to submit any IND in the ArriVent Territory and the formats for those reports; (iii) expected timeline for completion of each activity set forth in the Research Plan; and (iv) such other information and/or materials that may be reasonably required by each Party. Following an applicable Research Plan approved by JSC with respect to the Target Pairs, Alphamab shall commence the Research activities set forth in such Research Plan. Each approved Research Plan will be submitted to the Parties for execution, and upon execution, will be attached as an Exhibit to this Agreement and incorporated herein.</w:t>
      </w:r>
    </w:p>
    <w:p>
      <w:pPr>
        <w:spacing w:after="0" w:line="147" w:lineRule="exact"/>
        <w:rPr>
          <w:rFonts w:ascii="Times New Roman" w:cs="Times New Roman" w:eastAsia="Times New Roman" w:hAnsi="Times New Roman"/>
          <w:sz w:val="18"/>
          <w:szCs w:val="18"/>
          <w:color w:val="auto"/>
        </w:rPr>
      </w:pPr>
    </w:p>
    <w:p>
      <w:pPr>
        <w:jc w:val="both"/>
        <w:ind w:firstLine="1952"/>
        <w:spacing w:after="0" w:line="262" w:lineRule="auto"/>
        <w:tabs>
          <w:tab w:leader="none" w:pos="25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Components and Lead Candidate. </w:t>
      </w:r>
      <w:r>
        <w:rPr>
          <w:rFonts w:ascii="Times New Roman" w:cs="Times New Roman" w:eastAsia="Times New Roman" w:hAnsi="Times New Roman"/>
          <w:sz w:val="18"/>
          <w:szCs w:val="18"/>
          <w:color w:val="auto"/>
        </w:rPr>
        <w:t>The JSC shall discuss and decide on the design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components to be included in a Lead Candidate, including but not limited to the antibody, linker, payload and conjugation techniques. Upon approval by JSC of the components, the Compound together with such approved components will be deemed to be the “</w:t>
      </w:r>
      <w:r>
        <w:rPr>
          <w:rFonts w:ascii="Times New Roman" w:cs="Times New Roman" w:eastAsia="Times New Roman" w:hAnsi="Times New Roman"/>
          <w:sz w:val="18"/>
          <w:szCs w:val="18"/>
          <w:b w:val="1"/>
          <w:bCs w:val="1"/>
          <w:color w:val="auto"/>
        </w:rPr>
        <w:t>Lead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Candidate</w:t>
      </w:r>
      <w:r>
        <w:rPr>
          <w:rFonts w:ascii="Times New Roman" w:cs="Times New Roman" w:eastAsia="Times New Roman" w:hAnsi="Times New Roman"/>
          <w:sz w:val="18"/>
          <w:szCs w:val="18"/>
          <w:color w:val="auto"/>
        </w:rPr>
        <w:t>”. Alphamab shall proceed to process development and pre-clinical material manufacturing of the Lead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39" w:name="page40"/>
    <w:bookmarkEnd w:id="39"/>
    <w:p>
      <w:pPr>
        <w:jc w:val="both"/>
        <w:ind w:left="640" w:right="20" w:hanging="634"/>
        <w:spacing w:after="0" w:line="26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92215" cy="8255"/>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8"/>
          <w:szCs w:val="18"/>
          <w:b w:val="1"/>
          <w:bCs w:val="1"/>
          <w:color w:val="auto"/>
        </w:rPr>
        <w:t xml:space="preserve">Research Records. </w:t>
      </w:r>
      <w:r>
        <w:rPr>
          <w:rFonts w:ascii="Times New Roman" w:cs="Times New Roman" w:eastAsia="Times New Roman" w:hAnsi="Times New Roman"/>
          <w:sz w:val="18"/>
          <w:szCs w:val="18"/>
          <w:color w:val="auto"/>
        </w:rPr>
        <w:t>Alphamab shall maintain records of the relevant Research activities conducted by it under the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Such records shall fully and properly reflect the work done and results achieved in the performance of the Research activities. Such records will be maintained in good scientific manner appropriate for patent and regulatory purposes and in accordance with Applicable Laws.</w:t>
      </w:r>
    </w:p>
    <w:p>
      <w:pPr>
        <w:spacing w:after="0" w:line="13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Costs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4.3.1 Screening Budget. </w:t>
      </w:r>
      <w:r>
        <w:rPr>
          <w:rFonts w:ascii="Times New Roman" w:cs="Times New Roman" w:eastAsia="Times New Roman" w:hAnsi="Times New Roman"/>
          <w:sz w:val="18"/>
          <w:szCs w:val="18"/>
          <w:color w:val="auto"/>
        </w:rPr>
        <w:t>Parties agree that the estimated screening budget will include and be a fixed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budget set forth in the Screening Plan. No later than [***] after the JSC approves the Screening Plan, ArriVent will pay to Alphamab the full amount of the estimated screening budget. Alphamab may exceed the budget by no more than [***] without approval of the JSC, and ArriVent will pay any such excess invoiced by Alphamab. ArriVent shall also pay for any further costs for screening services that are pre-reviewed and approved by the JSC from time to time.</w:t>
      </w:r>
    </w:p>
    <w:p>
      <w:pPr>
        <w:spacing w:after="0" w:line="15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4.3.2 Research Budget. </w:t>
      </w:r>
      <w:r>
        <w:rPr>
          <w:rFonts w:ascii="Times New Roman" w:cs="Times New Roman" w:eastAsia="Times New Roman" w:hAnsi="Times New Roman"/>
          <w:sz w:val="18"/>
          <w:szCs w:val="18"/>
          <w:color w:val="auto"/>
        </w:rPr>
        <w:t>For each Program, ArriVent and Alphamab shall bear the costs to conduct each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in the ratio of [***], that is ArriVent shall bear [***] of all the cost and Alphamab shall bear the remaining [***]. Parties have agreed on the initial estimated budget of [***] (“</w:t>
      </w:r>
      <w:r>
        <w:rPr>
          <w:rFonts w:ascii="Times New Roman" w:cs="Times New Roman" w:eastAsia="Times New Roman" w:hAnsi="Times New Roman"/>
          <w:sz w:val="18"/>
          <w:szCs w:val="18"/>
          <w:b w:val="1"/>
          <w:bCs w:val="1"/>
          <w:color w:val="auto"/>
        </w:rPr>
        <w:t>Research Budget</w:t>
      </w:r>
      <w:r>
        <w:rPr>
          <w:rFonts w:ascii="Times New Roman" w:cs="Times New Roman" w:eastAsia="Times New Roman" w:hAnsi="Times New Roman"/>
          <w:sz w:val="18"/>
          <w:szCs w:val="18"/>
          <w:color w:val="auto"/>
        </w:rPr>
        <w:t>”) for Research for each Program and ArriVent shall pay its corresponding part of the Research Budget to Alphamab in accordance with the following timeline and also subject to Article 8:</w:t>
      </w:r>
    </w:p>
    <w:p>
      <w:pPr>
        <w:spacing w:after="0" w:line="140" w:lineRule="exact"/>
        <w:rPr>
          <w:sz w:val="20"/>
          <w:szCs w:val="20"/>
          <w:color w:val="auto"/>
        </w:rPr>
      </w:pPr>
    </w:p>
    <w:p>
      <w:pPr>
        <w:jc w:val="both"/>
        <w:ind w:left="1780" w:hanging="503"/>
        <w:spacing w:after="0" w:line="258" w:lineRule="auto"/>
        <w:tabs>
          <w:tab w:leader="none" w:pos="1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 after the JSC approves a Target Pair under Article 4.1.1, ArriVent will pay to Alphamab the first installment of the Research cost with respect to such Program in the amount of [***]. Alphamab will not proceed to perform the construction related Research activities to identify a Lead Candidate (including design of components) until the full receipt of such first installment. Exemplary Research and related activities are in Exhibit 3, which can be modified upon approval by the JSC.</w:t>
      </w:r>
    </w:p>
    <w:p>
      <w:pPr>
        <w:spacing w:after="0" w:line="142" w:lineRule="exact"/>
        <w:rPr>
          <w:rFonts w:ascii="Times New Roman" w:cs="Times New Roman" w:eastAsia="Times New Roman" w:hAnsi="Times New Roman"/>
          <w:sz w:val="18"/>
          <w:szCs w:val="18"/>
          <w:color w:val="auto"/>
        </w:rPr>
      </w:pPr>
    </w:p>
    <w:p>
      <w:pPr>
        <w:jc w:val="both"/>
        <w:ind w:left="1780" w:hanging="503"/>
        <w:spacing w:after="0" w:line="258" w:lineRule="auto"/>
        <w:tabs>
          <w:tab w:leader="none" w:pos="1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 after the JSC approves a Lead Candidate under Article 4.1.6(b) for a Target Pair, ArriVent will pay to Alphamab the second installment of the Research cost in the amount of [***]. Alphamab will not proceed to perform the process development and pre-clinical material (GLP) manufacturing related Research activities to identify a Pre-Clinical Candidate until the full receipt of such second installment. Exemplary Research and related activities are in Exhibit 3, which can be modified upon approval by the JSC.</w:t>
      </w:r>
    </w:p>
    <w:p>
      <w:pPr>
        <w:spacing w:after="0" w:line="142" w:lineRule="exact"/>
        <w:rPr>
          <w:rFonts w:ascii="Times New Roman" w:cs="Times New Roman" w:eastAsia="Times New Roman" w:hAnsi="Times New Roman"/>
          <w:sz w:val="18"/>
          <w:szCs w:val="18"/>
          <w:color w:val="auto"/>
        </w:rPr>
      </w:pPr>
    </w:p>
    <w:p>
      <w:pPr>
        <w:jc w:val="both"/>
        <w:ind w:left="1780" w:hanging="503"/>
        <w:spacing w:after="0" w:line="258" w:lineRule="auto"/>
        <w:tabs>
          <w:tab w:leader="none" w:pos="1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 after the JSC confirms on the results of preclinical toxicology and pharmacology of each Lead Candidate (a “</w:t>
      </w:r>
      <w:r>
        <w:rPr>
          <w:rFonts w:ascii="Times New Roman" w:cs="Times New Roman" w:eastAsia="Times New Roman" w:hAnsi="Times New Roman"/>
          <w:sz w:val="18"/>
          <w:szCs w:val="18"/>
          <w:b w:val="1"/>
          <w:bCs w:val="1"/>
          <w:color w:val="auto"/>
        </w:rPr>
        <w:t>Pre-Clinical Candidate</w:t>
      </w:r>
      <w:r>
        <w:rPr>
          <w:rFonts w:ascii="Times New Roman" w:cs="Times New Roman" w:eastAsia="Times New Roman" w:hAnsi="Times New Roman"/>
          <w:sz w:val="18"/>
          <w:szCs w:val="18"/>
          <w:color w:val="auto"/>
        </w:rPr>
        <w:t>”) before the clinical manufacturing by Alphamab and the initiation of IND-enabling studies (exemplary Research and related activities are in Exhibit 3), ArriVent will pay to Alphamab the third installment of the Research cost in the amount of [***]. Alphamab will not proceed to perform the Research Activities to confirm the Pre-Clinical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2" w:right="999" w:bottom="1440" w:gutter="0" w:footer="0" w:header="0"/>
        </w:sectPr>
      </w:pPr>
    </w:p>
    <w:bookmarkStart w:id="40" w:name="page41"/>
    <w:bookmarkEnd w:id="40"/>
    <w:p>
      <w:pPr>
        <w:jc w:val="both"/>
        <w:ind w:left="18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292215" cy="8255"/>
                    </a:xfrm>
                    <a:prstGeom prst="rect">
                      <a:avLst/>
                    </a:prstGeom>
                    <a:noFill/>
                  </pic:spPr>
                </pic:pic>
              </a:graphicData>
            </a:graphic>
          </wp:anchor>
        </w:drawing>
        <w:t>Candidate is clinical candidate suitable for human studies, including preparation of clinical manufacturing until the full receipt of such third installment. Clinical manufacturing only includes the supply of Products for the first full Phase I Clinical Trial.</w:t>
      </w:r>
    </w:p>
    <w:p>
      <w:pPr>
        <w:spacing w:after="0" w:line="14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4.3.3 Budget Overage</w:t>
      </w:r>
      <w:r>
        <w:rPr>
          <w:rFonts w:ascii="Times New Roman" w:cs="Times New Roman" w:eastAsia="Times New Roman" w:hAnsi="Times New Roman"/>
          <w:sz w:val="18"/>
          <w:szCs w:val="18"/>
          <w:color w:val="auto"/>
        </w:rPr>
        <w:t>. Alphamab shall provide a notice to the JSC if at any time it believes or expects that it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will exceed [***] of the Research Budget and will provide a proposed update to the Research Budget to the JSC, together with information regarding the reasons for any overage. Upon approval by the JSC of an updated Research Budget, ArriVent and Alphamab shall pay the updated Research costs in the ratio of [***]. If decisions cannot be made by JSC or senior executive officers under Article 3.8, ArriVent will have the option to elect to deem the Research with respect to the applicable Program complete immediately or after the performance of additional Research activities as specified by ArriVent in writing and approved by the JSC (such additional activities, “</w:t>
      </w:r>
      <w:r>
        <w:rPr>
          <w:rFonts w:ascii="Times New Roman" w:cs="Times New Roman" w:eastAsia="Times New Roman" w:hAnsi="Times New Roman"/>
          <w:sz w:val="18"/>
          <w:szCs w:val="18"/>
          <w:b w:val="1"/>
          <w:bCs w:val="1"/>
          <w:color w:val="auto"/>
        </w:rPr>
        <w:t>ArriVent Directed Research</w:t>
      </w:r>
      <w:r>
        <w:rPr>
          <w:rFonts w:ascii="Times New Roman" w:cs="Times New Roman" w:eastAsia="Times New Roman" w:hAnsi="Times New Roman"/>
          <w:sz w:val="18"/>
          <w:szCs w:val="18"/>
          <w:color w:val="auto"/>
        </w:rPr>
        <w:t>”). Alphamab will complete the ArriVent Directed Research, if any, and ArriVent will pay off the [***] of the applicable Research costs for all previously completed Research Activities. ArriVent will further pay [***] for any ArriVent Directed Research within [***] of the Research Budget and [***] of amounts for any ArriVent Directed Research over [***] of the Research Budget. Upon deemed completion of the Program by ArriVent, the then current Lead Candidate or Pre-Clinical Candidate (as applicable) will be deemed a Compound and the License granted by Alphamab to ArriVent under Article 2 shall become effective with respect to such Compound.</w:t>
      </w:r>
    </w:p>
    <w:p>
      <w:pPr>
        <w:spacing w:after="0" w:line="149"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Replacement of the Target Pairs and New Program</w:t>
      </w:r>
      <w:r>
        <w:rPr>
          <w:rFonts w:ascii="Times New Roman" w:cs="Times New Roman" w:eastAsia="Times New Roman" w:hAnsi="Times New Roman"/>
          <w:sz w:val="18"/>
          <w:szCs w:val="18"/>
          <w:color w:val="auto"/>
        </w:rPr>
        <w:t>. The Parties shall discuss at the JSC whether any Compound is suitable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further development and ArriVent shall have final decision-making authority for such item. ArriVent has the right to replace two pairs of Targets (each a “</w:t>
      </w:r>
      <w:r>
        <w:rPr>
          <w:rFonts w:ascii="Times New Roman" w:cs="Times New Roman" w:eastAsia="Times New Roman" w:hAnsi="Times New Roman"/>
          <w:sz w:val="18"/>
          <w:szCs w:val="18"/>
          <w:b w:val="1"/>
          <w:bCs w:val="1"/>
          <w:color w:val="auto"/>
        </w:rPr>
        <w:t>Replacement</w:t>
      </w:r>
      <w:r>
        <w:rPr>
          <w:rFonts w:ascii="Times New Roman" w:cs="Times New Roman" w:eastAsia="Times New Roman" w:hAnsi="Times New Roman"/>
          <w:sz w:val="18"/>
          <w:szCs w:val="18"/>
          <w:color w:val="auto"/>
        </w:rPr>
        <w:t>”) upon payment of [***] for each Replacement and each Target Pair being replaced will be recognized as an Abandoned Target Pair. Payment for any Replacement will be deemed part of the Upfront Payment pursuant to Article 8.1. The Replacement will be deemed a new nomination of pair of Targets under Article 4.1.1 by ArriVent and Alphamab will conduct the screening activities in accordance with Article 4.1.2. at the request and upon full payment of screening budget by ArriVent based on the revised Screening Plan. The JSC shall decide on the new Target Pairs and each will constitute a new Program.</w:t>
      </w:r>
    </w:p>
    <w:p>
      <w:pPr>
        <w:spacing w:after="0" w:line="144" w:lineRule="exact"/>
        <w:rPr>
          <w:sz w:val="20"/>
          <w:szCs w:val="20"/>
          <w:color w:val="auto"/>
        </w:rPr>
      </w:pPr>
    </w:p>
    <w:p>
      <w:pPr>
        <w:jc w:val="both"/>
        <w:ind w:left="640" w:right="20" w:hanging="634"/>
        <w:spacing w:after="0" w:line="26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 xml:space="preserve">Exclusive License for Development and Commercialization of the Products. </w:t>
      </w:r>
      <w:r>
        <w:rPr>
          <w:rFonts w:ascii="Times New Roman" w:cs="Times New Roman" w:eastAsia="Times New Roman" w:hAnsi="Times New Roman"/>
          <w:sz w:val="18"/>
          <w:szCs w:val="18"/>
          <w:color w:val="auto"/>
        </w:rPr>
        <w:t>Upon ArriVent’s payment of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installment of the Research cost for a Pre-Clinical Candidate under Article 4.3.2 and the approval by JSC of a Compound, the License granted by Alphamab to ArriVent under Article 2.1 shall become effective with respect to such Compound.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 DEVELOPMENT AND REGULATORY</w:t>
      </w:r>
    </w:p>
    <w:p>
      <w:pPr>
        <w:spacing w:after="0" w:line="185" w:lineRule="exact"/>
        <w:rPr>
          <w:sz w:val="20"/>
          <w:szCs w:val="20"/>
          <w:color w:val="auto"/>
        </w:rPr>
      </w:pPr>
    </w:p>
    <w:p>
      <w:pPr>
        <w:jc w:val="both"/>
        <w:ind w:left="640" w:right="20" w:hanging="634"/>
        <w:spacing w:after="0" w:line="26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b w:val="1"/>
          <w:bCs w:val="1"/>
          <w:color w:val="auto"/>
        </w:rPr>
        <w:t xml:space="preserve">Development Diligence Obligations. </w:t>
      </w:r>
      <w:r>
        <w:rPr>
          <w:rFonts w:ascii="Times New Roman" w:cs="Times New Roman" w:eastAsia="Times New Roman" w:hAnsi="Times New Roman"/>
          <w:sz w:val="18"/>
          <w:szCs w:val="18"/>
          <w:color w:val="auto"/>
        </w:rPr>
        <w:t>ArriVent will use Commercially Reasonable Efforts, at ArriVent's own cost, to (a) prepare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submit an IND and NDA, and obtain and maintain Regulatory Approval and Pricing Approval for a Product in the ArriVent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41" w:name="page42"/>
    <w:bookmarkEnd w:id="41"/>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92215" cy="8255"/>
                    </a:xfrm>
                    <a:prstGeom prst="rect">
                      <a:avLst/>
                    </a:prstGeom>
                    <a:noFill/>
                  </pic:spPr>
                </pic:pic>
              </a:graphicData>
            </a:graphic>
          </wp:anchor>
        </w:drawing>
        <w:t>for an oncology indication and (b) carry out the activities under the applicable ArriVent Territory Development Plan. ArriVent will conduct all Development activities for which it is responsible under this Agreement in a good scientific manner, in accordance with GCP, as applicable, and in compliance with professional requirements and Applicable Law. For clarity, if more than one Product is to be Developed, ArriVent will have the right to prioritize and stage the Development of the Products.</w:t>
      </w:r>
    </w:p>
    <w:p>
      <w:pPr>
        <w:spacing w:after="0" w:line="149"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 xml:space="preserve">Development Plan. </w:t>
      </w:r>
      <w:r>
        <w:rPr>
          <w:rFonts w:ascii="Times New Roman" w:cs="Times New Roman" w:eastAsia="Times New Roman" w:hAnsi="Times New Roman"/>
          <w:sz w:val="18"/>
          <w:szCs w:val="18"/>
          <w:color w:val="auto"/>
        </w:rPr>
        <w:t>ArriVent shall prepare the Development Plan for the activities within ArriVent Territory, Development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consist of (a) the Development program to be conducted for an oncology indication by ArriVent on an activity-by-activity and region-by-region basis and the Clinical Trial protocol, (b) the regulatory strategy for obtaining Regulatory Approval of the Product in the Field in ArriVent Territory, and (c) the estimated timeline for the Development program on an activity-by-activity and region-by-region basis, which is designed to obtain the Regulatory Approval of the Product for an oncology indication in ArriVent Territory (the “</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which shall be reviewed and discussed by the JSC. Alphamab will also provide to the JSC a written summary of its plans for development within the Alphamab Territory, and such other information regarding its development activities, to enable coordination by the Parties.</w:t>
      </w:r>
    </w:p>
    <w:p>
      <w:pPr>
        <w:spacing w:after="0" w:line="144" w:lineRule="exact"/>
        <w:rPr>
          <w:sz w:val="20"/>
          <w:szCs w:val="20"/>
          <w:color w:val="auto"/>
        </w:rPr>
      </w:pPr>
    </w:p>
    <w:p>
      <w:pPr>
        <w:jc w:val="both"/>
        <w:ind w:left="640" w:hanging="634"/>
        <w:spacing w:after="0" w:line="26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 xml:space="preserve">[***] Focus. </w:t>
      </w:r>
      <w:r>
        <w:rPr>
          <w:rFonts w:ascii="Times New Roman" w:cs="Times New Roman" w:eastAsia="Times New Roman" w:hAnsi="Times New Roman"/>
          <w:sz w:val="18"/>
          <w:szCs w:val="18"/>
          <w:color w:val="auto"/>
        </w:rPr>
        <w:t>The Parties agree that [***] is the primary focus of the collaboration between the Parties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Accordingly, ArriVent will not pursue indications other than [***] indications without the prior written consent of Alphamab. If the Development or Commercialization of indications other than [***] indications will be pursued by ArriVent, such additional indications may be subject to further commercial terms to be negotiated by the Parties.</w:t>
      </w:r>
    </w:p>
    <w:p>
      <w:pPr>
        <w:spacing w:after="0" w:line="136" w:lineRule="exact"/>
        <w:rPr>
          <w:sz w:val="20"/>
          <w:szCs w:val="20"/>
          <w:color w:val="auto"/>
        </w:rPr>
      </w:pPr>
    </w:p>
    <w:p>
      <w:pPr>
        <w:jc w:val="both"/>
        <w:ind w:left="640" w:hanging="634"/>
        <w:spacing w:after="0" w:line="26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b w:val="1"/>
          <w:bCs w:val="1"/>
          <w:color w:val="auto"/>
        </w:rPr>
        <w:t>Development Records; Audits</w:t>
      </w:r>
      <w:r>
        <w:rPr>
          <w:rFonts w:ascii="Times New Roman" w:cs="Times New Roman" w:eastAsia="Times New Roman" w:hAnsi="Times New Roman"/>
          <w:sz w:val="18"/>
          <w:szCs w:val="18"/>
          <w:color w:val="auto"/>
        </w:rPr>
        <w:t>. Each Party, its Affiliates, subcontractor and Sublicensees will maintain written or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in sufficient detail, in a good scientific manner (in accordance with GLP, GCP, and GMP, as applicable), and appropriate for regulatory and patent purposes, and that are complete and accurate in all material respects and reflect all Development work performed and results achieved, in each case, by or on behalf of such Party for the Products.</w:t>
      </w:r>
    </w:p>
    <w:p>
      <w:pPr>
        <w:spacing w:after="0" w:line="13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Non-Compete; Change of Control Management</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5.5.1 </w:t>
      </w:r>
      <w:r>
        <w:rPr>
          <w:rFonts w:ascii="Times New Roman" w:cs="Times New Roman" w:eastAsia="Times New Roman" w:hAnsi="Times New Roman"/>
          <w:sz w:val="18"/>
          <w:szCs w:val="18"/>
          <w:color w:val="auto"/>
        </w:rPr>
        <w:t>To protect Parties’ Confidential Information and business sensitive information, and to ensure that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supports and resources provided by Parties can be effectively utilized and devoted to relevant Products, during the Term of this Agreement, without the express prior written consent of the other Party, either Party shall not directly or indirectly engage or participate in any research, development, or commercialization activities for a Competitive Product in the Territory, and will not use in any manner, other than in a Product pursuant to this Agreement, any identical antibody sequences from a Compound against Targets in the Target Pairs confirmed by JSC. Nothing in this Agreement will be construed to prevent a Party from developing or commercializing antibodies with different sequences than those in the Compound for a single Target, including a single Target of a Target Pair.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42" w:name="page43"/>
    <w:bookmarkEnd w:id="42"/>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292215" cy="8255"/>
                    </a:xfrm>
                    <a:prstGeom prst="rect">
                      <a:avLst/>
                    </a:prstGeom>
                    <a:noFill/>
                  </pic:spPr>
                </pic:pic>
              </a:graphicData>
            </a:graphic>
          </wp:anchor>
        </w:drawing>
        <w:t xml:space="preserve">5.5.2 </w:t>
      </w:r>
      <w:r>
        <w:rPr>
          <w:rFonts w:ascii="Times New Roman" w:cs="Times New Roman" w:eastAsia="Times New Roman" w:hAnsi="Times New Roman"/>
          <w:sz w:val="18"/>
          <w:szCs w:val="18"/>
          <w:color w:val="auto"/>
        </w:rPr>
        <w:t>Notwithstanding Article 5.5.1, in the event of a Change of Control that results in ArriVent being in violation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Article 5.5.1, ArriVent or the acquiring Third party, as applicable, will have [***] from the date of the Change of Control to resolve such violation in a way agreed by Parties. During such [***] period or until such resolution whichever is earlier, ArriVent will not materially reduce its efforts (including [***] prior to the Change of Control) with respect to the Program corresponding to the Competitive Product even if such reduction would otherwise fulfill its obligations to use Commercially Reasonable Efforts with respect to the Development or Commercialization of the Program hereunder. In the event ArriVent fails to resolve the violation within the [***] period in a way agreed by Parties, Alphamab may terminate this Agreement with respect to the Program for which ArriVent is in violation.</w:t>
      </w:r>
    </w:p>
    <w:p>
      <w:pPr>
        <w:spacing w:after="0" w:line="378"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5.5.3 </w:t>
      </w:r>
      <w:r>
        <w:rPr>
          <w:rFonts w:ascii="Times New Roman" w:cs="Times New Roman" w:eastAsia="Times New Roman" w:hAnsi="Times New Roman"/>
          <w:sz w:val="18"/>
          <w:szCs w:val="18"/>
          <w:color w:val="auto"/>
        </w:rPr>
        <w:t>For the purposes of this Agreement, a “</w:t>
      </w:r>
      <w:r>
        <w:rPr>
          <w:rFonts w:ascii="Times New Roman" w:cs="Times New Roman" w:eastAsia="Times New Roman" w:hAnsi="Times New Roman"/>
          <w:sz w:val="18"/>
          <w:szCs w:val="18"/>
          <w:b w:val="1"/>
          <w:bCs w:val="1"/>
          <w:color w:val="auto"/>
        </w:rPr>
        <w:t>Competitive Product</w:t>
      </w:r>
      <w:r>
        <w:rPr>
          <w:rFonts w:ascii="Times New Roman" w:cs="Times New Roman" w:eastAsia="Times New Roman" w:hAnsi="Times New Roman"/>
          <w:sz w:val="18"/>
          <w:szCs w:val="18"/>
          <w:color w:val="auto"/>
        </w:rPr>
        <w:t>” shall refer to a product that binds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pair of Targets as the Target Pair for a Product or a Target Pair approved by the JSC hereunder, but will exclude:</w:t>
      </w:r>
    </w:p>
    <w:p>
      <w:pPr>
        <w:spacing w:after="0" w:line="118" w:lineRule="exact"/>
        <w:rPr>
          <w:sz w:val="20"/>
          <w:szCs w:val="20"/>
          <w:color w:val="auto"/>
        </w:rPr>
      </w:pPr>
    </w:p>
    <w:p>
      <w:pPr>
        <w:ind w:left="1780" w:hanging="503"/>
        <w:spacing w:after="0"/>
        <w:tabs>
          <w:tab w:leader="none" w:pos="1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that binds to any Abandoned Target Pairs;</w:t>
      </w:r>
    </w:p>
    <w:p>
      <w:pPr>
        <w:spacing w:after="0" w:line="184" w:lineRule="exact"/>
        <w:rPr>
          <w:rFonts w:ascii="Times New Roman" w:cs="Times New Roman" w:eastAsia="Times New Roman" w:hAnsi="Times New Roman"/>
          <w:sz w:val="18"/>
          <w:szCs w:val="18"/>
          <w:color w:val="auto"/>
        </w:rPr>
      </w:pPr>
    </w:p>
    <w:p>
      <w:pPr>
        <w:jc w:val="both"/>
        <w:ind w:left="1780" w:hanging="503"/>
        <w:spacing w:after="0" w:line="258" w:lineRule="auto"/>
        <w:tabs>
          <w:tab w:leader="none" w:pos="1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of a Third Party acquiree (including any such acquisition structured as a merger of a Third Party into a Party or its Affiliate) of a Party in development or being commercialized as of the date of such acquisition, provided that (i) the Party acquiring a Third Party shall notify the other Party in advance and (ii) Parties agree on the action plan for the Party acquiring a Third Party to divest or separate the relevant Competitive Product within a [***].</w:t>
      </w:r>
    </w:p>
    <w:p>
      <w:pPr>
        <w:spacing w:after="0" w:line="13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5.5.4 Change of Control Management</w:t>
      </w:r>
      <w:r>
        <w:rPr>
          <w:rFonts w:ascii="Times New Roman" w:cs="Times New Roman" w:eastAsia="Times New Roman" w:hAnsi="Times New Roman"/>
          <w:sz w:val="18"/>
          <w:szCs w:val="18"/>
          <w:color w:val="auto"/>
        </w:rPr>
        <w:t>. If there is a Change of Control of ArriVent after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may discuss in good faith the impact of such Change of Control on the Programs. Exhibit 4 sets forth the process by which the Parties will coordinate in the event of a Change of Control of ArriVent.</w:t>
      </w:r>
    </w:p>
    <w:p>
      <w:pPr>
        <w:spacing w:after="0" w:line="130"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8"/>
          <w:szCs w:val="18"/>
          <w:b w:val="1"/>
          <w:bCs w:val="1"/>
          <w:color w:val="auto"/>
        </w:rPr>
        <w:t>Multi-regional Clinical Trials</w:t>
      </w:r>
      <w:r>
        <w:rPr>
          <w:rFonts w:ascii="Times New Roman" w:cs="Times New Roman" w:eastAsia="Times New Roman" w:hAnsi="Times New Roman"/>
          <w:sz w:val="18"/>
          <w:szCs w:val="18"/>
          <w:color w:val="auto"/>
        </w:rPr>
        <w:t>. If ArriVent will conduct any multi-regional Clinical Trials in the Alphamab Territory (“</w:t>
      </w:r>
      <w:r>
        <w:rPr>
          <w:rFonts w:ascii="Times New Roman" w:cs="Times New Roman" w:eastAsia="Times New Roman" w:hAnsi="Times New Roman"/>
          <w:sz w:val="18"/>
          <w:szCs w:val="18"/>
          <w:b w:val="1"/>
          <w:bCs w:val="1"/>
          <w:color w:val="auto"/>
        </w:rPr>
        <w:t>Dual Territory Study</w:t>
      </w:r>
      <w:r>
        <w:rPr>
          <w:rFonts w:ascii="Times New Roman" w:cs="Times New Roman" w:eastAsia="Times New Roman" w:hAnsi="Times New Roman"/>
          <w:sz w:val="18"/>
          <w:szCs w:val="18"/>
          <w:color w:val="auto"/>
        </w:rPr>
        <w:t>”), ArriVent shall get prior written consent from Alphamab. If the Parties will collaborate respect to a 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Territory Study, the Parties shall enter into a separate agreement that will address the details (including each Parties’ rights and responsibilities and financial terms, etc.) for the collaboration (“</w:t>
      </w:r>
      <w:r>
        <w:rPr>
          <w:rFonts w:ascii="Times New Roman" w:cs="Times New Roman" w:eastAsia="Times New Roman" w:hAnsi="Times New Roman"/>
          <w:sz w:val="18"/>
          <w:szCs w:val="18"/>
          <w:b w:val="1"/>
          <w:bCs w:val="1"/>
          <w:color w:val="auto"/>
        </w:rPr>
        <w:t>Clinical Collaboration Agreement</w:t>
      </w:r>
      <w:r>
        <w:rPr>
          <w:rFonts w:ascii="Times New Roman" w:cs="Times New Roman" w:eastAsia="Times New Roman" w:hAnsi="Times New Roman"/>
          <w:sz w:val="18"/>
          <w:szCs w:val="18"/>
          <w:color w:val="auto"/>
        </w:rPr>
        <w:t>”) which shall follow the basic principles that:</w:t>
      </w:r>
    </w:p>
    <w:p>
      <w:pPr>
        <w:spacing w:after="0" w:line="143" w:lineRule="exact"/>
        <w:rPr>
          <w:sz w:val="20"/>
          <w:szCs w:val="20"/>
          <w:color w:val="auto"/>
        </w:rPr>
      </w:pPr>
    </w:p>
    <w:p>
      <w:pPr>
        <w:jc w:val="both"/>
        <w:ind w:left="1780" w:hanging="503"/>
        <w:spacing w:after="0" w:line="255" w:lineRule="auto"/>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clinical costs of such Dual Territory Study shall be pre-approved by the JSC and such cost arising solely in the Alphamab Territory for the purpose of market authorization application within Alphamab Territory will be borne by Alphamab under the condition that: (i) The subjects enrolled within Alphamab Territory shall be no more than [***] of the total subjects enrolled within the overall Territory; (ii) the actual cost arising solely in the Alphamab Territory shall be no more than [***] of the total overall clinical costs of such Dual Territory Study. Alphamab does not bear any cost arising from third party CRO vendor and data management vendors. If the actual cost arising solely in the Alphamab Territory exceeds [***] of the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2" w:right="999" w:bottom="1440" w:gutter="0" w:footer="0" w:header="0"/>
        </w:sectPr>
      </w:pPr>
    </w:p>
    <w:bookmarkStart w:id="43" w:name="page44"/>
    <w:bookmarkEnd w:id="43"/>
    <w:p>
      <w:pPr>
        <w:ind w:left="18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292215" cy="8255"/>
                    </a:xfrm>
                    <a:prstGeom prst="rect">
                      <a:avLst/>
                    </a:prstGeom>
                    <a:noFill/>
                  </pic:spPr>
                </pic:pic>
              </a:graphicData>
            </a:graphic>
          </wp:anchor>
        </w:drawing>
        <w:t>overall clinical costs of such Dual Territory Study, Alphamab shall assume [***] of the total overall clinical costs of such Dual Territory Study approved by the JSC and ArriVent shall assume all the rest.</w:t>
      </w:r>
    </w:p>
    <w:p>
      <w:pPr>
        <w:spacing w:after="0" w:line="135" w:lineRule="exact"/>
        <w:rPr>
          <w:sz w:val="20"/>
          <w:szCs w:val="20"/>
          <w:color w:val="auto"/>
        </w:rPr>
      </w:pPr>
    </w:p>
    <w:p>
      <w:pPr>
        <w:jc w:val="both"/>
        <w:ind w:left="1780" w:hanging="503"/>
        <w:spacing w:after="0" w:line="266" w:lineRule="auto"/>
        <w:tabs>
          <w:tab w:leader="none" w:pos="1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Alphamab does not bear any cost for Dual Territory Studies outside the Alphamab Territory. For the avoidance of doubt, if any multi-regional Clinical Trials do not involve the Alphamab Territory, Alphamab will not bear any clinical cost; and</w:t>
      </w:r>
    </w:p>
    <w:p>
      <w:pPr>
        <w:spacing w:after="0" w:line="135" w:lineRule="exact"/>
        <w:rPr>
          <w:rFonts w:ascii="Times New Roman" w:cs="Times New Roman" w:eastAsia="Times New Roman" w:hAnsi="Times New Roman"/>
          <w:sz w:val="18"/>
          <w:szCs w:val="18"/>
          <w:color w:val="auto"/>
        </w:rPr>
      </w:pPr>
    </w:p>
    <w:p>
      <w:pPr>
        <w:ind w:left="1780" w:hanging="503"/>
        <w:spacing w:after="0"/>
        <w:tabs>
          <w:tab w:leader="none" w:pos="1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vendors supporting such Dual Territory Study shall meet global standards.</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8"/>
          <w:szCs w:val="18"/>
          <w:b w:val="1"/>
          <w:bCs w:val="1"/>
          <w:color w:val="auto"/>
        </w:rPr>
        <w:t>Regulatory Affairs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5.7.1 Scope</w:t>
      </w:r>
      <w:r>
        <w:rPr>
          <w:rFonts w:ascii="Times New Roman" w:cs="Times New Roman" w:eastAsia="Times New Roman" w:hAnsi="Times New Roman"/>
          <w:sz w:val="18"/>
          <w:szCs w:val="18"/>
          <w:color w:val="auto"/>
        </w:rPr>
        <w:t>. The terms of this Article 5.7 will apply to the Development and Commercialization activities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hereunder, unless otherwise set forth in an Ancillary Agreement. Specifically, the Parties agree that: (a) for regulatory matters related to the Manufacture or supply of Product pursuant to a Supply Agreement between the Parties, the terms of the Supply Agreement will govern and control; and (b) for regulatory matters related to a Dual Territory Study, the applicable Clinical Collaboration Agreement will govern and control.</w:t>
      </w:r>
    </w:p>
    <w:p>
      <w:pPr>
        <w:spacing w:after="0" w:line="13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5.7.2 Regulatory Responsible Party</w:t>
      </w:r>
      <w:r>
        <w:rPr>
          <w:rFonts w:ascii="Times New Roman" w:cs="Times New Roman" w:eastAsia="Times New Roman" w:hAnsi="Times New Roman"/>
          <w:sz w:val="18"/>
          <w:szCs w:val="18"/>
          <w:color w:val="auto"/>
        </w:rPr>
        <w:t>. ArriVent will be the Regulatory Responsible Party for the Products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ArriVent Territory. Alphamab will be the Regulatory Responsible Party for the Products in the Alphamab Territory. Subject to the obligations in this Article 5.7, the Regulatory Responsible Party will be responsible for, and will have final decision-making authority on the content of, all Regulatory Filings, communications, and other dealings with the Regulatory Authorities relating to the Products in the applicable Territory, and for seeking and maintaining all Regulatory Approvals with respect to the Product in the applicable Territory. For clarity, Alphamab or its designee will be the holder of all Regulatory Approvals for the Product in the Alphamab Territory and will own all Regulatory Filings in the Alphamab Territory, and ArriVent or its designee will be the holder of all Regulatory Approvals for the Product in the ArriVent Territory and will own all Regulatory Filings in the ArriVent Territory.</w:t>
      </w:r>
    </w:p>
    <w:p>
      <w:pPr>
        <w:spacing w:after="0" w:line="14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5.7.3 Correspondence and Filings with Regulatory Authorities</w:t>
      </w:r>
      <w:r>
        <w:rPr>
          <w:rFonts w:ascii="Times New Roman" w:cs="Times New Roman" w:eastAsia="Times New Roman" w:hAnsi="Times New Roman"/>
          <w:sz w:val="18"/>
          <w:szCs w:val="18"/>
          <w:color w:val="auto"/>
        </w:rPr>
        <w:t>. The Regulatory Responsible Party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the other Party with (a) copies of any material written correspondence submitted to or received from the Regulatory Authority in the ArriVent Territory and (b) summaries of any material oral communications with the Regulatory Authority in the ArriVent Territory, in each case ((a) and (b)), relating to Regulatory Filings for the Products in such jurisdiction or region, promptly after receipt or delivery by such Regulatory Responsible Party of such correspondence or communication, as the case may be. The Regulatory Responsible Party will also provide the other Party with a copy of all proposed material Regulatory Filings and any correspondence that it intends to file with or submit to any Regulatory Authority in such Party’s Territory. The other Party may provide comments to any proposed Regulatory Filing and any correspondence. The Regulatory Responsible Party will consider in good faith incorporating any reasonable comments received in a timely manner from the other Party into such Regulatory Filings or correspondence,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44" w:name="page45"/>
    <w:bookmarkEnd w:id="44"/>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292215" cy="8255"/>
                    </a:xfrm>
                    <a:prstGeom prst="rect">
                      <a:avLst/>
                    </a:prstGeom>
                    <a:noFill/>
                  </pic:spPr>
                </pic:pic>
              </a:graphicData>
            </a:graphic>
          </wp:anchor>
        </w:drawing>
        <w:t>5.7.4 Cooperation</w:t>
      </w:r>
      <w:r>
        <w:rPr>
          <w:rFonts w:ascii="Times New Roman" w:cs="Times New Roman" w:eastAsia="Times New Roman" w:hAnsi="Times New Roman"/>
          <w:sz w:val="18"/>
          <w:szCs w:val="18"/>
          <w:color w:val="auto"/>
        </w:rPr>
        <w:t>. The Parties will reasonably cooperate with each other to achieve the Regulatory Approvals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timely, accurate, and responsive manner. The non-Regulatory Responsible Party will assist the Regulatory Responsible Party, as is reasonably necessary and at the Regulatory Responsible Party’s expense, in order for such Regulatory Responsible Party to obtain and maintain each applicable Regulatory Approvals for the Products in the Regulatory Responsible Party’s Territory, including in connection with the preparation, filing, and submission of all Regulatory Filings by such Regulatory Responsible Party. The Regulatory Responsible Party will not be required to materially delay any submission, correspondence, or communication with any Regulatory Authorities.</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7"/>
          <w:szCs w:val="17"/>
          <w:b w:val="1"/>
          <w:bCs w:val="1"/>
          <w:color w:val="auto"/>
        </w:rPr>
        <w:t>Data Sharing and Right of Cross-Reference</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5.8.1 Data Sharing. </w:t>
      </w:r>
      <w:r>
        <w:rPr>
          <w:rFonts w:ascii="Times New Roman" w:cs="Times New Roman" w:eastAsia="Times New Roman" w:hAnsi="Times New Roman"/>
          <w:sz w:val="18"/>
          <w:szCs w:val="18"/>
          <w:color w:val="auto"/>
        </w:rPr>
        <w:t>In addition to the Adverse Event and safety data reporting obligations, to the extent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Applicable Laws, each Party shall provide the other Party with copies of and access to all Data generated under the Development activities under this Agreement, including data and results, together with reasonable information required to understand and analyze the data and results, related to a Product and Controlled by such Party or its Affiliates or Sublicensees, including all clinical data, protocols, and all supporting documentation related to a Product and Controlled by such Party, its Affiliate, or Sublicensees; in each case to the extent as permitted by the Applicable Laws (in particular the Applicable Laws related to administration of human genetic resources, GDPR and any other Applicable Laws). Each Party will (a) require that its, and its Affiliates, and Sublicensees, and subcontractors are required by written agreement to provide such Party with sufficient rights to all data and results related to a Product to comply with this Article 5.8.1; (b) will ensure that any required consents are obtained from subjects in Clinical Trials sufficient to permit the transfer of information to the other Party; and (c) use Commercially Reasonable Efforts to obtain any consent or permit from any governmental entity that may be required by Applicable Law to share any data or results related to a Product with the other Party. Notwithstanding anything to the contrary herein, neither Party will be required to provide information (other than safety data) related to any Third-Party’s product used in combination with a Product, including any such information Controlled by a Sublicensee, without such Third Party’s consent, which the applicable Party will use Commercially Reasonable Efforts to obtain. For such Sublicensees that fail to obtain a Third Party’s consent to share such information regarding the combination of such Third Party’s product with a Product, ArriVent shall not share with such Sublicensee the information related to any combinations of Third-Party-products with a Product provided by Alphamab. Further, to the extent required by Applicable Law for the sharing of any data or results pursuant to this Agreement or any Ancillary Agreement, the Parties will negotiate and enter into a data processing agreement (“</w:t>
      </w:r>
      <w:r>
        <w:rPr>
          <w:rFonts w:ascii="Times New Roman" w:cs="Times New Roman" w:eastAsia="Times New Roman" w:hAnsi="Times New Roman"/>
          <w:sz w:val="18"/>
          <w:szCs w:val="18"/>
          <w:b w:val="1"/>
          <w:bCs w:val="1"/>
          <w:color w:val="auto"/>
        </w:rPr>
        <w:t>Data Processing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5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5.8.2 Right of Cross-Reference. </w:t>
      </w:r>
      <w:r>
        <w:rPr>
          <w:rFonts w:ascii="Times New Roman" w:cs="Times New Roman" w:eastAsia="Times New Roman" w:hAnsi="Times New Roman"/>
          <w:sz w:val="18"/>
          <w:szCs w:val="18"/>
          <w:color w:val="auto"/>
        </w:rPr>
        <w:t>To the extent fully permitted by Applicable Laws (in particular laws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human genetic resources), each Party hereby grants to the other Party a fully paid-up and transferable right to access, cross-reference and rely upon all Regulatory Filings and Regulatory Approvals for purposes of Developing, Manufacturing and Commercializing Compounds and Products in such other Party’s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2" w:right="999" w:bottom="1440" w:gutter="0" w:footer="0" w:header="0"/>
        </w:sectPr>
      </w:pPr>
    </w:p>
    <w:bookmarkStart w:id="45" w:name="page46"/>
    <w:bookmarkEnd w:id="45"/>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292215" cy="8255"/>
                    </a:xfrm>
                    <a:prstGeom prst="rect">
                      <a:avLst/>
                    </a:prstGeom>
                    <a:noFill/>
                  </pic:spPr>
                </pic:pic>
              </a:graphicData>
            </a:graphic>
          </wp:anchor>
        </w:drawing>
        <w:t>5.9</w:t>
      </w:r>
      <w:r>
        <w:rPr>
          <w:sz w:val="20"/>
          <w:szCs w:val="20"/>
          <w:color w:val="auto"/>
        </w:rPr>
        <w:tab/>
      </w:r>
      <w:r>
        <w:rPr>
          <w:rFonts w:ascii="Times New Roman" w:cs="Times New Roman" w:eastAsia="Times New Roman" w:hAnsi="Times New Roman"/>
          <w:sz w:val="18"/>
          <w:szCs w:val="18"/>
          <w:b w:val="1"/>
          <w:bCs w:val="1"/>
          <w:color w:val="auto"/>
        </w:rPr>
        <w:t>Safety Data Exchange.</w:t>
      </w:r>
    </w:p>
    <w:p>
      <w:pPr>
        <w:spacing w:after="0" w:line="18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5.9.1 </w:t>
      </w:r>
      <w:r>
        <w:rPr>
          <w:rFonts w:ascii="Times New Roman" w:cs="Times New Roman" w:eastAsia="Times New Roman" w:hAnsi="Times New Roman"/>
          <w:sz w:val="18"/>
          <w:szCs w:val="18"/>
          <w:color w:val="auto"/>
        </w:rPr>
        <w:t>ArriVent shall own and manage the global safety database for the Compound and Product and Alphamab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right to receive all Data of such global safety database. ArriVent shall be responsible for the timely reporting of all relevant adverse drug reactions/experiences, including those associated with Product quality complaints, and aggregate safety data relating to the Compound, in accordance with local pharmacovigilance legislation within the ArriVent Territory and shall also provide such information to Alphamab within a timely manner. Alphamab shall be responsible for the timely reporting of all relevant adverse drug reactions/experiences, including those associated with Product quality complaints, and aggregate safety data relating to a Compound within the Alphamab Territory.</w:t>
      </w:r>
    </w:p>
    <w:p>
      <w:pPr>
        <w:spacing w:after="0" w:line="15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5.9.2 </w:t>
      </w:r>
      <w:r>
        <w:rPr>
          <w:rFonts w:ascii="Times New Roman" w:cs="Times New Roman" w:eastAsia="Times New Roman" w:hAnsi="Times New Roman"/>
          <w:sz w:val="18"/>
          <w:szCs w:val="18"/>
          <w:color w:val="auto"/>
        </w:rPr>
        <w:t>ArriVent shall be responsible for global medical surveillance, risk management, global medical literature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and monitoring, and responses for the Compound to the appropriate Regulatory Authorities within the ArriVent Territory. ArriVent shall be responsible for the interpretation, in light of ArriVent’s global pharmacovigilance data, of adverse events outside the ArriVent Territory of which Alphamab becomes aware, including adverse events reported to ArriVent by Alphamab. Alphamab shall be responsible for, and ArriVent will cooperate with Alphamab for local medical surveillance, risk management, medical literature review and monitoring within the Alphamab Territory. Alphamab, as the Regulatory Responsible Party, shall be responsible for the correspondence and responses to the appropriate Regulatory Authorities within the Alphamab Territory.</w:t>
      </w:r>
    </w:p>
    <w:p>
      <w:pPr>
        <w:spacing w:after="0" w:line="14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5.9.3 </w:t>
      </w:r>
      <w:r>
        <w:rPr>
          <w:rFonts w:ascii="Times New Roman" w:cs="Times New Roman" w:eastAsia="Times New Roman" w:hAnsi="Times New Roman"/>
          <w:sz w:val="18"/>
          <w:szCs w:val="18"/>
          <w:color w:val="auto"/>
        </w:rPr>
        <w:t>Further details of the Parties’ respective pharmacovigilance obligations and responsibilities (e.g., signal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case processing and reporting, aggregate reporting, risk management, health authority responses, safety data exchange, etc.) shall be set forth in a pharmacovigilance agreement that will be agreed to by the Parties (and their respective Affiliate(s), as appropriate) prior to the commencement of any Clinical Trial involving the administration of a Compound or Product (as it may be amended from time to time, the “</w:t>
      </w:r>
      <w:r>
        <w:rPr>
          <w:rFonts w:ascii="Times New Roman" w:cs="Times New Roman" w:eastAsia="Times New Roman" w:hAnsi="Times New Roman"/>
          <w:sz w:val="18"/>
          <w:szCs w:val="18"/>
          <w:b w:val="1"/>
          <w:bCs w:val="1"/>
          <w:color w:val="auto"/>
        </w:rPr>
        <w:t>Pharmacovigilance Agreement</w:t>
      </w:r>
      <w:r>
        <w:rPr>
          <w:rFonts w:ascii="Times New Roman" w:cs="Times New Roman" w:eastAsia="Times New Roman" w:hAnsi="Times New Roman"/>
          <w:sz w:val="18"/>
          <w:szCs w:val="18"/>
          <w:color w:val="auto"/>
        </w:rPr>
        <w:t>”). In the event of a conflict between the terms of the Pharmacovigilance Agreement and the terms of this Agreement, the provisions of this Agreement shall govern; provided, however, that the Pharmacovigilance Agreement shall govern in respect of pharmacovigilance, including safety and risk management, matters.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 COMMERCIALIZATION</w:t>
      </w:r>
    </w:p>
    <w:p>
      <w:pPr>
        <w:spacing w:after="0" w:line="198"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 xml:space="preserve">Commercialization Diligence Obligations. </w:t>
      </w:r>
      <w:r>
        <w:rPr>
          <w:rFonts w:ascii="Times New Roman" w:cs="Times New Roman" w:eastAsia="Times New Roman" w:hAnsi="Times New Roman"/>
          <w:sz w:val="18"/>
          <w:szCs w:val="18"/>
          <w:color w:val="auto"/>
        </w:rPr>
        <w:t>Following receipt of Regulatory Approval for the Products in a country or region,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applicable, in the ArriVent Territory, ArriVent will use Commercially Reasonable Efforts to Commercialize such Product in such country or region, which will include using Commercially Reasonable Efforts to obtain required Pricing Approvals. Each Party will perform, or will ensure that each of its Affiliates, Sublicensees, and subcontractors perform, all Commercialization activities in a professional and ethical business manner and in compliance with Applicable Law.</w:t>
      </w:r>
    </w:p>
    <w:p>
      <w:pPr>
        <w:spacing w:after="0" w:line="139" w:lineRule="exact"/>
        <w:rPr>
          <w:sz w:val="20"/>
          <w:szCs w:val="20"/>
          <w:color w:val="auto"/>
        </w:rPr>
      </w:pPr>
    </w:p>
    <w:p>
      <w:pPr>
        <w:jc w:val="both"/>
        <w:ind w:left="640" w:hanging="634"/>
        <w:spacing w:after="0" w:line="28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 xml:space="preserve">Export Monitoring. </w:t>
      </w:r>
      <w:r>
        <w:rPr>
          <w:rFonts w:ascii="Times New Roman" w:cs="Times New Roman" w:eastAsia="Times New Roman" w:hAnsi="Times New Roman"/>
          <w:sz w:val="18"/>
          <w:szCs w:val="18"/>
          <w:color w:val="auto"/>
        </w:rPr>
        <w:t>A Party shall promptly inform the other Party if it becomes aware of any exports of the Products by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subcontractors or its Sublicensees into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32" w:right="999" w:bottom="1440" w:gutter="0" w:footer="0" w:header="0"/>
        </w:sectPr>
      </w:pPr>
    </w:p>
    <w:bookmarkStart w:id="46" w:name="page47"/>
    <w:bookmarkEnd w:id="46"/>
    <w:p>
      <w:pPr>
        <w:jc w:val="center"/>
        <w:ind w:right="-211"/>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292215" cy="8255"/>
                    </a:xfrm>
                    <a:prstGeom prst="rect">
                      <a:avLst/>
                    </a:prstGeom>
                    <a:noFill/>
                  </pic:spPr>
                </pic:pic>
              </a:graphicData>
            </a:graphic>
          </wp:anchor>
        </w:drawing>
        <w:t>other Party’s Territory and will keep the other Party informed of the actions taken to stop and further prevent such exports.</w:t>
      </w:r>
    </w:p>
    <w:p>
      <w:pPr>
        <w:spacing w:after="0" w:line="1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ARTICLE 7 MANUFACTURE AND SUPPLY</w:t>
      </w:r>
    </w:p>
    <w:p>
      <w:pPr>
        <w:spacing w:after="0" w:line="185" w:lineRule="exact"/>
        <w:rPr>
          <w:sz w:val="20"/>
          <w:szCs w:val="20"/>
          <w:color w:val="auto"/>
        </w:rPr>
      </w:pPr>
    </w:p>
    <w:p>
      <w:pPr>
        <w:jc w:val="both"/>
        <w:ind w:left="632" w:hanging="634"/>
        <w:spacing w:after="0" w:line="259"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color w:val="auto"/>
        </w:rPr>
        <w:t>Alphamab Supply Obligation</w:t>
      </w:r>
      <w:r>
        <w:rPr>
          <w:rFonts w:ascii="Times New Roman" w:cs="Times New Roman" w:eastAsia="Times New Roman" w:hAnsi="Times New Roman"/>
          <w:sz w:val="18"/>
          <w:szCs w:val="18"/>
          <w:color w:val="auto"/>
        </w:rPr>
        <w:t>. Subject to the fulfillment of ArriVent’s payment obligation under Article 4.3.2, Alphamab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supply ArriVent, either by itself or through Third Party manufacturers, according to the Development Plan agreed by JSC, with the Product through the completion of Phase I Clinical Trials for such Product [***]. For Product to be supplied thereafter, ArriVent may, at its sole election, either (a) require Alphamab to provide the Products [***] of the Products agreed to by the Parties or (b) choose to Manufacture the Products under the Manufacturing License.</w:t>
      </w:r>
    </w:p>
    <w:p>
      <w:pPr>
        <w:spacing w:after="0" w:line="139" w:lineRule="exact"/>
        <w:rPr>
          <w:sz w:val="20"/>
          <w:szCs w:val="20"/>
          <w:color w:val="auto"/>
        </w:rPr>
      </w:pPr>
    </w:p>
    <w:p>
      <w:pPr>
        <w:jc w:val="both"/>
        <w:ind w:left="632" w:hanging="634"/>
        <w:spacing w:after="0" w:line="257"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 xml:space="preserve">Supply Agreements. </w:t>
      </w:r>
      <w:r>
        <w:rPr>
          <w:rFonts w:ascii="Times New Roman" w:cs="Times New Roman" w:eastAsia="Times New Roman" w:hAnsi="Times New Roman"/>
          <w:sz w:val="18"/>
          <w:szCs w:val="18"/>
          <w:color w:val="auto"/>
        </w:rPr>
        <w:t>For Products, Culture Media and Enzyme to be supplied to ArriVent by Alphamab, the Parties shall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manufacturing and supply agreements and associated quality agreements (collectively, the “</w:t>
      </w:r>
      <w:r>
        <w:rPr>
          <w:rFonts w:ascii="Times New Roman" w:cs="Times New Roman" w:eastAsia="Times New Roman" w:hAnsi="Times New Roman"/>
          <w:sz w:val="18"/>
          <w:szCs w:val="18"/>
          <w:b w:val="1"/>
          <w:bCs w:val="1"/>
          <w:color w:val="auto"/>
        </w:rPr>
        <w:t>Supply Agreements</w:t>
      </w:r>
      <w:r>
        <w:rPr>
          <w:rFonts w:ascii="Times New Roman" w:cs="Times New Roman" w:eastAsia="Times New Roman" w:hAnsi="Times New Roman"/>
          <w:sz w:val="18"/>
          <w:szCs w:val="18"/>
          <w:color w:val="auto"/>
        </w:rPr>
        <w:t>”). Upon ArriVent’s request, the Parties will cooperate and negotiate each Supply Agreement, including for any sample Products for use in any Clinical Trial. For Product supplied by Alphamab for any Clinical Trial, the Product must meet the Specification agreed by Parties under the corresponding Supply Agreements, which shall include compliance with regulatory requirements in the ArriVent Territory and the selection criteria of suppliers suitable for global development.</w:t>
      </w:r>
    </w:p>
    <w:p>
      <w:pPr>
        <w:spacing w:after="0" w:line="142" w:lineRule="exact"/>
        <w:rPr>
          <w:sz w:val="20"/>
          <w:szCs w:val="20"/>
          <w:color w:val="auto"/>
        </w:rPr>
      </w:pPr>
    </w:p>
    <w:p>
      <w:pPr>
        <w:jc w:val="both"/>
        <w:ind w:left="632" w:hanging="634"/>
        <w:spacing w:after="0" w:line="262"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b w:val="1"/>
          <w:bCs w:val="1"/>
          <w:color w:val="auto"/>
        </w:rPr>
        <w:t xml:space="preserve">Manufacturing Technology Transfer. </w:t>
      </w:r>
      <w:r>
        <w:rPr>
          <w:rFonts w:ascii="Times New Roman" w:cs="Times New Roman" w:eastAsia="Times New Roman" w:hAnsi="Times New Roman"/>
          <w:sz w:val="18"/>
          <w:szCs w:val="18"/>
          <w:color w:val="auto"/>
        </w:rPr>
        <w:t>Upon ArriVent’s written request, the Parties will negotiate a “</w:t>
      </w:r>
      <w:r>
        <w:rPr>
          <w:rFonts w:ascii="Times New Roman" w:cs="Times New Roman" w:eastAsia="Times New Roman" w:hAnsi="Times New Roman"/>
          <w:sz w:val="18"/>
          <w:szCs w:val="18"/>
          <w:b w:val="1"/>
          <w:bCs w:val="1"/>
          <w:color w:val="auto"/>
        </w:rPr>
        <w:t>Manufacturing Technology Transfer Agreement</w:t>
      </w:r>
      <w:r>
        <w:rPr>
          <w:rFonts w:ascii="Times New Roman" w:cs="Times New Roman" w:eastAsia="Times New Roman" w:hAnsi="Times New Roman"/>
          <w:sz w:val="18"/>
          <w:szCs w:val="18"/>
          <w:color w:val="auto"/>
        </w:rPr>
        <w:t>” (including related costs and expenses to be incurred by Alphamab for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transfer) to enable ArriVent or a Third Party manufacturer selected by ArriVent to Manufacture the Products. ArriVent will consider in good faith any input from Alphamab regarding its selection of a Third Party manufacturer.</w:t>
      </w:r>
    </w:p>
    <w:p>
      <w:pPr>
        <w:spacing w:after="0" w:line="136" w:lineRule="exact"/>
        <w:rPr>
          <w:sz w:val="20"/>
          <w:szCs w:val="20"/>
          <w:color w:val="auto"/>
        </w:rPr>
      </w:pPr>
    </w:p>
    <w:p>
      <w:pPr>
        <w:jc w:val="both"/>
        <w:ind w:left="632" w:hanging="634"/>
        <w:spacing w:after="0" w:line="273"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Culture Media and Enzyme Supply</w:t>
      </w:r>
      <w:r>
        <w:rPr>
          <w:rFonts w:ascii="Times New Roman" w:cs="Times New Roman" w:eastAsia="Times New Roman" w:hAnsi="Times New Roman"/>
          <w:sz w:val="17"/>
          <w:szCs w:val="17"/>
          <w:color w:val="auto"/>
        </w:rPr>
        <w:t>. ArriVent agrees that the licenses granted hereunder do not include rights under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Alphamab Patent or Alphamab Know-How to manufacture or sell the Culture Media and Enzymes, and Alphamab will not have the obligation to disclose any such Know-How to ArriVent; provided that (a) Alphamab must enable ArriVent to either reference an applicable Regulatory Filing with sufficient information regarding the Culture Media and Enzyme to meet any requirements of any Regulatory Authority or Applicable Law in the ArriVent Territory or Alphamab shall provide such information directly to such Regulatory Authority, and (b) Alphamab must supply Culture Media and Enzyme to meet ArriVent’s needs for purposes of manufacturing the Compounds and Products and as set forth in and in compliance with the applicable Supply Agreement.</w:t>
      </w:r>
    </w:p>
    <w:p>
      <w:pPr>
        <w:spacing w:after="0" w:line="131" w:lineRule="exact"/>
        <w:rPr>
          <w:sz w:val="20"/>
          <w:szCs w:val="20"/>
          <w:color w:val="auto"/>
        </w:rPr>
      </w:pPr>
    </w:p>
    <w:p>
      <w:pPr>
        <w:jc w:val="both"/>
        <w:ind w:left="632" w:hanging="634"/>
        <w:spacing w:after="0" w:line="262"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8"/>
          <w:szCs w:val="18"/>
          <w:b w:val="1"/>
          <w:bCs w:val="1"/>
          <w:color w:val="auto"/>
        </w:rPr>
        <w:t>Supply Failure</w:t>
      </w:r>
      <w:r>
        <w:rPr>
          <w:rFonts w:ascii="Times New Roman" w:cs="Times New Roman" w:eastAsia="Times New Roman" w:hAnsi="Times New Roman"/>
          <w:sz w:val="18"/>
          <w:szCs w:val="18"/>
          <w:color w:val="auto"/>
        </w:rPr>
        <w:t>. In the event Alphamab’s is unable to supply the Products, Culture Media or Enzyme (a) for a continuous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 or more for any reason, or (b) for any agreed reason as approved by the JSC, Alphamab shall use its best efforts to find any alternative manufacturing site or allocate the Products, Culture Media or Enzyme, as applicable, from Alphamab Territory. If Alphamab still is unable to supply the Products for a continuous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left="-8" w:firstLine="8"/>
        <w:spacing w:after="0" w:line="264" w:lineRule="auto"/>
        <w:tabs>
          <w:tab w:leader="none" w:pos="349"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336" w:right="999" w:bottom="1440" w:gutter="0" w:footer="0" w:header="0"/>
        </w:sectPr>
      </w:pPr>
    </w:p>
    <w:bookmarkStart w:id="47" w:name="page48"/>
    <w:bookmarkEnd w:id="47"/>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292215" cy="8255"/>
                    </a:xfrm>
                    <a:prstGeom prst="rect">
                      <a:avLst/>
                    </a:prstGeom>
                    <a:noFill/>
                  </pic:spPr>
                </pic:pic>
              </a:graphicData>
            </a:graphic>
          </wp:anchor>
        </w:drawing>
        <w:t>period of [***], then upon ArriVent’s request, undertake technology transfer process in an expeditious manner for transfer of required technology to a Third Party manufacturer selected by ArriVent and reasonably acceptable to Alphamab, to enable the Third Party manufacturer to undertake Manufacture of the Products based on the Culture Media and Enzyme provided by Alphamab. Alphamab shall enter into a technology transfer agreement with such Third Party manufacturer upon which Alphamab shall undertake the technology transfer. Any Supply Agreement will include the provisions of this Article 7.5. The Supply Agreements will also include appropriate safety stock provisions to enable ArriVent to protect against any failure in supply, regardless of the cause of such failure.</w:t>
      </w:r>
    </w:p>
    <w:p>
      <w:pPr>
        <w:spacing w:after="0" w:line="158"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8"/>
          <w:szCs w:val="18"/>
          <w:b w:val="1"/>
          <w:bCs w:val="1"/>
          <w:color w:val="auto"/>
        </w:rPr>
        <w:t>Recall</w:t>
      </w:r>
      <w:r>
        <w:rPr>
          <w:rFonts w:ascii="Times New Roman" w:cs="Times New Roman" w:eastAsia="Times New Roman" w:hAnsi="Times New Roman"/>
          <w:sz w:val="18"/>
          <w:szCs w:val="18"/>
          <w:color w:val="auto"/>
        </w:rPr>
        <w:t>. Each Party will notify the other Party immediately, and promptly confirm such notice in writing, if it obtains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indicating that any Product may be subject to a recall, corrective action, or other regulatory action by any Regulatory Authority or other governmental authorities (a “</w:t>
      </w:r>
      <w:r>
        <w:rPr>
          <w:rFonts w:ascii="Times New Roman" w:cs="Times New Roman" w:eastAsia="Times New Roman" w:hAnsi="Times New Roman"/>
          <w:sz w:val="18"/>
          <w:szCs w:val="18"/>
          <w:b w:val="1"/>
          <w:bCs w:val="1"/>
          <w:color w:val="auto"/>
        </w:rPr>
        <w:t>Remedial Action</w:t>
      </w:r>
      <w:r>
        <w:rPr>
          <w:rFonts w:ascii="Times New Roman" w:cs="Times New Roman" w:eastAsia="Times New Roman" w:hAnsi="Times New Roman"/>
          <w:sz w:val="18"/>
          <w:szCs w:val="18"/>
          <w:color w:val="auto"/>
        </w:rPr>
        <w:t>”). The Parties will assist each other in gathering and evaluating such information as is necessary to determine the necessity of conducting a Remedial Action with respect to the applicable Territory, and otherwise reasonably cooperate with each other with respect to such Remedial Action or potential Remedial Action. All costs directly associated with implementing a Remedial Action with respect to a Product will be allocated to the respective Regulatory Responsible Party. Any Supply Agreement will include the terms of this Article 7.6.</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 FINANCIAL PROVISIONS</w:t>
      </w:r>
    </w:p>
    <w:p>
      <w:pPr>
        <w:spacing w:after="0" w:line="18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b w:val="1"/>
          <w:bCs w:val="1"/>
          <w:color w:val="auto"/>
        </w:rPr>
        <w:t>Execution Fee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color w:val="auto"/>
        </w:rPr>
        <w:t>Within [***] after the Effective Date, ArriVent will pay to Alphamab, by wire transfer of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funds, a one-time payment (the “</w:t>
      </w: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 of [***] for the [***] Target Pairs covering the [***] Programs.</w:t>
      </w:r>
    </w:p>
    <w:p>
      <w:pPr>
        <w:spacing w:after="0" w:line="11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8.1.2 </w:t>
      </w:r>
      <w:r>
        <w:rPr>
          <w:rFonts w:ascii="Times New Roman" w:cs="Times New Roman" w:eastAsia="Times New Roman" w:hAnsi="Times New Roman"/>
          <w:sz w:val="18"/>
          <w:szCs w:val="18"/>
          <w:color w:val="auto"/>
        </w:rPr>
        <w:t>If Alphamab’s dual-payload technology will be used under the Research activities, an additional [***]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will be paid to Alphamab. Alphamab will issue an invoice promptly after the confirmation of Target Pairs by JSC and ArriVent will pay such invoice within [***] of its receipt. The amounts pursuant to this Article 8.1.2 will be deemed to be part of the Upfront Payment.</w:t>
      </w:r>
    </w:p>
    <w:p>
      <w:pPr>
        <w:spacing w:after="0" w:line="149"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8.1.3</w:t>
      </w:r>
      <w:r>
        <w:rPr>
          <w:sz w:val="20"/>
          <w:szCs w:val="20"/>
          <w:color w:val="auto"/>
        </w:rPr>
        <w:tab/>
      </w:r>
      <w:r>
        <w:rPr>
          <w:rFonts w:ascii="Times New Roman" w:cs="Times New Roman" w:eastAsia="Times New Roman" w:hAnsi="Times New Roman"/>
          <w:sz w:val="17"/>
          <w:szCs w:val="17"/>
          <w:color w:val="auto"/>
        </w:rPr>
        <w:t>The Upfront Payment shall be non-refundable and non-creditable.</w:t>
      </w:r>
    </w:p>
    <w:p>
      <w:pPr>
        <w:spacing w:after="0" w:line="185"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b w:val="1"/>
          <w:bCs w:val="1"/>
          <w:color w:val="auto"/>
        </w:rPr>
        <w:t xml:space="preserve">Development Milestone Payments. </w:t>
      </w:r>
      <w:r>
        <w:rPr>
          <w:rFonts w:ascii="Times New Roman" w:cs="Times New Roman" w:eastAsia="Times New Roman" w:hAnsi="Times New Roman"/>
          <w:sz w:val="18"/>
          <w:szCs w:val="18"/>
          <w:color w:val="auto"/>
        </w:rPr>
        <w:t>No later than [***] after the first achievement of each “</w:t>
      </w:r>
      <w:r>
        <w:rPr>
          <w:rFonts w:ascii="Times New Roman" w:cs="Times New Roman" w:eastAsia="Times New Roman" w:hAnsi="Times New Roman"/>
          <w:sz w:val="18"/>
          <w:szCs w:val="18"/>
          <w:b w:val="1"/>
          <w:bCs w:val="1"/>
          <w:color w:val="auto"/>
        </w:rPr>
        <w:t>Development Milestone Event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table below by ArriVent or its Affiliates or Sublicensees for the Products in the ArriVent Territory, ArriVent will notify Alphamab of the occurrence of the applicable Development Milestone Event and Alphamab will promptly issue an invoice to ArriVent for the corresponding milestone payment (“</w:t>
      </w:r>
      <w:r>
        <w:rPr>
          <w:rFonts w:ascii="Times New Roman" w:cs="Times New Roman" w:eastAsia="Times New Roman" w:hAnsi="Times New Roman"/>
          <w:sz w:val="18"/>
          <w:szCs w:val="18"/>
          <w:b w:val="1"/>
          <w:bCs w:val="1"/>
          <w:color w:val="auto"/>
        </w:rPr>
        <w:t>Development Milestone Payment</w:t>
      </w:r>
      <w:r>
        <w:rPr>
          <w:rFonts w:ascii="Times New Roman" w:cs="Times New Roman" w:eastAsia="Times New Roman" w:hAnsi="Times New Roman"/>
          <w:sz w:val="18"/>
          <w:szCs w:val="18"/>
          <w:color w:val="auto"/>
        </w:rPr>
        <w:t>”) set forth in below table. ArriVent shall pay undisputed invoices within [***] of receipt. Each Development Milestone Payment is payable only once for each Program, regardless of the number of times the corresponding Development Milestone Event is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48" w:name="page49"/>
    <w:bookmarkEnd w:id="48"/>
    <w:tbl>
      <w:tblPr>
        <w:tblLayout w:type="fixed"/>
        <w:tblInd w:w="1010" w:type="dxa"/>
        <w:tblCellMar>
          <w:top w:w="0" w:type="dxa"/>
          <w:left w:w="0" w:type="dxa"/>
          <w:bottom w:w="0" w:type="dxa"/>
          <w:right w:w="0" w:type="dxa"/>
        </w:tblCellMar>
      </w:tblPr>
      <w:tr>
        <w:trPr>
          <w:trHeight w:val="223"/>
        </w:trPr>
        <w:tc>
          <w:tcPr>
            <w:tcW w:w="440" w:type="dxa"/>
            <w:vAlign w:val="bottom"/>
            <w:tcBorders>
              <w:top w:val="single" w:sz="8" w:color="auto"/>
              <w:left w:val="single" w:sz="8" w:color="auto"/>
            </w:tcBorders>
          </w:tcPr>
          <w:p>
            <w:pPr>
              <w:spacing w:after="0"/>
              <w:rPr>
                <w:sz w:val="19"/>
                <w:szCs w:val="19"/>
                <w:color w:val="auto"/>
              </w:rPr>
            </w:pPr>
          </w:p>
        </w:tc>
        <w:tc>
          <w:tcPr>
            <w:tcW w:w="3540" w:type="dxa"/>
            <w:vAlign w:val="bottom"/>
            <w:tcBorders>
              <w:top w:val="single" w:sz="8" w:color="auto"/>
              <w:right w:val="single" w:sz="8" w:color="auto"/>
            </w:tcBorders>
            <w:vMerge w:val="restart"/>
          </w:tcPr>
          <w:p>
            <w:pPr>
              <w:jc w:val="right"/>
              <w:ind w:right="568"/>
              <w:spacing w:after="0"/>
              <w:rPr>
                <w:sz w:val="20"/>
                <w:szCs w:val="20"/>
                <w:color w:val="auto"/>
              </w:rPr>
            </w:pPr>
            <w:r>
              <w:rPr>
                <w:rFonts w:ascii="Times New Roman" w:cs="Times New Roman" w:eastAsia="Times New Roman" w:hAnsi="Times New Roman"/>
                <w:sz w:val="22"/>
                <w:szCs w:val="22"/>
                <w:b w:val="1"/>
                <w:bCs w:val="1"/>
                <w:i w:val="1"/>
                <w:iCs w:val="1"/>
                <w:color w:val="auto"/>
              </w:rPr>
              <w:t>Development Milestone Event</w:t>
            </w:r>
          </w:p>
        </w:tc>
        <w:tc>
          <w:tcPr>
            <w:tcW w:w="3940" w:type="dxa"/>
            <w:vAlign w:val="bottom"/>
            <w:tcBorders>
              <w:top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b w:val="1"/>
                <w:bCs w:val="1"/>
                <w:i w:val="1"/>
                <w:iCs w:val="1"/>
                <w:color w:val="auto"/>
                <w:w w:val="98"/>
              </w:rPr>
              <w:t>Milestone Payment/per Product</w:t>
            </w:r>
          </w:p>
        </w:tc>
        <w:tc>
          <w:tcPr>
            <w:tcW w:w="0" w:type="dxa"/>
            <w:vAlign w:val="bottom"/>
          </w:tcPr>
          <w:p>
            <w:pPr>
              <w:spacing w:after="0"/>
              <w:rPr>
                <w:sz w:val="1"/>
                <w:szCs w:val="1"/>
                <w:color w:val="auto"/>
              </w:rPr>
            </w:pPr>
          </w:p>
        </w:tc>
      </w:tr>
      <w:tr>
        <w:trPr>
          <w:trHeight w:val="167"/>
        </w:trPr>
        <w:tc>
          <w:tcPr>
            <w:tcW w:w="440" w:type="dxa"/>
            <w:vAlign w:val="bottom"/>
            <w:tcBorders>
              <w:left w:val="single" w:sz="8" w:color="auto"/>
            </w:tcBorders>
          </w:tcPr>
          <w:p>
            <w:pPr>
              <w:spacing w:after="0"/>
              <w:rPr>
                <w:sz w:val="14"/>
                <w:szCs w:val="14"/>
                <w:color w:val="auto"/>
              </w:rPr>
            </w:pPr>
          </w:p>
        </w:tc>
        <w:tc>
          <w:tcPr>
            <w:tcW w:w="3540" w:type="dxa"/>
            <w:vAlign w:val="bottom"/>
            <w:tcBorders>
              <w:right w:val="single" w:sz="8" w:color="auto"/>
            </w:tcBorders>
            <w:vMerge w:val="continue"/>
          </w:tcPr>
          <w:p>
            <w:pPr>
              <w:spacing w:after="0"/>
              <w:rPr>
                <w:sz w:val="14"/>
                <w:szCs w:val="14"/>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w w:val="98"/>
              </w:rPr>
              <w:t>(in U.S. Dollars)</w:t>
            </w:r>
          </w:p>
        </w:tc>
        <w:tc>
          <w:tcPr>
            <w:tcW w:w="0" w:type="dxa"/>
            <w:vAlign w:val="bottom"/>
          </w:tcPr>
          <w:p>
            <w:pPr>
              <w:spacing w:after="0"/>
              <w:rPr>
                <w:sz w:val="1"/>
                <w:szCs w:val="1"/>
                <w:color w:val="auto"/>
              </w:rPr>
            </w:pPr>
          </w:p>
        </w:tc>
      </w:tr>
      <w:tr>
        <w:trPr>
          <w:trHeight w:val="122"/>
        </w:trPr>
        <w:tc>
          <w:tcPr>
            <w:tcW w:w="440" w:type="dxa"/>
            <w:vAlign w:val="bottom"/>
            <w:tcBorders>
              <w:left w:val="single" w:sz="8" w:color="auto"/>
            </w:tcBorders>
          </w:tcPr>
          <w:p>
            <w:pPr>
              <w:spacing w:after="0"/>
              <w:rPr>
                <w:sz w:val="10"/>
                <w:szCs w:val="10"/>
                <w:color w:val="auto"/>
              </w:rPr>
            </w:pPr>
          </w:p>
        </w:tc>
        <w:tc>
          <w:tcPr>
            <w:tcW w:w="3540" w:type="dxa"/>
            <w:vAlign w:val="bottom"/>
            <w:tcBorders>
              <w:right w:val="single" w:sz="8" w:color="auto"/>
            </w:tcBorders>
          </w:tcPr>
          <w:p>
            <w:pPr>
              <w:spacing w:after="0"/>
              <w:rPr>
                <w:sz w:val="10"/>
                <w:szCs w:val="10"/>
                <w:color w:val="auto"/>
              </w:rPr>
            </w:pPr>
          </w:p>
        </w:tc>
        <w:tc>
          <w:tcPr>
            <w:tcW w:w="3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4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4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540" w:type="dxa"/>
            <w:vAlign w:val="bottom"/>
            <w:tcBorders>
              <w:bottom w:val="single" w:sz="8" w:color="auto"/>
              <w:right w:val="single" w:sz="8" w:color="auto"/>
            </w:tcBorders>
          </w:tcPr>
          <w:p>
            <w:pPr>
              <w:jc w:val="right"/>
              <w:ind w:right="2988"/>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3540" w:type="dxa"/>
            <w:vAlign w:val="bottom"/>
            <w:tcBorders>
              <w:bottom w:val="single" w:sz="8" w:color="auto"/>
              <w:right w:val="single" w:sz="8" w:color="auto"/>
            </w:tcBorders>
          </w:tcPr>
          <w:p>
            <w:pPr>
              <w:jc w:val="right"/>
              <w:ind w:right="2988"/>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0"/>
        </w:trPr>
        <w:tc>
          <w:tcPr>
            <w:tcW w:w="4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540" w:type="dxa"/>
            <w:vAlign w:val="bottom"/>
            <w:tcBorders>
              <w:bottom w:val="single" w:sz="8" w:color="auto"/>
              <w:right w:val="single" w:sz="8" w:color="auto"/>
            </w:tcBorders>
          </w:tcPr>
          <w:p>
            <w:pPr>
              <w:jc w:val="right"/>
              <w:ind w:right="2988"/>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3540" w:type="dxa"/>
            <w:vAlign w:val="bottom"/>
            <w:tcBorders>
              <w:bottom w:val="single" w:sz="8" w:color="auto"/>
              <w:right w:val="single" w:sz="8" w:color="auto"/>
            </w:tcBorders>
          </w:tcPr>
          <w:p>
            <w:pPr>
              <w:jc w:val="right"/>
              <w:ind w:right="2988"/>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5.</w:t>
            </w:r>
          </w:p>
        </w:tc>
        <w:tc>
          <w:tcPr>
            <w:tcW w:w="3540" w:type="dxa"/>
            <w:vAlign w:val="bottom"/>
            <w:tcBorders>
              <w:bottom w:val="single" w:sz="8" w:color="auto"/>
              <w:right w:val="single" w:sz="8" w:color="auto"/>
            </w:tcBorders>
          </w:tcPr>
          <w:p>
            <w:pPr>
              <w:jc w:val="right"/>
              <w:ind w:right="2988"/>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0"/>
        </w:trPr>
        <w:tc>
          <w:tcPr>
            <w:tcW w:w="4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6.</w:t>
            </w:r>
          </w:p>
        </w:tc>
        <w:tc>
          <w:tcPr>
            <w:tcW w:w="3540" w:type="dxa"/>
            <w:vAlign w:val="bottom"/>
            <w:tcBorders>
              <w:bottom w:val="single" w:sz="8" w:color="auto"/>
              <w:right w:val="single" w:sz="8" w:color="auto"/>
            </w:tcBorders>
          </w:tcPr>
          <w:p>
            <w:pPr>
              <w:jc w:val="right"/>
              <w:ind w:right="2988"/>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7.</w:t>
            </w:r>
          </w:p>
        </w:tc>
        <w:tc>
          <w:tcPr>
            <w:tcW w:w="3540" w:type="dxa"/>
            <w:vAlign w:val="bottom"/>
            <w:tcBorders>
              <w:bottom w:val="single" w:sz="8" w:color="auto"/>
              <w:right w:val="single" w:sz="8" w:color="auto"/>
            </w:tcBorders>
          </w:tcPr>
          <w:p>
            <w:pPr>
              <w:jc w:val="right"/>
              <w:ind w:right="2988"/>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0"/>
        </w:trPr>
        <w:tc>
          <w:tcPr>
            <w:tcW w:w="4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8.</w:t>
            </w:r>
          </w:p>
        </w:tc>
        <w:tc>
          <w:tcPr>
            <w:tcW w:w="3540" w:type="dxa"/>
            <w:vAlign w:val="bottom"/>
            <w:tcBorders>
              <w:bottom w:val="single" w:sz="8" w:color="auto"/>
              <w:right w:val="single" w:sz="8" w:color="auto"/>
            </w:tcBorders>
          </w:tcPr>
          <w:p>
            <w:pPr>
              <w:jc w:val="right"/>
              <w:ind w:right="2988"/>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3540" w:type="dxa"/>
            <w:vAlign w:val="bottom"/>
            <w:tcBorders>
              <w:bottom w:val="single" w:sz="8" w:color="auto"/>
              <w:right w:val="single" w:sz="8" w:color="auto"/>
            </w:tcBorders>
          </w:tcPr>
          <w:p>
            <w:pPr>
              <w:jc w:val="right"/>
              <w:ind w:right="2988"/>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0"/>
        </w:trPr>
        <w:tc>
          <w:tcPr>
            <w:tcW w:w="4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3540" w:type="dxa"/>
            <w:vAlign w:val="bottom"/>
            <w:tcBorders>
              <w:bottom w:val="single" w:sz="8" w:color="auto"/>
              <w:right w:val="single" w:sz="8" w:color="auto"/>
            </w:tcBorders>
          </w:tcPr>
          <w:p>
            <w:pPr>
              <w:jc w:val="right"/>
              <w:ind w:right="2988"/>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In the event that a registrational Clinical Trial for the U.S. is designed such that a Phase II Clinical Trial will not be required, then ArriVent will pay [***] of the Development Milestone Payment for Development Milestone Event 3 upon dosing of the first patient in the registrational Clinical Trial and pay [***] of the Development Milestone Payment for Development Milestone Event 3 and [***] Development Milestone Event 4 upon the completion of the Clinical Study Report for the registrational Clinical Trial. In the event that after the dosing of the first patient in a Phase II Clinical Trial and payment of Development Milestone Payment 3, ArriVent determines that such Clinical Trial will provide sufficient data such that ArriVent determines that it will not conduct a further Clinical Trial prior to filing for Regulatory Approval in the U.S., then ArriVent will promptly notify Alphamab of such determination and will pay to Alphamab [***] as part of Development Milestone Payment 4 immediately and thereafter pay the remaining [***] upon the completion of the Clinical Study Report for such Phase II Clinical Trial. “</w:t>
      </w:r>
      <w:r>
        <w:rPr>
          <w:rFonts w:ascii="Times New Roman" w:cs="Times New Roman" w:eastAsia="Times New Roman" w:hAnsi="Times New Roman"/>
          <w:sz w:val="18"/>
          <w:szCs w:val="18"/>
          <w:b w:val="1"/>
          <w:bCs w:val="1"/>
          <w:color w:val="auto"/>
        </w:rPr>
        <w:t>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Study Report</w:t>
      </w:r>
      <w:r>
        <w:rPr>
          <w:rFonts w:ascii="Times New Roman" w:cs="Times New Roman" w:eastAsia="Times New Roman" w:hAnsi="Times New Roman"/>
          <w:sz w:val="18"/>
          <w:szCs w:val="18"/>
          <w:color w:val="auto"/>
        </w:rPr>
        <w:t>” means the integrated full report for the applicable Clinical Trial in accordance with International Conference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Harmonization (ICH) guidelines and Applicable Law.</w:t>
      </w:r>
    </w:p>
    <w:p>
      <w:pPr>
        <w:spacing w:after="0" w:line="161"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Sales Milestone</w:t>
      </w:r>
      <w:r>
        <w:rPr>
          <w:rFonts w:ascii="Times New Roman" w:cs="Times New Roman" w:eastAsia="Times New Roman" w:hAnsi="Times New Roman"/>
          <w:sz w:val="18"/>
          <w:szCs w:val="18"/>
          <w:color w:val="auto"/>
        </w:rPr>
        <w:t>. No later than [***] after the Calendar Quarter in which the “</w:t>
      </w:r>
      <w:r>
        <w:rPr>
          <w:rFonts w:ascii="Times New Roman" w:cs="Times New Roman" w:eastAsia="Times New Roman" w:hAnsi="Times New Roman"/>
          <w:sz w:val="18"/>
          <w:szCs w:val="18"/>
          <w:b w:val="1"/>
          <w:bCs w:val="1"/>
          <w:color w:val="auto"/>
        </w:rPr>
        <w:t>Sales Milestone Event</w:t>
      </w:r>
      <w:r>
        <w:rPr>
          <w:rFonts w:ascii="Times New Roman" w:cs="Times New Roman" w:eastAsia="Times New Roman" w:hAnsi="Times New Roman"/>
          <w:sz w:val="18"/>
          <w:szCs w:val="18"/>
          <w:color w:val="auto"/>
        </w:rPr>
        <w:t>” set forth below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achieved by ArriVent or its Affiliates or Sublicensees for the Products in the ArriVent Territory, ArriVent will notify Alphamab of the occurrence of the applicable Sales Milestone Event and pay to Alphamab the corresponding “</w:t>
      </w:r>
      <w:r>
        <w:rPr>
          <w:rFonts w:ascii="Times New Roman" w:cs="Times New Roman" w:eastAsia="Times New Roman" w:hAnsi="Times New Roman"/>
          <w:sz w:val="18"/>
          <w:szCs w:val="18"/>
          <w:b w:val="1"/>
          <w:bCs w:val="1"/>
          <w:color w:val="auto"/>
        </w:rPr>
        <w:t>Sales Milestone Payment</w:t>
      </w:r>
      <w:r>
        <w:rPr>
          <w:rFonts w:ascii="Times New Roman" w:cs="Times New Roman" w:eastAsia="Times New Roman" w:hAnsi="Times New Roman"/>
          <w:sz w:val="18"/>
          <w:szCs w:val="18"/>
          <w:color w:val="auto"/>
        </w:rPr>
        <w:t>”, as set forth below. The Sales Milestone Payment is payable only once for each Product, regardless of the number of times the Sales Milestone Event is achieved and Net Sales for different Products will not be aggregated for purposes of calculating when a Sales Milestone Event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35" w:right="999" w:bottom="1440" w:gutter="0" w:footer="0" w:header="0"/>
        </w:sectPr>
      </w:pPr>
    </w:p>
    <w:bookmarkStart w:id="49" w:name="page50"/>
    <w:bookmarkEnd w:id="49"/>
    <w:tbl>
      <w:tblPr>
        <w:tblLayout w:type="fixed"/>
        <w:tblInd w:w="1010" w:type="dxa"/>
        <w:tblCellMar>
          <w:top w:w="0" w:type="dxa"/>
          <w:left w:w="0" w:type="dxa"/>
          <w:bottom w:w="0" w:type="dxa"/>
          <w:right w:w="0" w:type="dxa"/>
        </w:tblCellMar>
      </w:tblPr>
      <w:tr>
        <w:trPr>
          <w:trHeight w:val="223"/>
        </w:trPr>
        <w:tc>
          <w:tcPr>
            <w:tcW w:w="400" w:type="dxa"/>
            <w:vAlign w:val="bottom"/>
            <w:tcBorders>
              <w:top w:val="single" w:sz="8" w:color="auto"/>
              <w:lef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58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b w:val="1"/>
                <w:bCs w:val="1"/>
                <w:i w:val="1"/>
                <w:iCs w:val="1"/>
                <w:color w:val="auto"/>
                <w:w w:val="98"/>
              </w:rPr>
              <w:t>Sales Milestone</w:t>
            </w:r>
          </w:p>
        </w:tc>
        <w:tc>
          <w:tcPr>
            <w:tcW w:w="0" w:type="dxa"/>
            <w:vAlign w:val="bottom"/>
          </w:tcPr>
          <w:p>
            <w:pPr>
              <w:spacing w:after="0"/>
              <w:rPr>
                <w:sz w:val="1"/>
                <w:szCs w:val="1"/>
                <w:color w:val="auto"/>
              </w:rPr>
            </w:pPr>
          </w:p>
        </w:tc>
      </w:tr>
      <w:tr>
        <w:trPr>
          <w:trHeight w:val="243"/>
        </w:trPr>
        <w:tc>
          <w:tcPr>
            <w:tcW w:w="400" w:type="dxa"/>
            <w:vAlign w:val="bottom"/>
            <w:tcBorders>
              <w:lef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4580" w:type="dxa"/>
            <w:vAlign w:val="bottom"/>
            <w:tcBorders>
              <w:right w:val="single" w:sz="8" w:color="auto"/>
            </w:tcBorders>
            <w:vMerge w:val="restart"/>
          </w:tcPr>
          <w:p>
            <w:pPr>
              <w:ind w:left="580"/>
              <w:spacing w:after="0"/>
              <w:rPr>
                <w:sz w:val="20"/>
                <w:szCs w:val="20"/>
                <w:color w:val="auto"/>
              </w:rPr>
            </w:pPr>
            <w:r>
              <w:rPr>
                <w:rFonts w:ascii="Times New Roman" w:cs="Times New Roman" w:eastAsia="Times New Roman" w:hAnsi="Times New Roman"/>
                <w:sz w:val="22"/>
                <w:szCs w:val="22"/>
                <w:b w:val="1"/>
                <w:bCs w:val="1"/>
                <w:i w:val="1"/>
                <w:iCs w:val="1"/>
                <w:color w:val="auto"/>
              </w:rPr>
              <w:t>Sales Milestone Event</w:t>
            </w:r>
          </w:p>
        </w:tc>
        <w:tc>
          <w:tcPr>
            <w:tcW w:w="18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9"/>
              </w:rPr>
              <w:t>Payment/per</w:t>
            </w:r>
          </w:p>
        </w:tc>
        <w:tc>
          <w:tcPr>
            <w:tcW w:w="0" w:type="dxa"/>
            <w:vAlign w:val="bottom"/>
          </w:tcPr>
          <w:p>
            <w:pPr>
              <w:spacing w:after="0"/>
              <w:rPr>
                <w:sz w:val="1"/>
                <w:szCs w:val="1"/>
                <w:color w:val="auto"/>
              </w:rPr>
            </w:pPr>
          </w:p>
        </w:tc>
      </w:tr>
      <w:tr>
        <w:trPr>
          <w:trHeight w:val="167"/>
        </w:trPr>
        <w:tc>
          <w:tcPr>
            <w:tcW w:w="40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4580" w:type="dxa"/>
            <w:vAlign w:val="bottom"/>
            <w:tcBorders>
              <w:right w:val="single" w:sz="8" w:color="auto"/>
            </w:tcBorders>
            <w:vMerge w:val="continue"/>
          </w:tcPr>
          <w:p>
            <w:pPr>
              <w:spacing w:after="0"/>
              <w:rPr>
                <w:sz w:val="14"/>
                <w:szCs w:val="14"/>
                <w:color w:val="auto"/>
              </w:rPr>
            </w:pPr>
          </w:p>
        </w:tc>
        <w:tc>
          <w:tcPr>
            <w:tcW w:w="1880" w:type="dxa"/>
            <w:vAlign w:val="bottom"/>
            <w:tcBorders>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w w:val="96"/>
              </w:rPr>
              <w:t>Product</w:t>
            </w:r>
          </w:p>
        </w:tc>
        <w:tc>
          <w:tcPr>
            <w:tcW w:w="0" w:type="dxa"/>
            <w:vAlign w:val="bottom"/>
          </w:tcPr>
          <w:p>
            <w:pPr>
              <w:spacing w:after="0"/>
              <w:rPr>
                <w:sz w:val="1"/>
                <w:szCs w:val="1"/>
                <w:color w:val="auto"/>
              </w:rPr>
            </w:pPr>
          </w:p>
        </w:tc>
      </w:tr>
      <w:tr>
        <w:trPr>
          <w:trHeight w:val="76"/>
        </w:trPr>
        <w:tc>
          <w:tcPr>
            <w:tcW w:w="400" w:type="dxa"/>
            <w:vAlign w:val="bottom"/>
            <w:tcBorders>
              <w:left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4580" w:type="dxa"/>
            <w:vAlign w:val="bottom"/>
            <w:tcBorders>
              <w:right w:val="single" w:sz="8" w:color="auto"/>
            </w:tcBorders>
          </w:tcPr>
          <w:p>
            <w:pPr>
              <w:spacing w:after="0"/>
              <w:rPr>
                <w:sz w:val="6"/>
                <w:szCs w:val="6"/>
                <w:color w:val="auto"/>
              </w:rPr>
            </w:pPr>
          </w:p>
        </w:tc>
        <w:tc>
          <w:tcPr>
            <w:tcW w:w="18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40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45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w w:val="98"/>
              </w:rPr>
              <w:t>(in U.S. Dollars)</w:t>
            </w:r>
          </w:p>
        </w:tc>
        <w:tc>
          <w:tcPr>
            <w:tcW w:w="0" w:type="dxa"/>
            <w:vAlign w:val="bottom"/>
          </w:tcPr>
          <w:p>
            <w:pPr>
              <w:spacing w:after="0"/>
              <w:rPr>
                <w:sz w:val="1"/>
                <w:szCs w:val="1"/>
                <w:color w:val="auto"/>
              </w:rPr>
            </w:pPr>
          </w:p>
        </w:tc>
      </w:tr>
      <w:tr>
        <w:trPr>
          <w:trHeight w:val="42"/>
        </w:trPr>
        <w:tc>
          <w:tcPr>
            <w:tcW w:w="400" w:type="dxa"/>
            <w:vAlign w:val="bottom"/>
            <w:tcBorders>
              <w:left w:val="single" w:sz="8" w:color="auto"/>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00" w:type="dxa"/>
            <w:vAlign w:val="bottom"/>
            <w:tcBorders>
              <w:left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w:t>
            </w: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91"/>
        </w:trPr>
        <w:tc>
          <w:tcPr>
            <w:tcW w:w="400" w:type="dxa"/>
            <w:vAlign w:val="bottom"/>
            <w:tcBorders>
              <w:left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w:t>
            </w: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91"/>
        </w:trPr>
        <w:tc>
          <w:tcPr>
            <w:tcW w:w="400" w:type="dxa"/>
            <w:vAlign w:val="bottom"/>
            <w:tcBorders>
              <w:left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w:t>
            </w: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90"/>
        </w:trPr>
        <w:tc>
          <w:tcPr>
            <w:tcW w:w="400" w:type="dxa"/>
            <w:vAlign w:val="bottom"/>
            <w:tcBorders>
              <w:left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w:t>
            </w: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8"/>
          <w:szCs w:val="18"/>
          <w:b w:val="1"/>
          <w:bCs w:val="1"/>
          <w:color w:val="auto"/>
        </w:rPr>
        <w:t>Sales Royalties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8.4.1 </w:t>
      </w:r>
      <w:r>
        <w:rPr>
          <w:rFonts w:ascii="Times New Roman" w:cs="Times New Roman" w:eastAsia="Times New Roman" w:hAnsi="Times New Roman"/>
          <w:sz w:val="18"/>
          <w:szCs w:val="18"/>
          <w:color w:val="auto"/>
        </w:rPr>
        <w:t>During the Royalty Term, ArriVent will pay to Alphamab a sales royalty for each Product,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calculated by multiplying the applicable Royalty Rate by the aggregated amount of Net Sales of the Product for each Calendar Year in the ArriVent Territory. Subject to Article 8.4.2, the Royalty Rate for the Product will be as follows: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7440" w:type="dxa"/>
            <w:vAlign w:val="bottom"/>
            <w:tcBorders>
              <w:top w:val="single" w:sz="8" w:color="auto"/>
              <w:left w:val="single" w:sz="8" w:color="auto"/>
              <w:right w:val="single" w:sz="8" w:color="auto"/>
            </w:tcBorders>
            <w:shd w:val="clear" w:color="auto" w:fill="DAE3F3"/>
          </w:tcPr>
          <w:p>
            <w:pPr>
              <w:ind w:left="120"/>
              <w:spacing w:after="0" w:line="225" w:lineRule="exact"/>
              <w:rPr>
                <w:sz w:val="20"/>
                <w:szCs w:val="20"/>
                <w:color w:val="auto"/>
              </w:rPr>
            </w:pPr>
            <w:r>
              <w:rPr>
                <w:rFonts w:ascii="Times New Roman" w:cs="Times New Roman" w:eastAsia="Times New Roman" w:hAnsi="Times New Roman"/>
                <w:sz w:val="22"/>
                <w:szCs w:val="22"/>
                <w:b w:val="1"/>
                <w:bCs w:val="1"/>
                <w:color w:val="auto"/>
              </w:rPr>
              <w:t>Annual aggregated Net Sales of the Product in the ArriVent</w:t>
            </w:r>
          </w:p>
        </w:tc>
        <w:tc>
          <w:tcPr>
            <w:tcW w:w="2480" w:type="dxa"/>
            <w:vAlign w:val="bottom"/>
            <w:tcBorders>
              <w:top w:val="single" w:sz="8" w:color="auto"/>
              <w:right w:val="single" w:sz="8" w:color="auto"/>
            </w:tcBorders>
            <w:shd w:val="clear" w:color="auto" w:fill="DAE3F3"/>
          </w:tcPr>
          <w:p>
            <w:pPr>
              <w:ind w:left="80"/>
              <w:spacing w:after="0" w:line="225" w:lineRule="exact"/>
              <w:rPr>
                <w:sz w:val="20"/>
                <w:szCs w:val="20"/>
                <w:color w:val="auto"/>
              </w:rPr>
            </w:pPr>
            <w:r>
              <w:rPr>
                <w:rFonts w:ascii="Times New Roman" w:cs="Times New Roman" w:eastAsia="Times New Roman" w:hAnsi="Times New Roman"/>
                <w:sz w:val="22"/>
                <w:szCs w:val="22"/>
                <w:b w:val="1"/>
                <w:bCs w:val="1"/>
                <w:color w:val="auto"/>
              </w:rPr>
              <w:t>Royalty Rate/per</w:t>
            </w:r>
          </w:p>
        </w:tc>
      </w:tr>
      <w:tr>
        <w:trPr>
          <w:trHeight w:val="286"/>
        </w:trPr>
        <w:tc>
          <w:tcPr>
            <w:tcW w:w="7440" w:type="dxa"/>
            <w:vAlign w:val="bottom"/>
            <w:tcBorders>
              <w:left w:val="single" w:sz="8" w:color="auto"/>
              <w:right w:val="single" w:sz="8" w:color="auto"/>
            </w:tcBorders>
            <w:shd w:val="clear" w:color="auto" w:fill="DAE3F3"/>
          </w:tcPr>
          <w:p>
            <w:pPr>
              <w:ind w:left="120"/>
              <w:spacing w:after="0"/>
              <w:rPr>
                <w:sz w:val="20"/>
                <w:szCs w:val="20"/>
                <w:color w:val="auto"/>
              </w:rPr>
            </w:pPr>
            <w:r>
              <w:rPr>
                <w:rFonts w:ascii="Times New Roman" w:cs="Times New Roman" w:eastAsia="Times New Roman" w:hAnsi="Times New Roman"/>
                <w:sz w:val="22"/>
                <w:szCs w:val="22"/>
                <w:b w:val="1"/>
                <w:bCs w:val="1"/>
                <w:color w:val="auto"/>
              </w:rPr>
              <w:t>Territory in a Calendar Year (USD)</w:t>
            </w:r>
          </w:p>
        </w:tc>
        <w:tc>
          <w:tcPr>
            <w:tcW w:w="2480" w:type="dxa"/>
            <w:vAlign w:val="bottom"/>
            <w:tcBorders>
              <w:right w:val="single" w:sz="8" w:color="auto"/>
            </w:tcBorders>
            <w:shd w:val="clear" w:color="auto" w:fill="DAE3F3"/>
          </w:tcPr>
          <w:p>
            <w:pPr>
              <w:ind w:left="80"/>
              <w:spacing w:after="0"/>
              <w:rPr>
                <w:sz w:val="20"/>
                <w:szCs w:val="20"/>
                <w:color w:val="auto"/>
              </w:rPr>
            </w:pPr>
            <w:r>
              <w:rPr>
                <w:rFonts w:ascii="Times New Roman" w:cs="Times New Roman" w:eastAsia="Times New Roman" w:hAnsi="Times New Roman"/>
                <w:sz w:val="22"/>
                <w:szCs w:val="22"/>
                <w:b w:val="1"/>
                <w:bCs w:val="1"/>
                <w:color w:val="auto"/>
              </w:rPr>
              <w:t>Program</w:t>
            </w:r>
          </w:p>
        </w:tc>
      </w:tr>
      <w:tr>
        <w:trPr>
          <w:trHeight w:val="96"/>
        </w:trPr>
        <w:tc>
          <w:tcPr>
            <w:tcW w:w="7440" w:type="dxa"/>
            <w:vAlign w:val="bottom"/>
            <w:tcBorders>
              <w:left w:val="single" w:sz="8" w:color="auto"/>
              <w:bottom w:val="single" w:sz="8" w:color="auto"/>
              <w:right w:val="single" w:sz="8" w:color="auto"/>
            </w:tcBorders>
            <w:shd w:val="clear" w:color="auto" w:fill="DAE3F3"/>
          </w:tcPr>
          <w:p>
            <w:pPr>
              <w:spacing w:after="0"/>
              <w:rPr>
                <w:sz w:val="8"/>
                <w:szCs w:val="8"/>
                <w:color w:val="auto"/>
              </w:rPr>
            </w:pPr>
          </w:p>
        </w:tc>
        <w:tc>
          <w:tcPr>
            <w:tcW w:w="2480" w:type="dxa"/>
            <w:vAlign w:val="bottom"/>
            <w:tcBorders>
              <w:bottom w:val="single" w:sz="8" w:color="auto"/>
              <w:right w:val="single" w:sz="8" w:color="auto"/>
            </w:tcBorders>
            <w:shd w:val="clear" w:color="auto" w:fill="DAE3F3"/>
          </w:tcPr>
          <w:p>
            <w:pPr>
              <w:spacing w:after="0"/>
              <w:rPr>
                <w:sz w:val="8"/>
                <w:szCs w:val="8"/>
                <w:color w:val="auto"/>
              </w:rPr>
            </w:pPr>
          </w:p>
        </w:tc>
      </w:tr>
      <w:tr>
        <w:trPr>
          <w:trHeight w:val="276"/>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69"/>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r>
      <w:tr>
        <w:trPr>
          <w:trHeight w:val="276"/>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69"/>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r>
      <w:tr>
        <w:trPr>
          <w:trHeight w:val="276"/>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69"/>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r>
      <w:tr>
        <w:trPr>
          <w:trHeight w:val="276"/>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69"/>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r>
      <w:tr>
        <w:trPr>
          <w:trHeight w:val="276"/>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69"/>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r>
    </w:tbl>
    <w:p>
      <w:pPr>
        <w:spacing w:after="0" w:line="19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8.4.2</w:t>
      </w:r>
      <w:r>
        <w:rPr>
          <w:sz w:val="20"/>
          <w:szCs w:val="20"/>
          <w:color w:val="auto"/>
        </w:rPr>
        <w:tab/>
      </w:r>
      <w:r>
        <w:rPr>
          <w:rFonts w:ascii="Times New Roman" w:cs="Times New Roman" w:eastAsia="Times New Roman" w:hAnsi="Times New Roman"/>
          <w:sz w:val="17"/>
          <w:szCs w:val="17"/>
          <w:b w:val="1"/>
          <w:bCs w:val="1"/>
          <w:color w:val="auto"/>
        </w:rPr>
        <w:t>Royalty Reductions</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jc w:val="both"/>
        <w:ind w:firstLine="1952"/>
        <w:spacing w:after="0" w:line="258" w:lineRule="auto"/>
        <w:tabs>
          <w:tab w:leader="none" w:pos="259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Net Sales of a Product for which both the Patented Period and Regulatory Exclusivity Period have expired or are not otherwise applicable, the Royalty Rate on such Net Sales will be reduced by [***]; provided that such Net Sales for which the Royalty Rate is reduced will be attributed first to the lowest tier of Net Sales pursuant to Article 8.4.1 and then successively to higher tiers. For example, if [***] of Net Sales are subject to a reduction of the Royalty Rate pursuant to this Article 8.4.2(a), then [***] will be subject to a Royalty Rate of [***] and the remaining will be subject to a Royalty Rate of [***].</w:t>
      </w:r>
    </w:p>
    <w:p>
      <w:pPr>
        <w:spacing w:after="0" w:line="142"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9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ArriVent (or its Affiliates or Sublicensees) is required to utilize any Intellectual Property Rights of any Third Party to avoid infringement of such Intellectual Property Rights by the Development or Commercialization of a Compound or Product, upon the prior confirmation from Alphamab, then to the extent that ArriVent (or its Affiliates or Sublicensees) is required to pay a royalty to that Third Party on sales of such Product, the royalties payable by ArriVent to Alphamab on such Net Sales will be reduced by one-half of the royalties payable to the Third Party for sales of the Product, provided that the total royalty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35"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292215" cy="8255"/>
                    </a:xfrm>
                    <a:prstGeom prst="rect">
                      <a:avLst/>
                    </a:prstGeom>
                    <a:noFill/>
                  </pic:spPr>
                </pic:pic>
              </a:graphicData>
            </a:graphic>
          </wp:anchor>
        </w:drawing>
        <w:t>payable to Alphamab will not be reduced below [***] of what was otherwise payable.</w:t>
      </w:r>
    </w:p>
    <w:p>
      <w:pPr>
        <w:spacing w:after="0" w:line="198" w:lineRule="exact"/>
        <w:rPr>
          <w:sz w:val="20"/>
          <w:szCs w:val="20"/>
          <w:color w:val="auto"/>
        </w:rPr>
      </w:pPr>
    </w:p>
    <w:p>
      <w:pPr>
        <w:ind w:left="2600" w:hanging="648"/>
        <w:spacing w:after="0"/>
        <w:tabs>
          <w:tab w:leader="none" w:pos="2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reductions under this Article 8.4.2 shall be applied on a Program-by-Program basis.</w:t>
      </w:r>
    </w:p>
    <w:p>
      <w:pPr>
        <w:spacing w:after="0" w:line="181"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8"/>
          <w:szCs w:val="18"/>
          <w:b w:val="1"/>
          <w:bCs w:val="1"/>
          <w:color w:val="auto"/>
        </w:rPr>
        <w:t xml:space="preserve">Out-license before Ph1a. </w:t>
      </w:r>
      <w:r>
        <w:rPr>
          <w:rFonts w:ascii="Times New Roman" w:cs="Times New Roman" w:eastAsia="Times New Roman" w:hAnsi="Times New Roman"/>
          <w:sz w:val="18"/>
          <w:szCs w:val="18"/>
          <w:color w:val="auto"/>
        </w:rPr>
        <w:t>If ArriVent out-licenses all or part of its rights under Article 2.1 to any Sublicensee before finishing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Ph1a Clinical Trial, ArriVent shall pay [***] of amounts payable to ArriVent by the Sublicensee: (a) for any Development Milestone Event listed in Article 8.2 in excess of the amounts payable by ArriVent to Alphamab pursuant to Article 8.2; and (b) as a milestone payment for any other Development (including any regulatory milestones) (collectively “</w:t>
      </w:r>
      <w:r>
        <w:rPr>
          <w:rFonts w:ascii="Times New Roman" w:cs="Times New Roman" w:eastAsia="Times New Roman" w:hAnsi="Times New Roman"/>
          <w:sz w:val="18"/>
          <w:szCs w:val="18"/>
          <w:b w:val="1"/>
          <w:bCs w:val="1"/>
          <w:color w:val="auto"/>
        </w:rPr>
        <w:t>Out-license Fees</w:t>
      </w:r>
      <w:r>
        <w:rPr>
          <w:rFonts w:ascii="Times New Roman" w:cs="Times New Roman" w:eastAsia="Times New Roman" w:hAnsi="Times New Roman"/>
          <w:sz w:val="18"/>
          <w:szCs w:val="18"/>
          <w:color w:val="auto"/>
        </w:rPr>
        <w:t>”). The Out-license Fees will be payable by ArriVent to Alphamab within [***] after ArriVent’s receipt of the applicable payment from a Sublicensee. ArriVent will promptly notify Alphamab upon receipt of any use Commercially Reasonable Efforts to ensure timely payment of such amounts by any Sublicensee. For the avoidance of doubt, payment of any Out-license Fee shall not relieve ArriVent’s payment obligations to Alphamab under this Agreement.</w:t>
      </w:r>
    </w:p>
    <w:p>
      <w:pPr>
        <w:spacing w:after="0" w:line="144" w:lineRule="exact"/>
        <w:rPr>
          <w:sz w:val="20"/>
          <w:szCs w:val="20"/>
          <w:color w:val="auto"/>
        </w:rPr>
      </w:pPr>
    </w:p>
    <w:p>
      <w:pPr>
        <w:jc w:val="both"/>
        <w:ind w:left="640" w:right="20" w:hanging="634"/>
        <w:spacing w:after="0" w:line="28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8"/>
          <w:szCs w:val="18"/>
          <w:b w:val="1"/>
          <w:bCs w:val="1"/>
          <w:color w:val="auto"/>
        </w:rPr>
        <w:t xml:space="preserve">Reports. </w:t>
      </w:r>
      <w:r>
        <w:rPr>
          <w:rFonts w:ascii="Times New Roman" w:cs="Times New Roman" w:eastAsia="Times New Roman" w:hAnsi="Times New Roman"/>
          <w:sz w:val="18"/>
          <w:szCs w:val="18"/>
          <w:color w:val="auto"/>
        </w:rPr>
        <w:t>Beginning with the first commercial sale of a Product, within [***] after the end of each Calendar Quarter, ArriVent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provide Alphamab with a detailed report (the “</w:t>
      </w:r>
      <w:r>
        <w:rPr>
          <w:rFonts w:ascii="Times New Roman" w:cs="Times New Roman" w:eastAsia="Times New Roman" w:hAnsi="Times New Roman"/>
          <w:sz w:val="18"/>
          <w:szCs w:val="18"/>
          <w:b w:val="1"/>
          <w:bCs w:val="1"/>
          <w:color w:val="auto"/>
        </w:rPr>
        <w:t>Quarterly Report</w:t>
      </w:r>
      <w:r>
        <w:rPr>
          <w:rFonts w:ascii="Times New Roman" w:cs="Times New Roman" w:eastAsia="Times New Roman" w:hAnsi="Times New Roman"/>
          <w:sz w:val="18"/>
          <w:szCs w:val="18"/>
          <w:color w:val="auto"/>
        </w:rPr>
        <w:t>”) that includes the following information:</w:t>
      </w:r>
    </w:p>
    <w:p>
      <w:pPr>
        <w:spacing w:after="0" w:line="11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8.6.1 Payment Information. </w:t>
      </w:r>
      <w:r>
        <w:rPr>
          <w:rFonts w:ascii="Times New Roman" w:cs="Times New Roman" w:eastAsia="Times New Roman" w:hAnsi="Times New Roman"/>
          <w:sz w:val="18"/>
          <w:szCs w:val="18"/>
          <w:color w:val="auto"/>
        </w:rPr>
        <w:t>In each Quarterly Report, ArriVent shall include the following information: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invoiced sales of all Products, Net Sales, the deductions used to determine Net Sales, number of units of Products sold, each of which shall be reported on a Product-by-Product and region-by-region basis of ArriVent, its Affiliates and Sublicensees and (b) total royalties payable in respect of the Calendar Quarter and ArriVent’s calculation thereof in reasonable detail.</w:t>
      </w:r>
    </w:p>
    <w:p>
      <w:pPr>
        <w:spacing w:after="0" w:line="136"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8.6.2</w:t>
      </w:r>
      <w:r>
        <w:rPr>
          <w:sz w:val="20"/>
          <w:szCs w:val="20"/>
          <w:color w:val="auto"/>
        </w:rPr>
        <w:tab/>
      </w:r>
      <w:r>
        <w:rPr>
          <w:rFonts w:ascii="Times New Roman" w:cs="Times New Roman" w:eastAsia="Times New Roman" w:hAnsi="Times New Roman"/>
          <w:sz w:val="18"/>
          <w:szCs w:val="18"/>
          <w:b w:val="1"/>
          <w:bCs w:val="1"/>
          <w:color w:val="auto"/>
        </w:rPr>
        <w:t xml:space="preserve">Development Information. </w:t>
      </w:r>
      <w:r>
        <w:rPr>
          <w:rFonts w:ascii="Times New Roman" w:cs="Times New Roman" w:eastAsia="Times New Roman" w:hAnsi="Times New Roman"/>
          <w:sz w:val="18"/>
          <w:szCs w:val="18"/>
          <w:color w:val="auto"/>
        </w:rPr>
        <w:t>In each Quarterly Report, ArriVent shall provide Alphamab with the following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(a) a list of regions within the ArriVent Territory for which such Development or Regulatory Approvals have been obtained for each Product and (b) a description of the status of ongoing applications for Regulatory Approvals within the ArriVent Territory for any Product.</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8.7</w:t>
      </w:r>
      <w:r>
        <w:rPr>
          <w:sz w:val="20"/>
          <w:szCs w:val="20"/>
          <w:color w:val="auto"/>
        </w:rPr>
        <w:tab/>
      </w:r>
      <w:r>
        <w:rPr>
          <w:rFonts w:ascii="Times New Roman" w:cs="Times New Roman" w:eastAsia="Times New Roman" w:hAnsi="Times New Roman"/>
          <w:sz w:val="18"/>
          <w:szCs w:val="18"/>
          <w:b w:val="1"/>
          <w:bCs w:val="1"/>
          <w:color w:val="auto"/>
        </w:rPr>
        <w:t>Records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8"/>
          <w:szCs w:val="18"/>
          <w:b w:val="1"/>
          <w:bCs w:val="1"/>
          <w:color w:val="auto"/>
        </w:rPr>
        <w:t>8.7.1 Records</w:t>
      </w:r>
      <w:r>
        <w:rPr>
          <w:rFonts w:ascii="Times New Roman" w:cs="Times New Roman" w:eastAsia="Times New Roman" w:hAnsi="Times New Roman"/>
          <w:sz w:val="18"/>
          <w:szCs w:val="18"/>
          <w:color w:val="auto"/>
        </w:rPr>
        <w:t>. Each Party shall maintain (and shall cause, as applicable, its Affiliates, Sublicensees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subcontractors to maintain) records in sufficient detail, in good scientific manner and in compliance with Applicable Law in the performance of its activities under this Agreement with respect to the Products. Such records shall be retained as may be required by Applicable Law.</w:t>
      </w:r>
    </w:p>
    <w:p>
      <w:pPr>
        <w:spacing w:after="0" w:line="35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8.7.2 Financial Records. </w:t>
      </w:r>
      <w:r>
        <w:rPr>
          <w:rFonts w:ascii="Times New Roman" w:cs="Times New Roman" w:eastAsia="Times New Roman" w:hAnsi="Times New Roman"/>
          <w:sz w:val="18"/>
          <w:szCs w:val="18"/>
          <w:color w:val="auto"/>
        </w:rPr>
        <w:t>ArriVent shall, and shall cause its Affiliates, and Sublicensees to, keep complete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accurate books, records, documentation, data pertaining to the Commercialization of Products and the calculation of royalties due hereunder, including, sales revenue, sales costs and expenses, sales prices, sales discounts, sales quantities, sales contracts, sales channels, details of distributors, amounts of received payment, credit policies, Net Sales,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292215" cy="8255"/>
                    </a:xfrm>
                    <a:prstGeom prst="rect">
                      <a:avLst/>
                    </a:prstGeom>
                    <a:noFill/>
                  </pic:spPr>
                </pic:pic>
              </a:graphicData>
            </a:graphic>
          </wp:anchor>
        </w:drawing>
        <w:t>sufficient detail to calculate all amounts payable hereunder and to verify compliance with its payment obligations under this Agreement. Such books, records, documentation, data shall be retained by ArriVent, its Affiliates and Sublicensees, as applicable, for three (3) years after the end of the Calendar Year to which such books and records pertain or such longer period as may be required by Applicable Law.</w:t>
      </w:r>
    </w:p>
    <w:p>
      <w:pPr>
        <w:spacing w:after="0" w:line="145"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8.8</w:t>
      </w:r>
      <w:r>
        <w:rPr>
          <w:sz w:val="20"/>
          <w:szCs w:val="20"/>
          <w:color w:val="auto"/>
        </w:rPr>
        <w:tab/>
      </w:r>
      <w:r>
        <w:rPr>
          <w:rFonts w:ascii="Times New Roman" w:cs="Times New Roman" w:eastAsia="Times New Roman" w:hAnsi="Times New Roman"/>
          <w:sz w:val="18"/>
          <w:szCs w:val="18"/>
          <w:b w:val="1"/>
          <w:bCs w:val="1"/>
          <w:color w:val="auto"/>
        </w:rPr>
        <w:t xml:space="preserve">Invoicing and Payment. </w:t>
      </w:r>
      <w:r>
        <w:rPr>
          <w:rFonts w:ascii="Times New Roman" w:cs="Times New Roman" w:eastAsia="Times New Roman" w:hAnsi="Times New Roman"/>
          <w:sz w:val="18"/>
          <w:szCs w:val="18"/>
          <w:color w:val="auto"/>
        </w:rPr>
        <w:t>Upon request, Alphamab shall promptly issue an invoice for any payments due by ArriVent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Articles 8.1 through 8.5. Alphamab will also issue invoices to ArriVent for payments due pursuant to Articles 4.3 and 4.4, and any other provisions of this Agreement, which invoices will be due within thirty (30) days of receipt by ArriVent. ArriVent will issue invoices to Alphamab for payments due by Alphamab to ArriVent pursuant to this Agreement, which invoices will be due within thirty (30) days of receipt by Alphamab. All payments due by a Party to the other Party under this Agreement shall be paid in U.S. Dollars by wire transfer to a bank account designated in writing by such other Party. Any amounts converted from a different currency other than U.S. dollars will be calculated using average rates provided by USForex Inc. d/b/a OFX https://www.ofx.com/en-us/forex-news/historical-exchange-rates/. For royalty payments, the exchange rate will be the average rate for the period covered by the royalty payment, and for all other amounts, the rate will be the average rate for the ten (10) days preceding the invoice date, if invoiced by Alphamab, and otherwise the date of the payment.</w:t>
      </w:r>
    </w:p>
    <w:p>
      <w:pPr>
        <w:spacing w:after="0" w:line="145" w:lineRule="exact"/>
        <w:rPr>
          <w:sz w:val="20"/>
          <w:szCs w:val="20"/>
          <w:color w:val="auto"/>
        </w:rPr>
      </w:pPr>
    </w:p>
    <w:p>
      <w:pPr>
        <w:jc w:val="both"/>
        <w:ind w:left="640" w:hanging="634"/>
        <w:spacing w:after="0" w:line="25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8.9</w:t>
      </w:r>
      <w:r>
        <w:rPr>
          <w:sz w:val="20"/>
          <w:szCs w:val="20"/>
          <w:color w:val="auto"/>
        </w:rPr>
        <w:tab/>
      </w:r>
      <w:r>
        <w:rPr>
          <w:rFonts w:ascii="Times New Roman" w:cs="Times New Roman" w:eastAsia="Times New Roman" w:hAnsi="Times New Roman"/>
          <w:sz w:val="18"/>
          <w:szCs w:val="18"/>
          <w:b w:val="1"/>
          <w:bCs w:val="1"/>
          <w:color w:val="auto"/>
        </w:rPr>
        <w:t xml:space="preserve">Tax. </w:t>
      </w:r>
      <w:r>
        <w:rPr>
          <w:rFonts w:ascii="Times New Roman" w:cs="Times New Roman" w:eastAsia="Times New Roman" w:hAnsi="Times New Roman"/>
          <w:sz w:val="18"/>
          <w:szCs w:val="18"/>
          <w:color w:val="auto"/>
        </w:rPr>
        <w:t>If a Party is required to pay or withhold any taxes, duties, levies, fees or other charges pursuant to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with respect to any payment to be made pursuant to this Agreement, the paying Party will use Commercially Reasonably Efforts to notify the other in writing of such payment or withholding requirements prior to making the payment and provide such assistance to the receiving Party, including the provision of such documentation as may be required by a tax authority, as may be reasonably necessary in such Party’s efforts to claim an exemption from or reduction of such Taxes. Except as otherwise provided in this Agreement, each Party will withhold any Taxes required by Applicable Law to be withheld from the amount due, remit such Taxes to the appropriate tax authority, and furnish the other Party with proof of payment of such Taxes promptly following payment thereof. If Taxes are paid to a tax authority, each Party will provide the other such assistance as is reasonably required to obtain a refund of Taxes withheld, or obtain a credit with respect to Taxes paid. Each Party shall be solely responsible for the payment of all taxes imposed on its share of income arising directly or indirectly from the efforts of the Parties under this Agreement. The Parties intend that this Agreement will not be treated as a partnership or joint venture for U.S. federal and state Tax purposes, and each Party will file all Tax returns and will otherwise take all Tax reporting positions in a manner consistent with such treatment.</w:t>
      </w:r>
    </w:p>
    <w:p>
      <w:pPr>
        <w:spacing w:after="0" w:line="147" w:lineRule="exact"/>
        <w:rPr>
          <w:sz w:val="20"/>
          <w:szCs w:val="20"/>
          <w:color w:val="auto"/>
        </w:rPr>
      </w:pPr>
    </w:p>
    <w:p>
      <w:pPr>
        <w:jc w:val="both"/>
        <w:ind w:left="640" w:hanging="634"/>
        <w:spacing w:after="0" w:line="26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8.10</w:t>
      </w:r>
      <w:r>
        <w:rPr>
          <w:sz w:val="20"/>
          <w:szCs w:val="20"/>
          <w:color w:val="auto"/>
        </w:rPr>
        <w:tab/>
      </w:r>
      <w:r>
        <w:rPr>
          <w:rFonts w:ascii="Times New Roman" w:cs="Times New Roman" w:eastAsia="Times New Roman" w:hAnsi="Times New Roman"/>
          <w:sz w:val="18"/>
          <w:szCs w:val="18"/>
          <w:b w:val="1"/>
          <w:bCs w:val="1"/>
          <w:color w:val="auto"/>
        </w:rPr>
        <w:t xml:space="preserve">Interest on Late Payments. </w:t>
      </w:r>
      <w:r>
        <w:rPr>
          <w:rFonts w:ascii="Times New Roman" w:cs="Times New Roman" w:eastAsia="Times New Roman" w:hAnsi="Times New Roman"/>
          <w:sz w:val="18"/>
          <w:szCs w:val="18"/>
          <w:color w:val="auto"/>
        </w:rPr>
        <w:t>If any payment due to either Party under this Agreement is not paid within 30 (thirty) days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when due, then such payee Party may require that the payor Party pay interest thereon at a rate of [***] per annum (or the highest rate allowable under Applicable Law, whichever is lower), such interest to run from the date on which payment of such sum became due until payment thereof in full together with such interest up to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52" w:name="page53"/>
    <w:bookmarkEnd w:id="52"/>
    <w:p>
      <w:pPr>
        <w:jc w:val="both"/>
        <w:ind w:left="640" w:hanging="634"/>
        <w:spacing w:after="0" w:line="27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292215" cy="8255"/>
                    </a:xfrm>
                    <a:prstGeom prst="rect">
                      <a:avLst/>
                    </a:prstGeom>
                    <a:noFill/>
                  </pic:spPr>
                </pic:pic>
              </a:graphicData>
            </a:graphic>
          </wp:anchor>
        </w:drawing>
        <w:t>8.11</w:t>
      </w:r>
      <w:r>
        <w:rPr>
          <w:sz w:val="20"/>
          <w:szCs w:val="20"/>
          <w:color w:val="auto"/>
        </w:rPr>
        <w:tab/>
      </w:r>
      <w:r>
        <w:rPr>
          <w:rFonts w:ascii="Times New Roman" w:cs="Times New Roman" w:eastAsia="Times New Roman" w:hAnsi="Times New Roman"/>
          <w:sz w:val="17"/>
          <w:szCs w:val="17"/>
          <w:b w:val="1"/>
          <w:bCs w:val="1"/>
          <w:color w:val="auto"/>
        </w:rPr>
        <w:t xml:space="preserve">Audit. </w:t>
      </w:r>
      <w:r>
        <w:rPr>
          <w:rFonts w:ascii="Times New Roman" w:cs="Times New Roman" w:eastAsia="Times New Roman" w:hAnsi="Times New Roman"/>
          <w:sz w:val="17"/>
          <w:szCs w:val="17"/>
          <w:color w:val="auto"/>
        </w:rPr>
        <w:t>Records required shall be kept with necessary supporting data, for three (3) years following the end of the Calendar Year.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Alphamab’s request, during reasonable working hours and through an auditor designated by the Parties upon thirty (30) days written notice and at Alphamab’s expense, Alphamab has the right to audit ArriVent for the purpose of verifying statement of payments in compliance with this Agreement. In the event that any audit performed reveals an underpayment in excess of</w:t>
      </w:r>
    </w:p>
    <w:p>
      <w:pPr>
        <w:jc w:val="both"/>
        <w:ind w:left="640" w:firstLine="3"/>
        <w:spacing w:after="0" w:line="255" w:lineRule="auto"/>
        <w:tabs>
          <w:tab w:leader="none" w:pos="10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amount determined by the auditor designated by the Parties to be due (the “</w:t>
      </w:r>
      <w:r>
        <w:rPr>
          <w:rFonts w:ascii="Times New Roman" w:cs="Times New Roman" w:eastAsia="Times New Roman" w:hAnsi="Times New Roman"/>
          <w:sz w:val="18"/>
          <w:szCs w:val="18"/>
          <w:b w:val="1"/>
          <w:bCs w:val="1"/>
          <w:color w:val="auto"/>
        </w:rPr>
        <w:t>Underpayment</w:t>
      </w:r>
      <w:r>
        <w:rPr>
          <w:rFonts w:ascii="Times New Roman" w:cs="Times New Roman" w:eastAsia="Times New Roman" w:hAnsi="Times New Roman"/>
          <w:sz w:val="18"/>
          <w:szCs w:val="18"/>
          <w:color w:val="auto"/>
        </w:rPr>
        <w:t>”), ArriVent shall bear the full cost of such audit and shall remit any amounts due to Alphamab within [***] of receiving the full and complete audit report from Alphamab.</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 REPRESENTATIONS, WARRANTIES AND COVENANTS</w:t>
      </w:r>
    </w:p>
    <w:p>
      <w:pPr>
        <w:spacing w:after="0" w:line="198" w:lineRule="exact"/>
        <w:rPr>
          <w:sz w:val="20"/>
          <w:szCs w:val="20"/>
          <w:color w:val="auto"/>
        </w:rPr>
      </w:pPr>
    </w:p>
    <w:p>
      <w:pPr>
        <w:jc w:val="both"/>
        <w:ind w:left="640" w:right="20" w:hanging="634"/>
        <w:spacing w:after="0" w:line="28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b w:val="1"/>
          <w:bCs w:val="1"/>
          <w:color w:val="auto"/>
        </w:rPr>
        <w:t xml:space="preserve">Representations, Warranties and Covenants of Both Parties. </w:t>
      </w:r>
      <w:r>
        <w:rPr>
          <w:rFonts w:ascii="Times New Roman" w:cs="Times New Roman" w:eastAsia="Times New Roman" w:hAnsi="Times New Roman"/>
          <w:sz w:val="18"/>
          <w:szCs w:val="18"/>
          <w:color w:val="auto"/>
        </w:rPr>
        <w:t>Each Party hereby represents, warrants and covenants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Party that:</w:t>
      </w:r>
    </w:p>
    <w:p>
      <w:pPr>
        <w:spacing w:after="0" w:line="11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9.1.1 </w:t>
      </w:r>
      <w:r>
        <w:rPr>
          <w:rFonts w:ascii="Times New Roman" w:cs="Times New Roman" w:eastAsia="Times New Roman" w:hAnsi="Times New Roman"/>
          <w:sz w:val="18"/>
          <w:szCs w:val="18"/>
          <w:color w:val="auto"/>
        </w:rPr>
        <w:t>Such Party is and will remain duly organized, validly existing and in good standing under Applicable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jurisdiction of its incorporation and has full corporate power and authority to enter into this Agreement and to carry out the provisions hereof;</w:t>
      </w:r>
    </w:p>
    <w:p>
      <w:pPr>
        <w:spacing w:after="0" w:line="130"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9.1.2 </w:t>
      </w:r>
      <w:r>
        <w:rPr>
          <w:rFonts w:ascii="Times New Roman" w:cs="Times New Roman" w:eastAsia="Times New Roman" w:hAnsi="Times New Roman"/>
          <w:sz w:val="18"/>
          <w:szCs w:val="18"/>
          <w:color w:val="auto"/>
        </w:rPr>
        <w:t>Such Party has taken all necessary action on its part to authorize the execution and delivery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performance of its obligations hereunder before signing of the Agreement;</w:t>
      </w:r>
    </w:p>
    <w:p>
      <w:pPr>
        <w:spacing w:after="0" w:line="114"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9.1.3 </w:t>
      </w:r>
      <w:r>
        <w:rPr>
          <w:rFonts w:ascii="Times New Roman" w:cs="Times New Roman" w:eastAsia="Times New Roman" w:hAnsi="Times New Roman"/>
          <w:sz w:val="18"/>
          <w:szCs w:val="18"/>
          <w:color w:val="auto"/>
        </w:rPr>
        <w:t>This Agreement has been duly executed and delivered on behalf of such Party, and constitutes a legal,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binding obligation, enforceable against it in accordance with the terms hereof;</w:t>
      </w:r>
    </w:p>
    <w:p>
      <w:pPr>
        <w:spacing w:after="0" w:line="12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9.1.4 </w:t>
      </w:r>
      <w:r>
        <w:rPr>
          <w:rFonts w:ascii="Times New Roman" w:cs="Times New Roman" w:eastAsia="Times New Roman" w:hAnsi="Times New Roman"/>
          <w:sz w:val="18"/>
          <w:szCs w:val="18"/>
          <w:color w:val="auto"/>
        </w:rPr>
        <w:t>the execution, delivery and performance of this Agreement by such Party does not and will not conflict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agreement, instrument or understanding, oral or written, to which it is a party or by which it is bound, nor violate its bylaws, and, as of the Effective Date does not violate any Applicable Laws of any government authority having jurisdiction over such Party;</w:t>
      </w:r>
    </w:p>
    <w:p>
      <w:pPr>
        <w:spacing w:after="0" w:line="130"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9.1.5 </w:t>
      </w:r>
      <w:r>
        <w:rPr>
          <w:rFonts w:ascii="Times New Roman" w:cs="Times New Roman" w:eastAsia="Times New Roman" w:hAnsi="Times New Roman"/>
          <w:sz w:val="18"/>
          <w:szCs w:val="18"/>
          <w:color w:val="auto"/>
        </w:rPr>
        <w:t>in the performance of its obligations hereunder, such Party shall comply and shall cause its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Sublicensees and Affiliates involved in the performance of this Agreement to comply with all Applicable Laws.</w:t>
      </w:r>
    </w:p>
    <w:p>
      <w:pPr>
        <w:spacing w:after="0" w:line="1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b w:val="1"/>
          <w:bCs w:val="1"/>
          <w:color w:val="auto"/>
        </w:rPr>
        <w:t>Representations and Warranties of Alphamab</w:t>
      </w:r>
      <w:r>
        <w:rPr>
          <w:rFonts w:ascii="Times New Roman" w:cs="Times New Roman" w:eastAsia="Times New Roman" w:hAnsi="Times New Roman"/>
          <w:sz w:val="18"/>
          <w:szCs w:val="18"/>
          <w:color w:val="auto"/>
        </w:rPr>
        <w:t>. Alphamab hereby represents and warrants to ArriVent:</w:t>
      </w:r>
    </w:p>
    <w:p>
      <w:pPr>
        <w:spacing w:after="0" w:line="185"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9.2.1</w:t>
      </w:r>
      <w:r>
        <w:rPr>
          <w:sz w:val="20"/>
          <w:szCs w:val="20"/>
          <w:color w:val="auto"/>
        </w:rPr>
        <w:tab/>
      </w:r>
      <w:r>
        <w:rPr>
          <w:rFonts w:ascii="Times New Roman" w:cs="Times New Roman" w:eastAsia="Times New Roman" w:hAnsi="Times New Roman"/>
          <w:sz w:val="17"/>
          <w:szCs w:val="17"/>
          <w:color w:val="auto"/>
        </w:rPr>
        <w:t>Alphamab is the sole and exclusive owner of, or Controls the Alphamab Patents listed in Exhibit 2.</w:t>
      </w:r>
    </w:p>
    <w:p>
      <w:pPr>
        <w:spacing w:after="0" w:line="198"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9.2.2</w:t>
      </w:r>
      <w:r>
        <w:rPr>
          <w:sz w:val="20"/>
          <w:szCs w:val="20"/>
          <w:color w:val="auto"/>
        </w:rPr>
        <w:tab/>
      </w:r>
      <w:r>
        <w:rPr>
          <w:rFonts w:ascii="Times New Roman" w:cs="Times New Roman" w:eastAsia="Times New Roman" w:hAnsi="Times New Roman"/>
          <w:sz w:val="17"/>
          <w:szCs w:val="17"/>
          <w:color w:val="auto"/>
        </w:rPr>
        <w:t>Alphamab is entitled to grant the licenses to ArriVent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32" w:right="999" w:bottom="1440" w:gutter="0" w:footer="0" w:header="0"/>
        </w:sectPr>
      </w:pPr>
    </w:p>
    <w:bookmarkStart w:id="53" w:name="page54"/>
    <w:bookmarkEnd w:id="53"/>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292215" cy="8255"/>
                    </a:xfrm>
                    <a:prstGeom prst="rect">
                      <a:avLst/>
                    </a:prstGeom>
                    <a:noFill/>
                  </pic:spPr>
                </pic:pic>
              </a:graphicData>
            </a:graphic>
          </wp:anchor>
        </w:drawing>
        <w:t xml:space="preserve">9.2.3 </w:t>
      </w:r>
      <w:r>
        <w:rPr>
          <w:rFonts w:ascii="Times New Roman" w:cs="Times New Roman" w:eastAsia="Times New Roman" w:hAnsi="Times New Roman"/>
          <w:sz w:val="18"/>
          <w:szCs w:val="18"/>
          <w:color w:val="auto"/>
        </w:rPr>
        <w:t>To the knowledge of Alphamab, as of the Effective Date, (i) the claims of the issued patents included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Alphamab Patents listed in Exhibit 2 are valid and enforceable, (ii) no Third Party has challenged in writing, or, has threatened to challenge, the enforceability or validity of any issued patents included in the Alphamab Patents listed in Exhibit 2 or any claims therein, whether through the institution of legal proceedings in a court or through interference, reexamination, nullity or similar invalidity proceedings before the U.S. Patent and Trademark Office or any analogous foreign entity.</w:t>
      </w:r>
    </w:p>
    <w:p>
      <w:pPr>
        <w:spacing w:after="0" w:line="152"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9.2.4 </w:t>
      </w:r>
      <w:r>
        <w:rPr>
          <w:rFonts w:ascii="Times New Roman" w:cs="Times New Roman" w:eastAsia="Times New Roman" w:hAnsi="Times New Roman"/>
          <w:sz w:val="18"/>
          <w:szCs w:val="18"/>
          <w:color w:val="auto"/>
        </w:rPr>
        <w:t>As of the Effective Date, to the knowledge of Alphamab, no Third Party has challenged in writing, or,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threatened to challenge, Alphamab’s right to use and license the Alphamab Know-How.</w:t>
      </w:r>
    </w:p>
    <w:p>
      <w:pPr>
        <w:spacing w:after="0" w:line="114"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9.2.5 </w:t>
      </w:r>
      <w:r>
        <w:rPr>
          <w:rFonts w:ascii="Times New Roman" w:cs="Times New Roman" w:eastAsia="Times New Roman" w:hAnsi="Times New Roman"/>
          <w:sz w:val="18"/>
          <w:szCs w:val="18"/>
          <w:color w:val="auto"/>
        </w:rPr>
        <w:t>To the knowledge of Alphamab, no Third Party is infringing or threatening to infringe the Licensed Patents,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misappropriating or threatening to misappropriate the Know-How existing as of the Effective Date.</w:t>
      </w:r>
    </w:p>
    <w:p>
      <w:pPr>
        <w:spacing w:after="0" w:line="114"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9.2.6 </w:t>
      </w:r>
      <w:r>
        <w:rPr>
          <w:rFonts w:ascii="Times New Roman" w:cs="Times New Roman" w:eastAsia="Times New Roman" w:hAnsi="Times New Roman"/>
          <w:sz w:val="18"/>
          <w:szCs w:val="18"/>
          <w:color w:val="auto"/>
        </w:rPr>
        <w:t>As of the Effective Date, (a) there are no claims asserted in writing, judgments, or settlements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or amounts with respect thereto owed by, Alphamab relating to the Alphamab Intellectual Property; (b) no claim or litigation is pending or, to the Knowledge of Alphamab, threatened alleging that the disclosing, copying, making, or licensing of the Alphamab Intellectual Property existing as of the Effective Date infringes or would infringe or misappropriate any Intellectual Property of any Third Party.</w:t>
      </w:r>
    </w:p>
    <w:p>
      <w:pPr>
        <w:spacing w:after="0" w:line="37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9.2.7 </w:t>
      </w:r>
      <w:r>
        <w:rPr>
          <w:rFonts w:ascii="Times New Roman" w:cs="Times New Roman" w:eastAsia="Times New Roman" w:hAnsi="Times New Roman"/>
          <w:sz w:val="18"/>
          <w:szCs w:val="18"/>
          <w:color w:val="auto"/>
        </w:rPr>
        <w:t>As of the Effective Date, neither the use nor manufacture of the Culture Media and Enzyme provided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Alphamab in the manner reasonably contemplated herein, infringes or would infringe any patent of any Third Party.</w:t>
      </w:r>
    </w:p>
    <w:p>
      <w:pPr>
        <w:spacing w:after="0" w:line="114"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9.2.8 </w:t>
      </w:r>
      <w:r>
        <w:rPr>
          <w:rFonts w:ascii="Times New Roman" w:cs="Times New Roman" w:eastAsia="Times New Roman" w:hAnsi="Times New Roman"/>
          <w:sz w:val="18"/>
          <w:szCs w:val="18"/>
          <w:color w:val="auto"/>
        </w:rPr>
        <w:t>All applicable and material fees and filings due prior to the Effective Date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prosecution and maintenance of the Alphamab Patents listed in Exhibit 2 in the have been completed.</w:t>
      </w:r>
    </w:p>
    <w:p>
      <w:pPr>
        <w:spacing w:after="0" w:line="114"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b w:val="1"/>
          <w:bCs w:val="1"/>
          <w:color w:val="auto"/>
        </w:rPr>
        <w:t xml:space="preserve">Disclaimer. </w:t>
      </w:r>
      <w:r>
        <w:rPr>
          <w:rFonts w:ascii="Times New Roman" w:cs="Times New Roman" w:eastAsia="Times New Roman" w:hAnsi="Times New Roman"/>
          <w:sz w:val="18"/>
          <w:szCs w:val="18"/>
          <w:color w:val="auto"/>
        </w:rPr>
        <w:t>EXCEPT AS OTHERWISE EXPRESSLY SET FORTH IN THIS AGREEMENT, NEITHER PARTY MAKES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REPRESENTATION OR EXTENDS ANY WARRANTY OF ANY KIND, EITHER EXPRESS OR IMPLIED AND EACH PARTY EXPRESSLY DISCLAIMS ALL WARRANTIES OF MERCHANTABILITY AND FITNESS FOR A PARTICULAR PURPOSE. WITHOUT LIMITING THE GENERALITY OF THE FOREGOING, EACH PARTY DISCLAIMS ANY WARRANTIES WITH RESPECT TO: (A) THE SUCCESS OF ANY STUDY OR TEST COMMENCED UNDER THIS AGREEMENT AND (B) THE SAFETY OR USEFULNESS FOR ANY PURPOSE OF THE PRODUCTS.</w:t>
      </w:r>
    </w:p>
    <w:p>
      <w:pPr>
        <w:spacing w:after="0" w:line="142"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 Each Party will not use (and will cause its Affiliates, Sublicensees and Third Party contractors not to use)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or entity (including any employee, officer, director or Third Party contractor) who is (or has been) on the Exclusions Lists, or who is (or has been) in Violation, in the performance of any activities hereunder. Each Party certifies to the other Party that, as of the Effective Date, it has screened itself, and its officers and directors (and its Affiliates and their respective officers and directors)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2" w:right="999" w:bottom="1440" w:gutter="0" w:footer="0" w:header="0"/>
        </w:sectPr>
      </w:pPr>
    </w:p>
    <w:bookmarkStart w:id="54" w:name="page55"/>
    <w:bookmarkEnd w:id="54"/>
    <w:p>
      <w:pPr>
        <w:jc w:val="both"/>
        <w:ind w:left="65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292215" cy="8255"/>
                    </a:xfrm>
                    <a:prstGeom prst="rect">
                      <a:avLst/>
                    </a:prstGeom>
                    <a:noFill/>
                  </pic:spPr>
                </pic:pic>
              </a:graphicData>
            </a:graphic>
          </wp:anchor>
        </w:drawing>
        <w:t>the Exclusions Lists and that it has informed the other Party in writing whether it, or any of its officers or directors (or any of its Affiliates or any of their respective officers and directors) has been in Violation. After the execution of this Agreement, each Party will notify the other Party in writing immediately if any such Violation occurs or comes to its attention. Further, each Party agrees that if it learns of any violation of Applicable Laws regarding the protection of personal data and information (including GDPR), or specific to the Development, Manufacture or Commercialization of a Product (including the import or export thereof), or Anti-Corruption Laws by an employee or subcontractor that performs work under this Agreement (a “</w:t>
      </w:r>
      <w:r>
        <w:rPr>
          <w:rFonts w:ascii="Times New Roman" w:cs="Times New Roman" w:eastAsia="Times New Roman" w:hAnsi="Times New Roman"/>
          <w:sz w:val="18"/>
          <w:szCs w:val="18"/>
          <w:b w:val="1"/>
          <w:bCs w:val="1"/>
          <w:color w:val="auto"/>
        </w:rPr>
        <w:t>Compliance Event</w:t>
      </w:r>
      <w:r>
        <w:rPr>
          <w:rFonts w:ascii="Times New Roman" w:cs="Times New Roman" w:eastAsia="Times New Roman" w:hAnsi="Times New Roman"/>
          <w:sz w:val="18"/>
          <w:szCs w:val="18"/>
          <w:color w:val="auto"/>
        </w:rPr>
        <w:t>”), such Party (the “</w:t>
      </w:r>
      <w:r>
        <w:rPr>
          <w:rFonts w:ascii="Times New Roman" w:cs="Times New Roman" w:eastAsia="Times New Roman" w:hAnsi="Times New Roman"/>
          <w:sz w:val="18"/>
          <w:szCs w:val="18"/>
          <w:b w:val="1"/>
          <w:bCs w:val="1"/>
          <w:color w:val="auto"/>
        </w:rPr>
        <w:t>Notifying Party</w:t>
      </w:r>
      <w:r>
        <w:rPr>
          <w:rFonts w:ascii="Times New Roman" w:cs="Times New Roman" w:eastAsia="Times New Roman" w:hAnsi="Times New Roman"/>
          <w:sz w:val="18"/>
          <w:szCs w:val="18"/>
          <w:color w:val="auto"/>
        </w:rPr>
        <w:t>”) shall promptly notify the other Party (the “</w:t>
      </w:r>
      <w:r>
        <w:rPr>
          <w:rFonts w:ascii="Times New Roman" w:cs="Times New Roman" w:eastAsia="Times New Roman" w:hAnsi="Times New Roman"/>
          <w:sz w:val="18"/>
          <w:szCs w:val="18"/>
          <w:b w:val="1"/>
          <w:bCs w:val="1"/>
          <w:color w:val="auto"/>
        </w:rPr>
        <w:t>Notified Party</w:t>
      </w:r>
      <w:r>
        <w:rPr>
          <w:rFonts w:ascii="Times New Roman" w:cs="Times New Roman" w:eastAsia="Times New Roman" w:hAnsi="Times New Roman"/>
          <w:sz w:val="18"/>
          <w:szCs w:val="18"/>
          <w:color w:val="auto"/>
        </w:rPr>
        <w:t>”) in writing of such Compliance Event and the measures Notifying Party has taken and intends to take to remedy such Compliance Event and to prevent its recurrence. The Notified Party reserves the right to require the Notifying Party to prohibit the employee or contractor (as the case may be) from performing any work related to this Agreement after due consultation with Notifying Party.</w:t>
      </w:r>
    </w:p>
    <w:p>
      <w:pPr>
        <w:spacing w:after="0" w:line="16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ARTICLE 10 INDEMNIFICATION; LIMITATION OF LIABILITY</w:t>
      </w:r>
    </w:p>
    <w:p>
      <w:pPr>
        <w:spacing w:after="0" w:line="185" w:lineRule="exact"/>
        <w:rPr>
          <w:sz w:val="20"/>
          <w:szCs w:val="20"/>
          <w:color w:val="auto"/>
        </w:rPr>
      </w:pPr>
    </w:p>
    <w:p>
      <w:pPr>
        <w:jc w:val="both"/>
        <w:ind w:left="632" w:hanging="634"/>
        <w:spacing w:after="0" w:line="256"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color w:val="auto"/>
        </w:rPr>
        <w:t>Indemnification by Alphamab</w:t>
      </w:r>
      <w:r>
        <w:rPr>
          <w:rFonts w:ascii="Times New Roman" w:cs="Times New Roman" w:eastAsia="Times New Roman" w:hAnsi="Times New Roman"/>
          <w:sz w:val="18"/>
          <w:szCs w:val="18"/>
          <w:color w:val="auto"/>
        </w:rPr>
        <w:t>. Alphamab shall indemnify, defend and hold harmless ArriVent, its Affiliates, and its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directors, officers, employees and agents (the “</w:t>
      </w:r>
      <w:r>
        <w:rPr>
          <w:rFonts w:ascii="Times New Roman" w:cs="Times New Roman" w:eastAsia="Times New Roman" w:hAnsi="Times New Roman"/>
          <w:sz w:val="18"/>
          <w:szCs w:val="18"/>
          <w:b w:val="1"/>
          <w:bCs w:val="1"/>
          <w:color w:val="auto"/>
        </w:rPr>
        <w:t>ArriVent Indemnitees</w:t>
      </w:r>
      <w:r>
        <w:rPr>
          <w:rFonts w:ascii="Times New Roman" w:cs="Times New Roman" w:eastAsia="Times New Roman" w:hAnsi="Times New Roman"/>
          <w:sz w:val="18"/>
          <w:szCs w:val="18"/>
          <w:color w:val="auto"/>
        </w:rPr>
        <w:t>”) from and against any and all losses, damages, liabilities, expenses and costs (including reasonable attorneys’ fees) (the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arising out of any claim, demand, proceeding, in each case by a Third Party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against any ArriVent Indemnitees to the extent the Losses are caused by the negligence, gross negligence, willful misconduct or breach of this Agreement or any Ancillary Agreement by Alphamab; except in each case to the extent such Losses are caused by any activities set forth in Article 10.2 (Indemnification by ArriVent) for which ArriVent is obligated to indemnify Alphamab.</w:t>
      </w:r>
    </w:p>
    <w:p>
      <w:pPr>
        <w:spacing w:after="0" w:line="142" w:lineRule="exact"/>
        <w:rPr>
          <w:sz w:val="20"/>
          <w:szCs w:val="20"/>
          <w:color w:val="auto"/>
        </w:rPr>
      </w:pPr>
    </w:p>
    <w:p>
      <w:pPr>
        <w:jc w:val="both"/>
        <w:ind w:left="632" w:hanging="634"/>
        <w:spacing w:after="0" w:line="257"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color w:val="auto"/>
        </w:rPr>
        <w:t>Indemnification by ArriVent</w:t>
      </w:r>
      <w:r>
        <w:rPr>
          <w:rFonts w:ascii="Times New Roman" w:cs="Times New Roman" w:eastAsia="Times New Roman" w:hAnsi="Times New Roman"/>
          <w:sz w:val="18"/>
          <w:szCs w:val="18"/>
          <w:color w:val="auto"/>
        </w:rPr>
        <w:t>. ArriVent shall indemnify, defend and hold harmless Alphamab, its Affiliates, and its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directors, officers, employees and agents (“</w:t>
      </w:r>
      <w:r>
        <w:rPr>
          <w:rFonts w:ascii="Times New Roman" w:cs="Times New Roman" w:eastAsia="Times New Roman" w:hAnsi="Times New Roman"/>
          <w:sz w:val="18"/>
          <w:szCs w:val="18"/>
          <w:b w:val="1"/>
          <w:bCs w:val="1"/>
          <w:color w:val="auto"/>
        </w:rPr>
        <w:t>Alphamab Indemnitees</w:t>
      </w:r>
      <w:r>
        <w:rPr>
          <w:rFonts w:ascii="Times New Roman" w:cs="Times New Roman" w:eastAsia="Times New Roman" w:hAnsi="Times New Roman"/>
          <w:sz w:val="18"/>
          <w:szCs w:val="18"/>
          <w:color w:val="auto"/>
        </w:rPr>
        <w:t>”) from and against any and all Losses, arising out of any Claim against any Alphamab Indemnitees to the extent the Losses are caused by the negligence, gross negligence, willful misconduct or breach of this Agreement or an Ancillary Agreement by ArriVent, ArriVent’s Affiliates or Sublicensees; except in each case to the extent such Losses are caused by any activities set forth in Article 10.1 (Indemnification by Alphamab) for which Alphamab is obligated to indemnify ArriVent.</w:t>
      </w:r>
    </w:p>
    <w:p>
      <w:pPr>
        <w:spacing w:after="0" w:line="142" w:lineRule="exact"/>
        <w:rPr>
          <w:sz w:val="20"/>
          <w:szCs w:val="20"/>
          <w:color w:val="auto"/>
        </w:rPr>
      </w:pPr>
    </w:p>
    <w:p>
      <w:pPr>
        <w:jc w:val="both"/>
        <w:ind w:left="632" w:hanging="634"/>
        <w:spacing w:after="0" w:line="256"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8"/>
          <w:szCs w:val="18"/>
          <w:b w:val="1"/>
          <w:bCs w:val="1"/>
          <w:color w:val="auto"/>
        </w:rPr>
        <w:t>Indemnification Procedure</w:t>
      </w:r>
      <w:r>
        <w:rPr>
          <w:rFonts w:ascii="Times New Roman" w:cs="Times New Roman" w:eastAsia="Times New Roman" w:hAnsi="Times New Roman"/>
          <w:sz w:val="18"/>
          <w:szCs w:val="18"/>
          <w:color w:val="auto"/>
        </w:rPr>
        <w:t>. The indemnified Party shall provide the indemnifying Party with prompt notice of the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rise to the indemnification obligation pursuant to this Article 10 (“</w:t>
      </w:r>
      <w:r>
        <w:rPr>
          <w:rFonts w:ascii="Times New Roman" w:cs="Times New Roman" w:eastAsia="Times New Roman" w:hAnsi="Times New Roman"/>
          <w:sz w:val="18"/>
          <w:szCs w:val="18"/>
          <w:b w:val="1"/>
          <w:bCs w:val="1"/>
          <w:color w:val="auto"/>
        </w:rPr>
        <w:t>Claim Notice</w:t>
      </w:r>
      <w:r>
        <w:rPr>
          <w:rFonts w:ascii="Times New Roman" w:cs="Times New Roman" w:eastAsia="Times New Roman" w:hAnsi="Times New Roman"/>
          <w:sz w:val="18"/>
          <w:szCs w:val="18"/>
          <w:color w:val="auto"/>
        </w:rPr>
        <w:t>”). The failure by any indemnified Party so to notify the indemnifying Party shall not relieve the indemnifying Party from liability under this Article 10, except to the extent that the indemnifying Party shall have been prejudiced in any material respect as a result of such failure. A Claim Notice will describe the nature of the Claim and shall indicate the amount of Losses (estimated to the extent that the Losses in respect of any Claim are reasonably capable of being estimated); provided, however, that the failure to estimate Losses (or the inaccuracy thereof) shall not affect the validity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left="-8" w:firstLine="8"/>
        <w:spacing w:after="0" w:line="264" w:lineRule="auto"/>
        <w:tabs>
          <w:tab w:leader="none" w:pos="349"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336" w:right="999" w:bottom="1440" w:gutter="0" w:footer="0" w:header="0"/>
        </w:sectPr>
      </w:pPr>
    </w:p>
    <w:bookmarkStart w:id="55" w:name="page56"/>
    <w:bookmarkEnd w:id="55"/>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292215" cy="8255"/>
                    </a:xfrm>
                    <a:prstGeom prst="rect">
                      <a:avLst/>
                    </a:prstGeom>
                    <a:noFill/>
                  </pic:spPr>
                </pic:pic>
              </a:graphicData>
            </a:graphic>
          </wp:anchor>
        </w:drawing>
        <w:t xml:space="preserve">Claim Notice or the amount of Losses to which the Indemnified Party may be entitled. The indemnifying Party will have the exclusive ability to defend (with the reasonable cooperation of the indemnified Party) or settle any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indemnifying Party shall not enter into any settlement for damages other than monetary damages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indemnified Party’s written consent, such consent not to be unreasonably withheld. The indemnified Party shall have the right to participate, at its own expense and with counsel of its choice, in the defense of any claim or suit that has been assumed by the indemnifying Party. Only in the event that the indemnifying Party does not assume such defense within fifteen (15) days after its receipt of a Claim Notice or the indemnifying Party notifies the indemnified Party that it will not assume such defense, the indemnified Party may control the defense of such Claim at the indemnifying Party’s cost and the indemnified Party may settle the claim or Proceeding on behalf of and for the account and risk of the indemnifying Party, subject to the indemnifying Party’s consent, which will not be unreasonably withheld. The Party controlling the defense of a Claim will use commercially reasonable efforts to keep the other Party reasonably apprised of the status of the defense of any matter the defense of which it is maintaining.</w:t>
      </w:r>
    </w:p>
    <w:p>
      <w:pPr>
        <w:spacing w:after="0" w:line="159" w:lineRule="exact"/>
        <w:rPr>
          <w:sz w:val="20"/>
          <w:szCs w:val="20"/>
          <w:color w:val="auto"/>
        </w:rPr>
      </w:pPr>
    </w:p>
    <w:p>
      <w:pPr>
        <w:jc w:val="both"/>
        <w:ind w:left="640" w:hanging="634"/>
        <w:spacing w:after="0" w:line="26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8"/>
          <w:szCs w:val="18"/>
          <w:b w:val="1"/>
          <w:bCs w:val="1"/>
          <w:color w:val="auto"/>
        </w:rPr>
        <w:t>Mitigation of Loss</w:t>
      </w:r>
      <w:r>
        <w:rPr>
          <w:rFonts w:ascii="Times New Roman" w:cs="Times New Roman" w:eastAsia="Times New Roman" w:hAnsi="Times New Roman"/>
          <w:sz w:val="18"/>
          <w:szCs w:val="18"/>
          <w:color w:val="auto"/>
        </w:rPr>
        <w:t>. Each indemnified Party shall take and shall procure that its Affiliates, agents, directors, officers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take all such reasonable steps and action as are reasonably necessary or as the indemnifying Party may reasonably require in order to mitigate any Losses (or potential losses or damages) under this Article 10. Nothing in this Agreement shall or shall be deemed to relieve any Party of any common law or other duty to mitigate any losses incurred by it.</w:t>
      </w:r>
    </w:p>
    <w:p>
      <w:pPr>
        <w:spacing w:after="0" w:line="136"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8"/>
          <w:szCs w:val="18"/>
          <w:color w:val="auto"/>
        </w:rPr>
        <w:t>SUBJECT TO ARTICLE 10.1 AND ARTICLE 10.2, AND EXCEPT FOR ANY BREACH OF ARTICLE 11, IN NO CIRCUMSTANCES SHALL EITHER PARTY BE LIABLE TO THE OTHER PARTY UNDER OR IN CONNECTION WITH THIS AGREEMENT, WHETHER ARISING IN TORT (INCLUDING NEGLIGENCE), CONTRACT OR OTHERWISE, FOR ANY INDIRECT, SPECIAL OR CONSEQUENTIAL DAMAGES, LOSS OF PROFITS, LOSS OF REVENUE OR DAMAGES FOR LOST OPPORTUNITIES (WHETHER OR NOT REASONABLY FORESEEABLE AND EVEN IF THE FIRST PARTY HAD BEEN ADVISED OF THE POSSIBILITY OF THE OTHER PARTY INCURRING SUCH LOSS OR TYPE OF LOSS).</w:t>
      </w:r>
    </w:p>
    <w:p>
      <w:pPr>
        <w:spacing w:after="0" w:line="148"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Each Party agrees to procure and maintain in full force and effect during the Term valid and collectible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in connection with its activities as contemplated herein in amounts that are normal and customary in the pharmaceutical industry generally for prudent companies similarly situated. Each Party shall provide to the other Party upon such other Party’s request a certificate evidencing the coverage required hereby and the amount thereof. Each Party’s coverage shall be with a reputable insurance company and shall have to be maintained for not less than sixty (60) months following expiration or termination of this Agreement for any reason.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 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56" w:name="page57"/>
    <w:bookmarkEnd w:id="56"/>
    <w:p>
      <w:pPr>
        <w:jc w:val="both"/>
        <w:ind w:left="640" w:hanging="634"/>
        <w:spacing w:after="0" w:line="25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292215" cy="8255"/>
                    </a:xfrm>
                    <a:prstGeom prst="rect">
                      <a:avLst/>
                    </a:prstGeom>
                    <a:noFill/>
                  </pic:spPr>
                </pic:pic>
              </a:graphicData>
            </a:graphic>
          </wp:anchor>
        </w:drawing>
        <w:t>11.1</w:t>
      </w:r>
      <w:r>
        <w:rPr>
          <w:sz w:val="20"/>
          <w:szCs w:val="20"/>
          <w:color w:val="auto"/>
        </w:rPr>
        <w:tab/>
      </w:r>
      <w:r>
        <w:rPr>
          <w:rFonts w:ascii="Times New Roman" w:cs="Times New Roman" w:eastAsia="Times New Roman" w:hAnsi="Times New Roman"/>
          <w:sz w:val="18"/>
          <w:szCs w:val="18"/>
          <w:b w:val="1"/>
          <w:bCs w:val="1"/>
          <w:color w:val="auto"/>
        </w:rPr>
        <w:t>Nondisclosure and Non-Use</w:t>
      </w:r>
      <w:r>
        <w:rPr>
          <w:rFonts w:ascii="Times New Roman" w:cs="Times New Roman" w:eastAsia="Times New Roman" w:hAnsi="Times New Roman"/>
          <w:sz w:val="18"/>
          <w:szCs w:val="18"/>
          <w:color w:val="auto"/>
        </w:rPr>
        <w:t>. Each Party agrees that, for so long as this Agreement is in effect and for a period of ten (10)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thereafter, a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receiving or possessing Confidential Information of the other Party (the “</w:t>
      </w:r>
      <w:r>
        <w:rPr>
          <w:rFonts w:ascii="Times New Roman" w:cs="Times New Roman" w:eastAsia="Times New Roman" w:hAnsi="Times New Roman"/>
          <w:sz w:val="18"/>
          <w:szCs w:val="18"/>
          <w:b w:val="1"/>
          <w:bCs w:val="1"/>
          <w:color w:val="auto"/>
        </w:rPr>
        <w:t>Disclosing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shall, and shall cause its Affiliates, subcontractors and Sublicensees and its and their respective employees, consultants,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advisors, contractors, agents and other representatives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to, (a) maintain in confidence such Confidential Information using not less than the efforts such Receiving Party uses to maintain in confidence its own proprietary industrial information of similar kind and value (but no less than reasonable care), (b) not disclose such Confidential Information to any Third Party without the prior written consent of the Disclosing Party, except for disclosures expressly permitted below, and (c) not use such Confidential Information for any purpose except those permitted by this Agreement, including in connection with exercising its rights or fulfilling its obligations under this Agreement (it being understood that this clause (c) shall not create or imply any rights or licenses not expressly granted under this Agreement). Each Receiving Party shall be responsible for any breach of these obligations by any of its Representatives to which it discloses or provides access to any Confidential Information of the Disclosing Party. Each Receiving Party shall take all reasonable action under Applicable Law to enforce the confidentiality obligations hereunder against any of its Representatives to which it discloses or provides access to any Confidential Information of the Disclosing Party.</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The obligations in Article 11.1 shall not apply with respect to any portion of the Confidential Information that the</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Receiving Party can show by competent proof:</w:t>
      </w:r>
    </w:p>
    <w:p>
      <w:pPr>
        <w:spacing w:after="0" w:line="16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11.2.1 </w:t>
      </w:r>
      <w:r>
        <w:rPr>
          <w:rFonts w:ascii="Times New Roman" w:cs="Times New Roman" w:eastAsia="Times New Roman" w:hAnsi="Times New Roman"/>
          <w:sz w:val="18"/>
          <w:szCs w:val="18"/>
          <w:color w:val="auto"/>
        </w:rPr>
        <w:t>was known to the Receiving Party or any of its Affiliates, without any obligation to keep it confidential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restriction on its use, prior to disclosure by the Disclosing Party; or</w:t>
      </w:r>
    </w:p>
    <w:p>
      <w:pPr>
        <w:spacing w:after="0" w:line="128"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11.2.2 </w:t>
      </w:r>
      <w:r>
        <w:rPr>
          <w:rFonts w:ascii="Times New Roman" w:cs="Times New Roman" w:eastAsia="Times New Roman" w:hAnsi="Times New Roman"/>
          <w:sz w:val="18"/>
          <w:szCs w:val="18"/>
          <w:color w:val="auto"/>
        </w:rPr>
        <w:t>was generally available to the public or otherwise part of the public domain at the time of its disclosure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Receiving Party; or</w:t>
      </w:r>
    </w:p>
    <w:p>
      <w:pPr>
        <w:spacing w:after="0" w:line="114"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11.2.3 </w:t>
      </w:r>
      <w:r>
        <w:rPr>
          <w:rFonts w:ascii="Times New Roman" w:cs="Times New Roman" w:eastAsia="Times New Roman" w:hAnsi="Times New Roman"/>
          <w:sz w:val="18"/>
          <w:szCs w:val="18"/>
          <w:color w:val="auto"/>
        </w:rPr>
        <w:t>became generally available to the public or otherwise part of the public domain after its disclosure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through any act or omission of the Receiving Party in breach of this Agreement; or</w:t>
      </w:r>
    </w:p>
    <w:p>
      <w:pPr>
        <w:spacing w:after="0" w:line="114"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11.2.4 </w:t>
      </w:r>
      <w:r>
        <w:rPr>
          <w:rFonts w:ascii="Times New Roman" w:cs="Times New Roman" w:eastAsia="Times New Roman" w:hAnsi="Times New Roman"/>
          <w:sz w:val="18"/>
          <w:szCs w:val="18"/>
          <w:color w:val="auto"/>
        </w:rPr>
        <w:t>is subsequently disclosed to the Receiving Party or any of its Affiliates by a Third Party lawfully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thereof and without any obligation to keep it confidential or any restriction on its use; or</w:t>
      </w:r>
    </w:p>
    <w:p>
      <w:pPr>
        <w:spacing w:after="0" w:line="12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11.2.5 </w:t>
      </w:r>
      <w:r>
        <w:rPr>
          <w:rFonts w:ascii="Times New Roman" w:cs="Times New Roman" w:eastAsia="Times New Roman" w:hAnsi="Times New Roman"/>
          <w:sz w:val="18"/>
          <w:szCs w:val="18"/>
          <w:color w:val="auto"/>
        </w:rPr>
        <w:t>has been independently developed by employees or contractors of the Receiving Party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without the aid, application or use of Confidential Information of the Disclosing Party as demonstrated by documented evidence prepared contemporaneously with such independent development.</w:t>
      </w:r>
    </w:p>
    <w:p>
      <w:pPr>
        <w:spacing w:after="0" w:line="130" w:lineRule="exact"/>
        <w:rPr>
          <w:sz w:val="20"/>
          <w:szCs w:val="20"/>
          <w:color w:val="auto"/>
        </w:rPr>
      </w:pPr>
    </w:p>
    <w:p>
      <w:pPr>
        <w:jc w:val="both"/>
        <w:ind w:left="640" w:hanging="634"/>
        <w:spacing w:after="0" w:line="28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8"/>
          <w:szCs w:val="18"/>
          <w:b w:val="1"/>
          <w:bCs w:val="1"/>
          <w:color w:val="auto"/>
        </w:rPr>
        <w:t>Authorized Disclosures</w:t>
      </w:r>
      <w:r>
        <w:rPr>
          <w:rFonts w:ascii="Times New Roman" w:cs="Times New Roman" w:eastAsia="Times New Roman" w:hAnsi="Times New Roman"/>
          <w:sz w:val="18"/>
          <w:szCs w:val="18"/>
          <w:color w:val="auto"/>
        </w:rPr>
        <w:t>. The Receiving Party may disclose Confidential Information belonging to the Disclosing Party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(and only to the extent) such disclosure is reasonably necessary in the following instances: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2" w:right="999" w:bottom="1440" w:gutter="0" w:footer="0" w:header="0"/>
        </w:sectPr>
      </w:pPr>
    </w:p>
    <w:bookmarkStart w:id="57" w:name="page58"/>
    <w:bookmarkEnd w:id="57"/>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292215" cy="8255"/>
                    </a:xfrm>
                    <a:prstGeom prst="rect">
                      <a:avLst/>
                    </a:prstGeom>
                    <a:noFill/>
                  </pic:spPr>
                </pic:pic>
              </a:graphicData>
            </a:graphic>
          </wp:anchor>
        </w:drawing>
        <w:t xml:space="preserve">11.3.1 </w:t>
      </w:r>
      <w:r>
        <w:rPr>
          <w:rFonts w:ascii="Times New Roman" w:cs="Times New Roman" w:eastAsia="Times New Roman" w:hAnsi="Times New Roman"/>
          <w:sz w:val="18"/>
          <w:szCs w:val="18"/>
          <w:color w:val="auto"/>
        </w:rPr>
        <w:t>prosecuting or defending litigation, including in connection with the enforcement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reasonable measures shall be taken to assure confidential treatment of such information;</w:t>
      </w:r>
    </w:p>
    <w:p>
      <w:pPr>
        <w:spacing w:after="0" w:line="12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11.3.2 </w:t>
      </w:r>
      <w:r>
        <w:rPr>
          <w:rFonts w:ascii="Times New Roman" w:cs="Times New Roman" w:eastAsia="Times New Roman" w:hAnsi="Times New Roman"/>
          <w:sz w:val="18"/>
          <w:szCs w:val="18"/>
          <w:color w:val="auto"/>
        </w:rPr>
        <w:t>making disclosure in response to an order of a court of competent jurisdiction or other Regulatory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political subdivision or regulatory body thereof of competent jurisdiction; provided that, the Receiving Party shall first have, if reasonably possible, given notice to the Disclosing Party and give the Disclosing Party, at such Disclosing Party’s own expense, a reasonable opportunity to quash such order or to obtain a protective order requiring that the Confidential Information or documents that are the subject of such order be held in confidence by such court or Regulatory Authority or, if disclosed, be used only for the purposes for which the order was issued; and provided, further, that if a disclosure order is not quashed or a protective order is not obtained, the Confidential Information disclosed in response to such order shall be limited to that information which is legally required, in the reasonable opinion of legal counsel to the Disclosing Party, to be disclosed in such response to such court or governmental order;</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11.3.3 </w:t>
      </w:r>
      <w:r>
        <w:rPr>
          <w:rFonts w:ascii="Times New Roman" w:cs="Times New Roman" w:eastAsia="Times New Roman" w:hAnsi="Times New Roman"/>
          <w:sz w:val="18"/>
          <w:szCs w:val="18"/>
          <w:color w:val="auto"/>
        </w:rPr>
        <w:t>complying with Applicable Law (including, the rules and regulations of any national securities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as regulations of the State Administration of Foreign Exchange of the People’s Republic of China, the Hong Kong Stock Exchange) and with judicial process, if in the reasonable opinion of the Receiving Party’s counsel, such disclosure is necessary for such compliance,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Receiving Party shall promptly notify the other Party of such required disclosure so that the Disclosing Party can seek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protective order or other appropriate remedies and, at the Disclosing Party’s request and expense, reasonably assist the Disclosing Party in seeking such protective order or other reasonable remedies;</w:t>
      </w:r>
    </w:p>
    <w:p>
      <w:pPr>
        <w:spacing w:after="0" w:line="14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11.3.4 </w:t>
      </w:r>
      <w:r>
        <w:rPr>
          <w:rFonts w:ascii="Times New Roman" w:cs="Times New Roman" w:eastAsia="Times New Roman" w:hAnsi="Times New Roman"/>
          <w:sz w:val="18"/>
          <w:szCs w:val="18"/>
          <w:color w:val="auto"/>
        </w:rPr>
        <w:t>as reasonably necessary in connection with an actual or potential (a) debt or equity financing of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(b) merger, acquisition, consolidation, share exchange or other similar transaction involving such Party and any Third Party, in each case of clause (a) and (b) subject to industry standard and reasonable confidentiality obligations;</w:t>
      </w:r>
    </w:p>
    <w:p>
      <w:pPr>
        <w:spacing w:after="0" w:line="144"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11.3.5 </w:t>
      </w:r>
      <w:r>
        <w:rPr>
          <w:rFonts w:ascii="Times New Roman" w:cs="Times New Roman" w:eastAsia="Times New Roman" w:hAnsi="Times New Roman"/>
          <w:sz w:val="18"/>
          <w:szCs w:val="18"/>
          <w:color w:val="auto"/>
        </w:rPr>
        <w:t>to Regulatory Authorities as is required for purposes of obtaining or maintaining any Regulatory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Pricing Approval for any Product; and</w:t>
      </w:r>
    </w:p>
    <w:p>
      <w:pPr>
        <w:spacing w:after="0" w:line="11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11.3.6 </w:t>
      </w:r>
      <w:r>
        <w:rPr>
          <w:rFonts w:ascii="Times New Roman" w:cs="Times New Roman" w:eastAsia="Times New Roman" w:hAnsi="Times New Roman"/>
          <w:sz w:val="18"/>
          <w:szCs w:val="18"/>
          <w:color w:val="auto"/>
        </w:rPr>
        <w:t>disclosure in connection with the performance of this Agreement and solely on a “need to know basis”,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each of whom must be bound by written obligations of confidentiality and non-use no less restrictive than the obligations set forth in this Article 11.</w:t>
      </w:r>
    </w:p>
    <w:p>
      <w:pPr>
        <w:spacing w:after="0" w:line="130" w:lineRule="exact"/>
        <w:rPr>
          <w:sz w:val="20"/>
          <w:szCs w:val="20"/>
          <w:color w:val="auto"/>
        </w:rPr>
      </w:pPr>
    </w:p>
    <w:p>
      <w:pPr>
        <w:jc w:val="both"/>
        <w:ind w:left="640" w:right="20" w:hanging="634"/>
        <w:spacing w:after="0" w:line="28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8"/>
          <w:szCs w:val="18"/>
          <w:b w:val="1"/>
          <w:bCs w:val="1"/>
          <w:color w:val="auto"/>
        </w:rPr>
        <w:t>Terms of this Agreement</w:t>
      </w:r>
      <w:r>
        <w:rPr>
          <w:rFonts w:ascii="Times New Roman" w:cs="Times New Roman" w:eastAsia="Times New Roman" w:hAnsi="Times New Roman"/>
          <w:sz w:val="18"/>
          <w:szCs w:val="18"/>
          <w:color w:val="auto"/>
        </w:rPr>
        <w:t>. The Parties acknowledge that the terms and conditions of this Agreement shall be treated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of both Parties.</w:t>
      </w:r>
    </w:p>
    <w:p>
      <w:pPr>
        <w:spacing w:after="0" w:line="114"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8"/>
          <w:szCs w:val="18"/>
          <w:b w:val="1"/>
          <w:bCs w:val="1"/>
          <w:color w:val="auto"/>
        </w:rPr>
        <w:t>Patient Information</w:t>
      </w:r>
      <w:r>
        <w:rPr>
          <w:rFonts w:ascii="Times New Roman" w:cs="Times New Roman" w:eastAsia="Times New Roman" w:hAnsi="Times New Roman"/>
          <w:sz w:val="18"/>
          <w:szCs w:val="18"/>
          <w:color w:val="auto"/>
        </w:rPr>
        <w:t>. The Parties shall abide and cause their respective Affiliates, Sublicensees (if applicable)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subcontractors (if applicable) to abide and take and cause their respective Affiliates, Sublicensees (if applicable) and subcontractors (if applicable) to take all reasonable and appropriate actions to ensure that all Third Parties conducting or assisting with any clinical development activities hereunder in accordance with, and subject to the terms of, this Agreement, shall abide, to the extent applicable, by all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2" w:right="99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292215" cy="8255"/>
                    </a:xfrm>
                    <a:prstGeom prst="rect">
                      <a:avLst/>
                    </a:prstGeom>
                    <a:noFill/>
                  </pic:spPr>
                </pic:pic>
              </a:graphicData>
            </a:graphic>
          </wp:anchor>
        </w:drawing>
        <w:t>concerning the confidentiality or protection of patient identifiable information and other patient protected health information.</w:t>
      </w:r>
    </w:p>
    <w:p>
      <w:pPr>
        <w:spacing w:after="0" w:line="194"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11.6</w:t>
      </w:r>
      <w:r>
        <w:rPr>
          <w:sz w:val="20"/>
          <w:szCs w:val="20"/>
          <w:color w:val="auto"/>
        </w:rPr>
        <w:tab/>
      </w:r>
      <w:r>
        <w:rPr>
          <w:rFonts w:ascii="Times New Roman" w:cs="Times New Roman" w:eastAsia="Times New Roman" w:hAnsi="Times New Roman"/>
          <w:sz w:val="18"/>
          <w:szCs w:val="18"/>
          <w:b w:val="1"/>
          <w:bCs w:val="1"/>
          <w:color w:val="auto"/>
        </w:rPr>
        <w:t>Ownership of Confidential Information</w:t>
      </w:r>
      <w:r>
        <w:rPr>
          <w:rFonts w:ascii="Times New Roman" w:cs="Times New Roman" w:eastAsia="Times New Roman" w:hAnsi="Times New Roman"/>
          <w:sz w:val="18"/>
          <w:szCs w:val="18"/>
          <w:color w:val="auto"/>
        </w:rPr>
        <w:t>. The Receiving Party agrees that it shall not receive any right, title or interest 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license or right to use, the Disclosing Party’s Confidential Information (including, without limitation, all copies, extracts and portions thereof) or any intellectual property rights therein, by implication or otherwise, except as expressly and specifically permitted herein. All rights relating to the Disclosing Party’s Confidential Information that are not expressly granted hereunder to the Receiving Party are reserved and retained by the Disclosing Party.</w:t>
      </w:r>
    </w:p>
    <w:p>
      <w:pPr>
        <w:spacing w:after="0" w:line="139"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11.7</w:t>
      </w:r>
      <w:r>
        <w:rPr>
          <w:sz w:val="20"/>
          <w:szCs w:val="20"/>
          <w:color w:val="auto"/>
        </w:rPr>
        <w:tab/>
      </w:r>
      <w:r>
        <w:rPr>
          <w:rFonts w:ascii="Times New Roman" w:cs="Times New Roman" w:eastAsia="Times New Roman" w:hAnsi="Times New Roman"/>
          <w:sz w:val="18"/>
          <w:szCs w:val="18"/>
          <w:b w:val="1"/>
          <w:bCs w:val="1"/>
          <w:color w:val="auto"/>
        </w:rPr>
        <w:t>Securities Filings</w:t>
      </w:r>
      <w:r>
        <w:rPr>
          <w:rFonts w:ascii="Times New Roman" w:cs="Times New Roman" w:eastAsia="Times New Roman" w:hAnsi="Times New Roman"/>
          <w:sz w:val="18"/>
          <w:szCs w:val="18"/>
          <w:color w:val="auto"/>
        </w:rPr>
        <w:t>. The Parties shall coordinate in advance with each other in connection with the filing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redaction of certain provisions of this Agreement) and other required documents and materials with the Hong Kong Stock Exchange, NASDAQ or any stock exchange or governmental agency on which securities issued by a Party or its Affiliate are traded, and each Party will use Commercially Reasonable Efforts to seek confidential treatment for the terms proposed to be redacted and file redacted versions with any governing bodies which are consistent with redacted versions previously filed with any other governing bodies.</w:t>
      </w:r>
    </w:p>
    <w:p>
      <w:pPr>
        <w:spacing w:after="0" w:line="1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11.8</w:t>
      </w:r>
      <w:r>
        <w:rPr>
          <w:sz w:val="20"/>
          <w:szCs w:val="20"/>
          <w:color w:val="auto"/>
        </w:rPr>
        <w:tab/>
      </w:r>
      <w:r>
        <w:rPr>
          <w:rFonts w:ascii="Times New Roman" w:cs="Times New Roman" w:eastAsia="Times New Roman" w:hAnsi="Times New Roman"/>
          <w:sz w:val="18"/>
          <w:szCs w:val="18"/>
          <w:b w:val="1"/>
          <w:bCs w:val="1"/>
          <w:color w:val="auto"/>
        </w:rPr>
        <w:t>Publications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11.8.1 </w:t>
      </w:r>
      <w:r>
        <w:rPr>
          <w:rFonts w:ascii="Times New Roman" w:cs="Times New Roman" w:eastAsia="Times New Roman" w:hAnsi="Times New Roman"/>
          <w:sz w:val="18"/>
          <w:szCs w:val="18"/>
          <w:color w:val="auto"/>
        </w:rPr>
        <w:t>The JSC shall establish procedures for determining when publications, scientific presentations and the like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Development are appropriate and providing for review by the Parties of any publications to protect Confidential Information. The appropriateness of all publications relating to the Development of the Products shall be determined by the unanimous vote of JSC. This Article 11.8 does not apply to disclosures required by Applicable Law.</w:t>
      </w:r>
    </w:p>
    <w:p>
      <w:pPr>
        <w:spacing w:after="0" w:line="13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11.8.2 </w:t>
      </w:r>
      <w:r>
        <w:rPr>
          <w:rFonts w:ascii="Times New Roman" w:cs="Times New Roman" w:eastAsia="Times New Roman" w:hAnsi="Times New Roman"/>
          <w:sz w:val="18"/>
          <w:szCs w:val="18"/>
          <w:color w:val="auto"/>
        </w:rPr>
        <w:t>The Parties acknowledge the importance of supporting each other’s efforts to publish, publicly present,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submit for written or oral publication a manuscript, abstract or the like that includes information relating to the Development of the Products (“</w:t>
      </w:r>
      <w:r>
        <w:rPr>
          <w:rFonts w:ascii="Times New Roman" w:cs="Times New Roman" w:eastAsia="Times New Roman" w:hAnsi="Times New Roman"/>
          <w:sz w:val="18"/>
          <w:szCs w:val="18"/>
          <w:b w:val="1"/>
          <w:bCs w:val="1"/>
          <w:color w:val="auto"/>
        </w:rPr>
        <w:t>Publications</w:t>
      </w:r>
      <w:r>
        <w:rPr>
          <w:rFonts w:ascii="Times New Roman" w:cs="Times New Roman" w:eastAsia="Times New Roman" w:hAnsi="Times New Roman"/>
          <w:sz w:val="18"/>
          <w:szCs w:val="18"/>
          <w:color w:val="auto"/>
        </w:rPr>
        <w:t>”) in the Field in the Territory and other activities in connection with this Agreement, beyond what may be strictly required by the Applicable Law, and each Party may make such Publications from time to time subject to the prior written approval of the other Party, which approval shall not be unreasonably withheld. Such Publications may include achievement of significant events in the Development of the Products in the Field in the Territory. When a Party desires to make any such Publication under this Article 11.8, it will give the other Party reasonable notice to review and comment on such statement. The Parties will endeavor to agree on the text of any proposed Publication in an expeditious manner. The principles to be observed in such Publications shall be accuracy, compliance with the Applicable Law and regulatory guidance documents, reasonable sensitivity to potential negative reactions of applicable Regulatory Authorities and the need to keep investors and others informed regarding the requesting Party’s business.</w:t>
      </w:r>
    </w:p>
    <w:p>
      <w:pPr>
        <w:spacing w:after="0" w:line="3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11.9</w:t>
      </w:r>
      <w:r>
        <w:rPr>
          <w:sz w:val="20"/>
          <w:szCs w:val="20"/>
          <w:color w:val="auto"/>
        </w:rPr>
        <w:tab/>
      </w:r>
      <w:r>
        <w:rPr>
          <w:rFonts w:ascii="Times New Roman" w:cs="Times New Roman" w:eastAsia="Times New Roman" w:hAnsi="Times New Roman"/>
          <w:sz w:val="18"/>
          <w:szCs w:val="18"/>
          <w:b w:val="1"/>
          <w:bCs w:val="1"/>
          <w:color w:val="auto"/>
        </w:rPr>
        <w:t>Publicity</w:t>
      </w:r>
      <w:r>
        <w:rPr>
          <w:rFonts w:ascii="Times New Roman" w:cs="Times New Roman" w:eastAsia="Times New Roman" w:hAnsi="Times New Roman"/>
          <w:sz w:val="18"/>
          <w:szCs w:val="18"/>
          <w:color w:val="auto"/>
        </w:rPr>
        <w:t>. The Parties may issue mutually agreed upon press releases from time-to-time related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292215" cy="8255"/>
                    </a:xfrm>
                    <a:prstGeom prst="rect">
                      <a:avLst/>
                    </a:prstGeom>
                    <a:noFill/>
                  </pic:spPr>
                </pic:pic>
              </a:graphicData>
            </a:graphic>
          </wp:anchor>
        </w:drawing>
        <w:t>ARTICLE 12 INTELLECTUAL PROPERTY</w:t>
      </w:r>
    </w:p>
    <w:p>
      <w:pPr>
        <w:spacing w:after="0" w:line="198" w:lineRule="exact"/>
        <w:rPr>
          <w:sz w:val="20"/>
          <w:szCs w:val="20"/>
          <w:color w:val="auto"/>
        </w:rPr>
      </w:pPr>
    </w:p>
    <w:p>
      <w:pPr>
        <w:jc w:val="both"/>
        <w:ind w:left="640" w:hanging="634"/>
        <w:spacing w:after="0" w:line="26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8"/>
          <w:szCs w:val="18"/>
          <w:b w:val="1"/>
          <w:bCs w:val="1"/>
          <w:color w:val="auto"/>
        </w:rPr>
        <w:t xml:space="preserve">Background Intellectual Property. </w:t>
      </w:r>
      <w:r>
        <w:rPr>
          <w:rFonts w:ascii="Times New Roman" w:cs="Times New Roman" w:eastAsia="Times New Roman" w:hAnsi="Times New Roman"/>
          <w:sz w:val="18"/>
          <w:szCs w:val="18"/>
          <w:color w:val="auto"/>
        </w:rPr>
        <w:t>This Agreement does not affect the ownership of either Party’s Background IP,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owned by the provider. Alphamab is and shall remain the owner of all rights, title and interest in and to the Alphamab Intellectual Property anywhere in the world. Parties agree that, any antibody drug conjugate platform technology and CMC technology related Intellectual Property Rights shall be solely owned by Alphamab.</w:t>
      </w:r>
    </w:p>
    <w:p>
      <w:pPr>
        <w:spacing w:after="0" w:line="136"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8"/>
          <w:szCs w:val="18"/>
          <w:b w:val="1"/>
          <w:bCs w:val="1"/>
          <w:color w:val="auto"/>
        </w:rPr>
        <w:t>New IP</w:t>
      </w:r>
      <w:r>
        <w:rPr>
          <w:rFonts w:ascii="Times New Roman" w:cs="Times New Roman" w:eastAsia="Times New Roman" w:hAnsi="Times New Roman"/>
          <w:sz w:val="18"/>
          <w:szCs w:val="18"/>
          <w:color w:val="auto"/>
        </w:rPr>
        <w:t>. During the Term of this Agreement, and subject to Article 12.3, any and all Intellectual Property Rights,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conceived, discovered, developed or otherwise made pursuant to activities under any Program of this Agreement solely by one Party or its Affiliates, subcontractors, or Sublicensees shall be solely owned by such respective Party, (“</w:t>
      </w:r>
      <w:r>
        <w:rPr>
          <w:rFonts w:ascii="Times New Roman" w:cs="Times New Roman" w:eastAsia="Times New Roman" w:hAnsi="Times New Roman"/>
          <w:sz w:val="18"/>
          <w:szCs w:val="18"/>
          <w:b w:val="1"/>
          <w:bCs w:val="1"/>
          <w:color w:val="auto"/>
        </w:rPr>
        <w:t>ArriVent’s New IP</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Alphamab’s New IP</w:t>
      </w:r>
      <w:r>
        <w:rPr>
          <w:rFonts w:ascii="Times New Roman" w:cs="Times New Roman" w:eastAsia="Times New Roman" w:hAnsi="Times New Roman"/>
          <w:sz w:val="18"/>
          <w:szCs w:val="18"/>
          <w:color w:val="auto"/>
        </w:rPr>
        <w:t>”). Any and all Intellectual Property Rights that are conceived, discovered, developed or otherwise made pursuant to activities under any Program of this Agreement jointly by the Parties (or such Party’s Affiliates, subcontractors, or Sublicensees), shall be jointly owned by the Parties (“</w:t>
      </w:r>
      <w:r>
        <w:rPr>
          <w:rFonts w:ascii="Times New Roman" w:cs="Times New Roman" w:eastAsia="Times New Roman" w:hAnsi="Times New Roman"/>
          <w:sz w:val="18"/>
          <w:szCs w:val="18"/>
          <w:b w:val="1"/>
          <w:bCs w:val="1"/>
          <w:color w:val="auto"/>
        </w:rPr>
        <w:t>Joint New IP</w:t>
      </w:r>
      <w:r>
        <w:rPr>
          <w:rFonts w:ascii="Times New Roman" w:cs="Times New Roman" w:eastAsia="Times New Roman" w:hAnsi="Times New Roman"/>
          <w:sz w:val="18"/>
          <w:szCs w:val="18"/>
          <w:color w:val="auto"/>
        </w:rPr>
        <w:t>”). ArriVent’s New IP, Alphamab’s New IP and Joint New IP, collectively “</w:t>
      </w:r>
      <w:r>
        <w:rPr>
          <w:rFonts w:ascii="Times New Roman" w:cs="Times New Roman" w:eastAsia="Times New Roman" w:hAnsi="Times New Roman"/>
          <w:sz w:val="18"/>
          <w:szCs w:val="18"/>
          <w:b w:val="1"/>
          <w:bCs w:val="1"/>
          <w:color w:val="auto"/>
        </w:rPr>
        <w:t>New IP</w:t>
      </w:r>
      <w:r>
        <w:rPr>
          <w:rFonts w:ascii="Times New Roman" w:cs="Times New Roman" w:eastAsia="Times New Roman" w:hAnsi="Times New Roman"/>
          <w:sz w:val="18"/>
          <w:szCs w:val="18"/>
          <w:color w:val="auto"/>
        </w:rPr>
        <w:t>”. The inventorship of inventions of ArriVent’s New IP or Alphamab’s New IP shall be determined pursuant to U.S. law. Each Party will promptly disclose to the other Party all Joint New IP to the other Party and hereby assigns and agrees to assign to the other Party an undivided equal share of its rights, title and interest in and to all Joint New IP.</w:t>
      </w:r>
    </w:p>
    <w:p>
      <w:pPr>
        <w:spacing w:after="0" w:line="14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Patents Covering Joint New IP are “</w:t>
      </w:r>
      <w:r>
        <w:rPr>
          <w:rFonts w:ascii="Times New Roman" w:cs="Times New Roman" w:eastAsia="Times New Roman" w:hAnsi="Times New Roman"/>
          <w:sz w:val="18"/>
          <w:szCs w:val="18"/>
          <w:b w:val="1"/>
          <w:bCs w:val="1"/>
          <w:color w:val="auto"/>
        </w:rPr>
        <w:t>Joint New Patents</w:t>
      </w:r>
      <w:r>
        <w:rPr>
          <w:rFonts w:ascii="Times New Roman" w:cs="Times New Roman" w:eastAsia="Times New Roman" w:hAnsi="Times New Roman"/>
          <w:sz w:val="18"/>
          <w:szCs w:val="18"/>
          <w:color w:val="auto"/>
        </w:rPr>
        <w:t>” Patents Covering ArriVent New IP or Alphamab New IP are, respectively, “</w:t>
      </w:r>
      <w:r>
        <w:rPr>
          <w:rFonts w:ascii="Times New Roman" w:cs="Times New Roman" w:eastAsia="Times New Roman" w:hAnsi="Times New Roman"/>
          <w:sz w:val="18"/>
          <w:szCs w:val="18"/>
          <w:b w:val="1"/>
          <w:bCs w:val="1"/>
          <w:color w:val="auto"/>
        </w:rPr>
        <w:t>ArriVent New Patents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Alphamab New Patents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herein, to clarify,</w:t>
      </w:r>
    </w:p>
    <w:p>
      <w:pPr>
        <w:spacing w:after="0" w:line="18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12.2.1 </w:t>
      </w:r>
      <w:r>
        <w:rPr>
          <w:rFonts w:ascii="Times New Roman" w:cs="Times New Roman" w:eastAsia="Times New Roman" w:hAnsi="Times New Roman"/>
          <w:sz w:val="18"/>
          <w:szCs w:val="18"/>
          <w:color w:val="auto"/>
        </w:rPr>
        <w:t>for each Program, any and all Intellectual Property Rights (including but not limited to any antibody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sequences) that are conceived, discovered, developed or otherwise made pursuant to any activities before any Target Pairs are confirmed by the JSC according to Article 4.1.1, including but not limited to any results of the screening activities or the Abandoned Target Pairs, shall be solely owned by Alphamab.</w:t>
      </w:r>
    </w:p>
    <w:p>
      <w:pPr>
        <w:spacing w:after="0" w:line="14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12.2.2 </w:t>
      </w:r>
      <w:r>
        <w:rPr>
          <w:rFonts w:ascii="Times New Roman" w:cs="Times New Roman" w:eastAsia="Times New Roman" w:hAnsi="Times New Roman"/>
          <w:sz w:val="18"/>
          <w:szCs w:val="18"/>
          <w:color w:val="auto"/>
        </w:rPr>
        <w:t>for each Program, any and all Compound Patents under any Program of this Agreement shall be Joint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Patents. Upon confirmation of a Target Pair by the JSC, Alphamab will, and hereby does, assign to ArriVent an undivided equal share of its rights, title and interest in and to interest in and to the Compound Patents.</w:t>
      </w:r>
    </w:p>
    <w:p>
      <w:pPr>
        <w:spacing w:after="0" w:line="130"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8"/>
          <w:szCs w:val="18"/>
          <w:b w:val="1"/>
          <w:bCs w:val="1"/>
          <w:color w:val="auto"/>
        </w:rPr>
        <w:t>Cooperation of Third Parties</w:t>
      </w:r>
      <w:r>
        <w:rPr>
          <w:rFonts w:ascii="Times New Roman" w:cs="Times New Roman" w:eastAsia="Times New Roman" w:hAnsi="Times New Roman"/>
          <w:sz w:val="18"/>
          <w:szCs w:val="18"/>
          <w:color w:val="auto"/>
        </w:rPr>
        <w:t>. Each Party represents and agrees that all of its employees and all of its Affiliates’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under its or its Affiliates’ authority in the performance of Research, Development activities, or pursuant to the licenses granted under Article 2 hereof shall be obligated under a binding written agreement or established corporate policy to assign to such Party, or as such Party shall direct, all intellectual property, data and inventions discovered, made, conceived or reduced to practice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2" w:right="999" w:bottom="1440" w:gutter="0" w:footer="0" w:header="0"/>
        </w:sectPr>
      </w:pPr>
    </w:p>
    <w:bookmarkStart w:id="60" w:name="page61"/>
    <w:bookmarkEnd w:id="60"/>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292215" cy="8255"/>
                    </a:xfrm>
                    <a:prstGeom prst="rect">
                      <a:avLst/>
                    </a:prstGeom>
                    <a:noFill/>
                  </pic:spPr>
                </pic:pic>
              </a:graphicData>
            </a:graphic>
          </wp:anchor>
        </w:drawing>
        <w:t>employee as a result of such employee’s employment. In the case of all others acting in the performance of Research, Development activities or pursuant to the licenses granted under Article 2 hereof, such as consultants, subcontractors, Sublicensees, clinical investigators, agents, or non-employees working for non-profit academic institutions, the Parties will ensure that such others are also obligated under an agreement to assign to such Party, or as such Party shall direct, all intellectual property, data and inventions discovered, made, conceived or reduced to practice by such individual or entity, except (a) where Applicable Law requires otherwise (in which case Control must be obtained), (b) in the case of governmental entities, not-for-profit and public institutions that have standard policies against such an assignment (in which case, a suitable license or right to obtain or negotiate such a license, with Control, must be obtained); (c) in connection with any Third Party Combination (including Combination Patents specific to a Third Party Combination); or (d) unless otherwise approved by the JSC. The Parties agree to undertake to enforce the agreements referenced in this Article 12 (including, where appropriate, by legal action) considering, among other things, the commercial value of the relevant intellectual property or inventions.</w:t>
      </w:r>
    </w:p>
    <w:p>
      <w:pPr>
        <w:spacing w:after="0" w:line="161"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8"/>
          <w:szCs w:val="18"/>
          <w:b w:val="1"/>
          <w:bCs w:val="1"/>
          <w:color w:val="auto"/>
        </w:rPr>
        <w:t>No Encumbrances</w:t>
      </w:r>
      <w:r>
        <w:rPr>
          <w:rFonts w:ascii="Times New Roman" w:cs="Times New Roman" w:eastAsia="Times New Roman" w:hAnsi="Times New Roman"/>
          <w:sz w:val="18"/>
          <w:szCs w:val="18"/>
          <w:color w:val="auto"/>
        </w:rPr>
        <w:t>. During the Term, except as expressly provided in this Agreement, neither Party shall sell, transfer, assign,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mortgage, pledge, lease, grant a security interest in (e.g., as collateral for a loan or other financing) or otherwise encumber any Joint New IP without the prior written consent of the other Party; except to the assignee of this Agreement as permitted by Article 15.4 or in connection with the grant of a sublicense or Sublicense of its rights as permitted under the terms of this Agreement.</w:t>
      </w:r>
    </w:p>
    <w:p>
      <w:pPr>
        <w:spacing w:after="0" w:line="13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8"/>
          <w:szCs w:val="18"/>
          <w:b w:val="1"/>
          <w:bCs w:val="1"/>
          <w:color w:val="auto"/>
        </w:rPr>
        <w:t>Filing, Prosecution, Maintenance of Patents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12.5.1 In General</w:t>
      </w:r>
      <w:r>
        <w:rPr>
          <w:rFonts w:ascii="Times New Roman" w:cs="Times New Roman" w:eastAsia="Times New Roman" w:hAnsi="Times New Roman"/>
          <w:sz w:val="18"/>
          <w:szCs w:val="18"/>
          <w:color w:val="auto"/>
        </w:rPr>
        <w:t>. Subject to this Article 12.5, (a) ArriVent shall have the right, through counsel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acceptable to Alphamab, to prepare, file, prosecute and maintain any Joint New Patents in the ArriVent Territory and the corresponding PCT application, and (b) Alphamab shall have the right, through counsel reasonably acceptable to ArriVent, to prepare, file, prosecute and maintain any Joint New Patents in the Alphamab Territory, and (c) Alphamab shall have the right, to prepare, file, prosecute and maintain any Alphamab Patents (including Alphamab New Patents) in the Territory of worldwide.</w:t>
      </w:r>
    </w:p>
    <w:p>
      <w:pPr>
        <w:spacing w:after="0" w:line="13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12.5.2 </w:t>
      </w:r>
      <w:r>
        <w:rPr>
          <w:rFonts w:ascii="Times New Roman" w:cs="Times New Roman" w:eastAsia="Times New Roman" w:hAnsi="Times New Roman"/>
          <w:sz w:val="18"/>
          <w:szCs w:val="18"/>
          <w:color w:val="auto"/>
        </w:rPr>
        <w:t>For purposes of this Article 12.5, the Party having the right to control the preparation, filing, prosecution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maintenance of a Joint New Patent, ArriVent New Patent or Alphamab Patent is the “</w:t>
      </w:r>
      <w:r>
        <w:rPr>
          <w:rFonts w:ascii="Times New Roman" w:cs="Times New Roman" w:eastAsia="Times New Roman" w:hAnsi="Times New Roman"/>
          <w:sz w:val="18"/>
          <w:szCs w:val="18"/>
          <w:b w:val="1"/>
          <w:bCs w:val="1"/>
          <w:color w:val="auto"/>
        </w:rPr>
        <w:t>Controlling Party</w:t>
      </w:r>
      <w:r>
        <w:rPr>
          <w:rFonts w:ascii="Times New Roman" w:cs="Times New Roman" w:eastAsia="Times New Roman" w:hAnsi="Times New Roman"/>
          <w:sz w:val="18"/>
          <w:szCs w:val="18"/>
          <w:color w:val="auto"/>
        </w:rPr>
        <w:t>.” The Controlling Party will bear the expense for the preparation, filing, prosecution and maintenance of the applicable Patents. The Controlling Party shall keep the other Party informed of all actions with regard to the preparation, filing, prosecution and maintenance of: (i) the Joint New Patents and (ii) ArriVent New Patents or Alphamab Patents, as applicable, including by providing the other Party with a copy of all communications to and from any applicable patent authority regarding such Patents and by providing drafts of any material filings or responses to be made to such patent authorities sufficiently in advance of submitting such filings or responses so as to allow for a reasonable opportunity for the other Party to review and comment thereon (the other Party will bear the additional translation costs if necessary). Notwithstanding the foregoing, if Alphamab will prepare or file any new applications generally directed to its platform technology, including Enzymes, Alphamab will only be required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61" w:name="page62"/>
    <w:bookmarkEnd w:id="61"/>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292215" cy="8255"/>
                    </a:xfrm>
                    <a:prstGeom prst="rect">
                      <a:avLst/>
                    </a:prstGeom>
                    <a:noFill/>
                  </pic:spPr>
                </pic:pic>
              </a:graphicData>
            </a:graphic>
          </wp:anchor>
        </w:drawing>
        <w:t>such copies of communications and drafts of material filings or responses after the publication of such new applications, provided that if such new applications or any such filing or response includes data or other information specific to a Compound or Program hereunder (“</w:t>
      </w:r>
      <w:r>
        <w:rPr>
          <w:rFonts w:ascii="Times New Roman" w:cs="Times New Roman" w:eastAsia="Times New Roman" w:hAnsi="Times New Roman"/>
          <w:sz w:val="18"/>
          <w:szCs w:val="18"/>
          <w:b w:val="1"/>
          <w:bCs w:val="1"/>
          <w:color w:val="auto"/>
        </w:rPr>
        <w:t>Program Information</w:t>
      </w:r>
      <w:r>
        <w:rPr>
          <w:rFonts w:ascii="Times New Roman" w:cs="Times New Roman" w:eastAsia="Times New Roman" w:hAnsi="Times New Roman"/>
          <w:sz w:val="18"/>
          <w:szCs w:val="18"/>
          <w:color w:val="auto"/>
        </w:rPr>
        <w:t>”), then at least [***] prior to filing such new application, filing or response including the Program Information, Alphamab will provide a copy of to ArriVent. Alphamab may redact information from such copy other than the data or information that is specific to a Compound or Program hereunder. The Controlling Party shall consider in good faith the requests and suggestions of the other Party with respect to such drafts and with respect to strategies for filing and prosecuting such Patents. Notwithstanding the foregoing, any decisions regarding the filing of any Joint New Patents (including any divisional or continuation of any Joint New Patents), abandonment or lapse of any Joint New Patents; or in connection with any invalidation, appeals of invalidation, interference, re-issuance, re-examination, and opposition proceedings before any patent office with respect to any Joint New Patents, must be made jointly by the Parties. If no decision is reached prior to any applicable due date, the Controlling Party will take the necessary action to file or otherwise maintain any such Joint New Patents.</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12.5.3 Co-operation</w:t>
      </w:r>
      <w:r>
        <w:rPr>
          <w:rFonts w:ascii="Times New Roman" w:cs="Times New Roman" w:eastAsia="Times New Roman" w:hAnsi="Times New Roman"/>
          <w:sz w:val="18"/>
          <w:szCs w:val="18"/>
          <w:color w:val="auto"/>
        </w:rPr>
        <w:t>. The non-Controlling Party will assist and co-operate with the Controlling Party,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Controlling Party may reasonably request from time to time, in the preparation, filing, prosecution and maintenance of the Joint New Patents, including by providing access to relevant documents and other evidence and making any inventors available at reasonable business hours. The Parties will sign, or will use reasonable efforts to have signed, all legal documents as are reasonably necessary to prosecute and maintain the Joint New Patents in accordance with this Article 12.5.</w:t>
      </w:r>
    </w:p>
    <w:p>
      <w:pPr>
        <w:spacing w:after="0" w:line="13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12.5.4 Patent Term Extension and Supplementary Protection Certificate</w:t>
      </w:r>
      <w:r>
        <w:rPr>
          <w:rFonts w:ascii="Times New Roman" w:cs="Times New Roman" w:eastAsia="Times New Roman" w:hAnsi="Times New Roman"/>
          <w:sz w:val="18"/>
          <w:szCs w:val="18"/>
          <w:color w:val="auto"/>
        </w:rPr>
        <w:t>. ArriVent will have the right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decisions regarding the application for patent term extensions, or any other extensions that are now or become available in the future, in the ArriVent Territory, for each Program, and the Joint New Patents and ArriVent New Patents, and in each case including whether or not to do so. Alphamab will have the right to make decisions regarding the application for patent term extensions, or any other extensions that are now or become available in the future, in the Alphamab Territory, for each Program, and the Joint New Patents and Alphamab Patents, and in each case including whether or not to do so.</w:t>
      </w:r>
    </w:p>
    <w:p>
      <w:pPr>
        <w:spacing w:after="0" w:line="1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7"/>
          <w:szCs w:val="17"/>
          <w:b w:val="1"/>
          <w:bCs w:val="1"/>
          <w:color w:val="auto"/>
        </w:rPr>
        <w:t>Enforcement</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12.6.1 Notice</w:t>
      </w:r>
      <w:r>
        <w:rPr>
          <w:rFonts w:ascii="Times New Roman" w:cs="Times New Roman" w:eastAsia="Times New Roman" w:hAnsi="Times New Roman"/>
          <w:sz w:val="18"/>
          <w:szCs w:val="18"/>
          <w:color w:val="auto"/>
        </w:rPr>
        <w:t>. Each Party shall promptly disclose to the other in writing (“</w:t>
      </w:r>
      <w:r>
        <w:rPr>
          <w:rFonts w:ascii="Times New Roman" w:cs="Times New Roman" w:eastAsia="Times New Roman" w:hAnsi="Times New Roman"/>
          <w:sz w:val="18"/>
          <w:szCs w:val="18"/>
          <w:b w:val="1"/>
          <w:bCs w:val="1"/>
          <w:color w:val="auto"/>
        </w:rPr>
        <w:t>Infringement Notice</w:t>
      </w:r>
      <w:r>
        <w:rPr>
          <w:rFonts w:ascii="Times New Roman" w:cs="Times New Roman" w:eastAsia="Times New Roman" w:hAnsi="Times New Roman"/>
          <w:sz w:val="18"/>
          <w:szCs w:val="18"/>
          <w:color w:val="auto"/>
        </w:rPr>
        <w:t>”) within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actual, alleged, or threatened Third Party infringement of any Alphamab Patents, ArriVent New Patents or Joint New Patents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of which such Party becomes aware.</w:t>
      </w:r>
    </w:p>
    <w:p>
      <w:pPr>
        <w:spacing w:after="0" w:line="14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12.6.2 Control</w:t>
      </w:r>
      <w:r>
        <w:rPr>
          <w:rFonts w:ascii="Times New Roman" w:cs="Times New Roman" w:eastAsia="Times New Roman" w:hAnsi="Times New Roman"/>
          <w:sz w:val="18"/>
          <w:szCs w:val="18"/>
          <w:color w:val="auto"/>
        </w:rPr>
        <w:t>. Alphamab shall have the first right, but not the obligation, to respond to any Infringement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Alphamab Territory, in each case including by initiating a proceeding. In exercising its rights pursuant to this Article 12.6, Alphamab will use legal counsel of its choice at its expense and shall have full control over the conduct of such proceeding. If Alphamab elects not to respond to any such Infringement or fails to do so within [***] of the Infringement Notice, then ArriVent shall have the right, but not the obligation, to take action, at its sole expense, in which case ArriVent shall have full control over the conduct of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62" w:name="page63"/>
    <w:bookmarkEnd w:id="62"/>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292215" cy="8255"/>
                    </a:xfrm>
                    <a:prstGeom prst="rect">
                      <a:avLst/>
                    </a:prstGeom>
                    <a:noFill/>
                  </pic:spPr>
                </pic:pic>
              </a:graphicData>
            </a:graphic>
          </wp:anchor>
        </w:drawing>
        <w:t>provided, however, that notwithstanding anything to the contrary herein, ArriVent will in no event have any rights to enforce any Alphamab Patent in the Alphamab Territory. ArriVent shall have the first right, but not the obligation, to respond to any Infringement within the ArriVent Territory, in each case including by initiating a proceeding. In exercising its rights within the ArriVent Territory pursuant to this Article 12.6, (a) with respect to any Joint New Patent, ArriVent will use legal counsel of its choice at its expense and shall have full control over the conduct of such proceeding; and (b) with respect to any Alphamab Patent, ArriVent will use legal counsel reasonably acceptable to Alphamab, and if any legal proceeding is filed, the Parties will equally bear all court fees and the fees for the legal counsel expenses and jointly control the proceeding provided neither Party may take action that require the other Party to admit wrongdoing, fault, or liability. If ArriVent elects not to respond to any such Infringement or fails to do so within [***] of the Infringement Notice, then Alphamab shall have the right, but not the obligation, to take action, at its sole expense, in which case Alphamab shall have full control over the conduct of such proceeding. For purposes of this Article 12.6, the Party controlling the enforcement action is the “</w:t>
      </w:r>
      <w:r>
        <w:rPr>
          <w:rFonts w:ascii="Times New Roman" w:cs="Times New Roman" w:eastAsia="Times New Roman" w:hAnsi="Times New Roman"/>
          <w:sz w:val="18"/>
          <w:szCs w:val="18"/>
          <w:b w:val="1"/>
          <w:bCs w:val="1"/>
          <w:color w:val="auto"/>
        </w:rPr>
        <w:t>Enforcing Party</w:t>
      </w:r>
      <w:r>
        <w:rPr>
          <w:rFonts w:ascii="Times New Roman" w:cs="Times New Roman" w:eastAsia="Times New Roman" w:hAnsi="Times New Roman"/>
          <w:sz w:val="18"/>
          <w:szCs w:val="18"/>
          <w:color w:val="auto"/>
        </w:rPr>
        <w:t>.” The Enforcing Party will keep the non-Enforcing Party reasonably informed regarding its enforcement efforts and any proceeding with respect to any Alphamab Patent in the ArriVent Territory and any Joint New Patent. The Enforcing Party may settle or compromise any such proceeding without the consent of the other Party; provided, however, if such settlement affects the other Party’s Intellectual Property Rights or its rights under this Agreement, or the other Party’s ability to Commercialize the Products in its Territory, or otherwise requires the other Party to admit wrongdoing, fault, or liability, the Enforcing Party will not settle or compromise any such proceeding without the consent of the other Party, such consent not to be unreasonably withheld. Notwithstanding the foregoing, Alphamab will not be obligated to get ArriVent’s consent for any settlement or compromise involving only Alphamab Patents in the Alphamab Territory. The Enforcing Party shall be solely responsible for any legal costs or damages awards made in any proceeding that is initiated by it.</w:t>
      </w:r>
    </w:p>
    <w:p>
      <w:pPr>
        <w:spacing w:after="0" w:line="16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12.6.3 Co-operation</w:t>
      </w:r>
      <w:r>
        <w:rPr>
          <w:rFonts w:ascii="Times New Roman" w:cs="Times New Roman" w:eastAsia="Times New Roman" w:hAnsi="Times New Roman"/>
          <w:sz w:val="18"/>
          <w:szCs w:val="18"/>
          <w:color w:val="auto"/>
        </w:rPr>
        <w:t>. With respect to an action by the Enforcing Party, the other Party will, and will cause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to, assist and co-operate with the Enforcing Party, as the Enforcing Party may reasonably request from time to time, including where necessary, by making the inventors, applicable records and documents (including laboratory notebooks) with respect to the relevant Patents available to the Enforcing Party, furnishing a power of attorney solely for such purpose or joining in, or being named as a necessary party to, such action, providing access to relevant documents and other evidence and making its employees available at reasonable business hours. The Enforcing Party will reimburse the other Party for its reasonable and verifiable out-of-pocket costs and expenses incurred in connection with such other Party’s cooperation pursuant to this Article 12.6.</w:t>
      </w:r>
    </w:p>
    <w:p>
      <w:pPr>
        <w:spacing w:after="0" w:line="14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12.6.4 Recovery</w:t>
      </w:r>
      <w:r>
        <w:rPr>
          <w:rFonts w:ascii="Times New Roman" w:cs="Times New Roman" w:eastAsia="Times New Roman" w:hAnsi="Times New Roman"/>
          <w:sz w:val="18"/>
          <w:szCs w:val="18"/>
          <w:color w:val="auto"/>
        </w:rPr>
        <w:t>. Any recovery realized as a result of any enforcement pursuant to this Article 12.6 (whether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way of settlement or otherwise) (a) shall be first allocated to reimburse the Parties for their costs and expenses incurred with respect to such enforcement; and (b) any remainder after such reimbursement is made shall be retained by the Enforcing Party; provided that to the extent that any award or settlement (whether by judgment or otherwise) with respect to an Alphamab Patent or Joint New Patent is attributable to loss of sales or profits with respect to a Product sold in the ArriVent Territory or the Enforcing Party is ArriVent, such remainder shall be paid to or retained by ArriVent and considered Net Sales and subject to the royalty obligations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63" w:name="page64"/>
    <w:bookmarkEnd w:id="63"/>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292215" cy="8255"/>
                    </a:xfrm>
                    <a:prstGeom prst="rect">
                      <a:avLst/>
                    </a:prstGeom>
                    <a:noFill/>
                  </pic:spPr>
                </pic:pic>
              </a:graphicData>
            </a:graphic>
          </wp:anchor>
        </w:drawing>
        <w:t>12.7</w:t>
      </w:r>
      <w:r>
        <w:rPr>
          <w:sz w:val="20"/>
          <w:szCs w:val="20"/>
          <w:color w:val="auto"/>
        </w:rPr>
        <w:tab/>
      </w:r>
      <w:r>
        <w:rPr>
          <w:rFonts w:ascii="Times New Roman" w:cs="Times New Roman" w:eastAsia="Times New Roman" w:hAnsi="Times New Roman"/>
          <w:sz w:val="18"/>
          <w:szCs w:val="18"/>
          <w:b w:val="1"/>
          <w:bCs w:val="1"/>
          <w:color w:val="auto"/>
        </w:rPr>
        <w:t>Invalidity or Unenforceability Defenses or Actions</w:t>
      </w:r>
      <w:r>
        <w:rPr>
          <w:rFonts w:ascii="Times New Roman" w:cs="Times New Roman" w:eastAsia="Times New Roman" w:hAnsi="Times New Roman"/>
          <w:sz w:val="18"/>
          <w:szCs w:val="18"/>
          <w:color w:val="auto"/>
        </w:rPr>
        <w:t>. Each Party shall promptly notify the other Party in writing of any alleged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threatened assertion of invalidity or unenforceability of any Alphamab Patent or Joint New Patent by a Third Party of which such Party becomes aware. Unless otherwise agreed in writing by the Parties, the Parties will jointly defend the validity and enforceability of any Alphamab Patent or Joint New Patent, using mutually acceptable counsel, unless when such invalidity or unenforceability is raised as a defense or counterclaim in connection with an Infringement action, the control of which shall be subject to Article 12.6.2. The Parties shall, and shall cause their Affiliates to, assist and co-operate with the other Party, as reasonably request from time to time, including by joining in, or being named as a necessary party to, such action, providing access to relevant documents and other evidence and making its employees available at reasonable business hours. The Parties will equally bear any Third Party costs and expenses in connection with any defense or action pursuant to this Article 12.7, including attorneys’ fees.</w:t>
      </w:r>
    </w:p>
    <w:p>
      <w:pPr>
        <w:spacing w:after="0" w:line="145"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8"/>
          <w:szCs w:val="18"/>
          <w:b w:val="1"/>
          <w:bCs w:val="1"/>
          <w:color w:val="auto"/>
        </w:rPr>
        <w:t>Infringement Claims by Third Parties</w:t>
      </w:r>
      <w:r>
        <w:rPr>
          <w:rFonts w:ascii="Times New Roman" w:cs="Times New Roman" w:eastAsia="Times New Roman" w:hAnsi="Times New Roman"/>
          <w:sz w:val="18"/>
          <w:szCs w:val="18"/>
          <w:color w:val="auto"/>
        </w:rPr>
        <w:t>. If the Development or Commercialization of a Product in the ArriVent 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Agreement results in, or is reasonably expected to result in, any claim or action against ArriVent or any of its Affiliates or Sublicensees alleging infringement by ArriVent or any of its Affiliates or its or their Sublicensees, distributors or customers (“</w:t>
      </w:r>
      <w:r>
        <w:rPr>
          <w:rFonts w:ascii="Times New Roman" w:cs="Times New Roman" w:eastAsia="Times New Roman" w:hAnsi="Times New Roman"/>
          <w:sz w:val="18"/>
          <w:szCs w:val="18"/>
          <w:b w:val="1"/>
          <w:bCs w:val="1"/>
          <w:color w:val="auto"/>
        </w:rPr>
        <w:t>Third Party Infringement Claim</w:t>
      </w:r>
      <w:r>
        <w:rPr>
          <w:rFonts w:ascii="Times New Roman" w:cs="Times New Roman" w:eastAsia="Times New Roman" w:hAnsi="Times New Roman"/>
          <w:sz w:val="18"/>
          <w:szCs w:val="18"/>
          <w:color w:val="auto"/>
        </w:rPr>
        <w:t>”), including any defense or counterclaim in connection with an Infringement action initiated pursuant to Article 12.6 (Enforcement), the Party first becoming aware of such alleged infringement shall promptly notify the other Party thereof in writing. As between the Parties (subject to Article 12), ArriVent shall be responsible for defending any such claim, suit or proceeding at its sole cost and expense, using counsel of ArriVent’s choice. Any damages, or awards, including royalties, incurred or awarded in connection with any Third Party Infringement Claim shall be borne by ArriVent.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 TERM AND TERMINATION</w:t>
      </w:r>
    </w:p>
    <w:p>
      <w:pPr>
        <w:spacing w:after="0" w:line="198" w:lineRule="exact"/>
        <w:rPr>
          <w:sz w:val="20"/>
          <w:szCs w:val="20"/>
          <w:color w:val="auto"/>
        </w:rPr>
      </w:pPr>
    </w:p>
    <w:p>
      <w:pPr>
        <w:jc w:val="both"/>
        <w:ind w:left="640" w:right="20" w:hanging="634"/>
        <w:spacing w:after="0" w:line="26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This Agreement shall become effective on the Effective Date and, unless earlier terminated pursuant to this Article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remain in effect until the expiration of the Royalty Term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Upon expiration of the Term (but not earlier termination) the licenses granted to ArriVent will become fully paid up, perpetual and irrevocable.</w:t>
      </w:r>
    </w:p>
    <w:p>
      <w:pPr>
        <w:spacing w:after="0" w:line="13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Early Termination</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13.2.1 Termination by ArriVent</w:t>
      </w:r>
      <w:r>
        <w:rPr>
          <w:rFonts w:ascii="Times New Roman" w:cs="Times New Roman" w:eastAsia="Times New Roman" w:hAnsi="Times New Roman"/>
          <w:sz w:val="18"/>
          <w:szCs w:val="18"/>
          <w:color w:val="auto"/>
        </w:rPr>
        <w:t>. Without limiting ArriVent’s rights set forth elsewhere in this Agreement,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ArriVent may terminate this Agreement on a Program-by-Program basis, at its sole discretion for any reason or no reason, by providing written notice of termination to Alphamab, which termination shall be effective [***] after the date of such notice (or such longer time period as may be specified in such notice).</w:t>
      </w:r>
    </w:p>
    <w:p>
      <w:pPr>
        <w:spacing w:after="0" w:line="13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13.2.2 Termination for Material Breach</w:t>
      </w:r>
      <w:r>
        <w:rPr>
          <w:rFonts w:ascii="Times New Roman" w:cs="Times New Roman" w:eastAsia="Times New Roman" w:hAnsi="Times New Roman"/>
          <w:sz w:val="18"/>
          <w:szCs w:val="18"/>
          <w:color w:val="auto"/>
        </w:rPr>
        <w:t>. If either Party (the “</w:t>
      </w:r>
      <w:r>
        <w:rPr>
          <w:rFonts w:ascii="Times New Roman" w:cs="Times New Roman" w:eastAsia="Times New Roman" w:hAnsi="Times New Roman"/>
          <w:sz w:val="18"/>
          <w:szCs w:val="18"/>
          <w:b w:val="1"/>
          <w:bCs w:val="1"/>
          <w:color w:val="auto"/>
        </w:rPr>
        <w:t>Non-Breaching Party</w:t>
      </w:r>
      <w:r>
        <w:rPr>
          <w:rFonts w:ascii="Times New Roman" w:cs="Times New Roman" w:eastAsia="Times New Roman" w:hAnsi="Times New Roman"/>
          <w:sz w:val="18"/>
          <w:szCs w:val="18"/>
          <w:color w:val="auto"/>
        </w:rPr>
        <w:t>”) determines that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(the “</w:t>
      </w:r>
      <w:r>
        <w:rPr>
          <w:rFonts w:ascii="Times New Roman" w:cs="Times New Roman" w:eastAsia="Times New Roman" w:hAnsi="Times New Roman"/>
          <w:sz w:val="18"/>
          <w:szCs w:val="18"/>
          <w:b w:val="1"/>
          <w:bCs w:val="1"/>
          <w:color w:val="auto"/>
        </w:rPr>
        <w:t>Breaching Party</w:t>
      </w:r>
      <w:r>
        <w:rPr>
          <w:rFonts w:ascii="Times New Roman" w:cs="Times New Roman" w:eastAsia="Times New Roman" w:hAnsi="Times New Roman"/>
          <w:sz w:val="18"/>
          <w:szCs w:val="18"/>
          <w:color w:val="auto"/>
        </w:rPr>
        <w:t>”) is in material breach of any of its obligations under this Agreement, then the Non-Breaching Party may deliver written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2"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292215" cy="8890"/>
                    </a:xfrm>
                    <a:prstGeom prst="rect">
                      <a:avLst/>
                    </a:prstGeom>
                    <a:noFill/>
                  </pic:spPr>
                </pic:pic>
              </a:graphicData>
            </a:graphic>
          </wp:anchor>
        </w:drawing>
        <w:t>such material breach to the Breaching Party specifying the nature of the breach (a “</w:t>
      </w:r>
      <w:r>
        <w:rPr>
          <w:rFonts w:ascii="Times New Roman" w:cs="Times New Roman" w:eastAsia="Times New Roman" w:hAnsi="Times New Roman"/>
          <w:sz w:val="18"/>
          <w:szCs w:val="18"/>
          <w:b w:val="1"/>
          <w:bCs w:val="1"/>
          <w:color w:val="auto"/>
        </w:rPr>
        <w:t>Default Notice</w:t>
      </w:r>
      <w:r>
        <w:rPr>
          <w:rFonts w:ascii="Times New Roman" w:cs="Times New Roman" w:eastAsia="Times New Roman" w:hAnsi="Times New Roman"/>
          <w:sz w:val="18"/>
          <w:szCs w:val="18"/>
          <w:color w:val="auto"/>
        </w:rPr>
        <w:t>”). The Breaching Party shall have</w:t>
      </w:r>
    </w:p>
    <w:p>
      <w:pPr>
        <w:spacing w:after="0" w:line="31" w:lineRule="exact"/>
        <w:rPr>
          <w:sz w:val="20"/>
          <w:szCs w:val="20"/>
          <w:color w:val="auto"/>
        </w:rPr>
      </w:pPr>
    </w:p>
    <w:p>
      <w:pPr>
        <w:jc w:val="both"/>
        <w:ind w:firstLine="8"/>
        <w:spacing w:after="0" w:line="253" w:lineRule="auto"/>
        <w:tabs>
          <w:tab w:leader="none" w:pos="43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 in the event of a payment breach by ArriVent) from the receipt of the Default Notice to cure such breach or to dispute the allegation of breach. If the Breaching Party fails to cure, and fails to dispute, such breach within such [***] (or [***] in the event of a payment breach by ArriVent), then the Non-Breaching Party may terminate this Agreement by giving the Breaching Party written notice of termination, which termination shall be effective immediately upon the Breaching Party’s receipt of such notice of termination. Any disputed breach will be resolved in accordance with Article 14 and this Agreement will remain in effect until such resolution.</w:t>
      </w:r>
    </w:p>
    <w:p>
      <w:pPr>
        <w:spacing w:after="0" w:line="15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13.2.3 Termination for Bankruptcy, Insolvency or Similar Event. </w:t>
      </w:r>
      <w:r>
        <w:rPr>
          <w:rFonts w:ascii="Times New Roman" w:cs="Times New Roman" w:eastAsia="Times New Roman" w:hAnsi="Times New Roman"/>
          <w:sz w:val="18"/>
          <w:szCs w:val="18"/>
          <w:color w:val="auto"/>
        </w:rPr>
        <w:t>If either Party (a) files for or becomes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whether voluntarily or involuntarily, of any bankruptcy, insolvency, receivership or similar proceeding, and, in the event of an involuntary case under the bankruptcy code, such case is not dismissed within [***] following the commencement thereof; (b) makes an assignment for the benefit of creditors; (c) appoints or suffers appointment of a receiver or trustee over substantially all of its property;</w:t>
      </w:r>
    </w:p>
    <w:p>
      <w:pPr>
        <w:spacing w:after="0" w:line="3" w:lineRule="exact"/>
        <w:rPr>
          <w:sz w:val="20"/>
          <w:szCs w:val="20"/>
          <w:color w:val="auto"/>
        </w:rPr>
      </w:pPr>
    </w:p>
    <w:p>
      <w:pPr>
        <w:jc w:val="both"/>
        <w:ind w:firstLine="8"/>
        <w:spacing w:after="0" w:line="251" w:lineRule="auto"/>
        <w:tabs>
          <w:tab w:leader="none" w:pos="2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proposes a written agreement of composition, arrangement, readjustment or extension of its large debts reasonably considered as financial inability or otherwise admits in writing its inability to meet its obligations as they fall due in the general course; or (e) becomes subject to a warrant of attachment, execution, or distraint or similar process against substantially all of its property, then the opposing Party may terminate this Agreement, effective immediately upon written notice to the other Parties. To the extent fully permitted by the PRC Applicable Laws, (y) all rights and licenses granted under or pursuant to this Agreement by Alphamab to ArriVent are, and will otherwise be deemed to be, for purposes of Section 365(n) of the U.S. Bankruptcy Code or comparable provision of applicable bankruptcy or insolvency laws, licenses of right to “intellectual property” as defined under Section 101 of the U.S. Bankruptcy Code or comparable provision of applicable bankruptcy or insolvency laws, and (z) ArriVent will retain and may fully exercise all of its rights and elections under the U.S. Bankruptcy Code or comparable provision of applicable bankruptcy or insolvency laws.</w:t>
      </w:r>
    </w:p>
    <w:p>
      <w:pPr>
        <w:spacing w:after="0" w:line="14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13.2.4 Termination for Patent Challenge</w:t>
      </w:r>
      <w:r>
        <w:rPr>
          <w:rFonts w:ascii="Times New Roman" w:cs="Times New Roman" w:eastAsia="Times New Roman" w:hAnsi="Times New Roman"/>
          <w:sz w:val="18"/>
          <w:szCs w:val="18"/>
          <w:color w:val="auto"/>
        </w:rPr>
        <w:t>. If ArriVent or any of its Affiliates, subcontractors, Sublicensees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challenge, or otherwise aides any Third Party to challenge, any claim in an Alphamab Patent as invalid, unenforceable or otherwise not patentable or as not being infringed by ArriVent’s activities absent the rights and licenses granted hereunder, then Alphamab shall have the right to terminate this Agreement by giving ArriVent written notice of termination, which termination shall be effective immediately upon ArriVent’s receipt of such notice of termination.</w:t>
      </w:r>
    </w:p>
    <w:p>
      <w:pPr>
        <w:spacing w:after="0" w:line="13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13.2.5 Development Delay. </w:t>
      </w:r>
      <w:r>
        <w:rPr>
          <w:rFonts w:ascii="Times New Roman" w:cs="Times New Roman" w:eastAsia="Times New Roman" w:hAnsi="Times New Roman"/>
          <w:sz w:val="18"/>
          <w:szCs w:val="18"/>
          <w:color w:val="auto"/>
        </w:rPr>
        <w:t>Within [***] after obtaining IND approval, if ArriVent does not achieve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 enrollment in a Clinical Trial, or ceases the Development of Product in the ArriVent Territory, except where such cessation or failure is a consequence of delay or failure of supply of Product by Alphamab, action by a Regulatory Authority, any act or omission by or on behalf of Alphamab, or such other circumstance not under the reasonable control of ArriVent, ArriVent will be deemed to have failed to use Commercially Reasonable Efforts to Develop such Product. Upon request, ArriVent shall provide an explanation for the detailed reason and the efforts that ArriVent has made, together with the supporting documents reasonably requested by Alphamab to substantiate the foregoing. If ArriVent fails to make such explanation and Parties cannot reach into agreement for the further implementation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32" w:right="99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292215" cy="8890"/>
                    </a:xfrm>
                    <a:prstGeom prst="rect">
                      <a:avLst/>
                    </a:prstGeom>
                    <a:noFill/>
                  </pic:spPr>
                </pic:pic>
              </a:graphicData>
            </a:graphic>
          </wp:anchor>
        </w:drawing>
        <w:t>Development Plan, Alphamab has the right to terminate the Agreement on a Product-by-Product (or Program-by-Program) and region-by-region basis in accordance with Article 13.2.2.</w:t>
      </w:r>
    </w:p>
    <w:p>
      <w:pPr>
        <w:spacing w:after="0" w:line="1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b w:val="1"/>
          <w:bCs w:val="1"/>
          <w:color w:val="auto"/>
        </w:rPr>
        <w:t>Effects of Termination</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13.3.1 License. </w:t>
      </w:r>
      <w:r>
        <w:rPr>
          <w:rFonts w:ascii="Times New Roman" w:cs="Times New Roman" w:eastAsia="Times New Roman" w:hAnsi="Times New Roman"/>
          <w:sz w:val="18"/>
          <w:szCs w:val="18"/>
          <w:color w:val="auto"/>
        </w:rPr>
        <w:t>If this Agreement is terminated for any reason, all rights and licenses granted by Alphamab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ArriVent, shall automatically terminate, on country-by-country and Product-by-Product basis, as of the effective date of termination. Each Party shall promptly return all Confidential Information to the providing Party in accordance with any agreed upon transition plan pursuant to Article 13.3.3.</w:t>
      </w:r>
    </w:p>
    <w:p>
      <w:pPr>
        <w:spacing w:after="0" w:line="13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13.3.2 Sublicensees</w:t>
      </w:r>
      <w:r>
        <w:rPr>
          <w:rFonts w:ascii="Times New Roman" w:cs="Times New Roman" w:eastAsia="Times New Roman" w:hAnsi="Times New Roman"/>
          <w:sz w:val="18"/>
          <w:szCs w:val="18"/>
          <w:color w:val="auto"/>
        </w:rPr>
        <w:t>. Upon termination of the Agreement for any reason, with the prior written consent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Alphamab, all Sublicensees will have the option to retain their Sublicenses, provided that the Sublicensee in question is in compliance with its Sublicense. Upon election by a Sublicensee, ArriVent will assign the Sublicenses to Alphamab in accordance with any agreed upon transition plan pursuant to Article 13.3.3.</w:t>
      </w:r>
    </w:p>
    <w:p>
      <w:pPr>
        <w:spacing w:after="0" w:line="136"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13.3.3</w:t>
      </w:r>
      <w:r>
        <w:rPr>
          <w:sz w:val="20"/>
          <w:szCs w:val="20"/>
          <w:color w:val="auto"/>
        </w:rPr>
        <w:tab/>
      </w:r>
      <w:r>
        <w:rPr>
          <w:rFonts w:ascii="Times New Roman" w:cs="Times New Roman" w:eastAsia="Times New Roman" w:hAnsi="Times New Roman"/>
          <w:sz w:val="17"/>
          <w:szCs w:val="17"/>
          <w:b w:val="1"/>
          <w:bCs w:val="1"/>
          <w:color w:val="auto"/>
        </w:rPr>
        <w:t>Transition Plan.</w:t>
      </w:r>
    </w:p>
    <w:p>
      <w:pPr>
        <w:spacing w:after="0" w:line="202" w:lineRule="exact"/>
        <w:rPr>
          <w:sz w:val="20"/>
          <w:szCs w:val="20"/>
          <w:color w:val="auto"/>
        </w:rPr>
      </w:pPr>
    </w:p>
    <w:p>
      <w:pPr>
        <w:jc w:val="both"/>
        <w:ind w:firstLine="1952"/>
        <w:spacing w:after="0" w:line="256" w:lineRule="auto"/>
        <w:tabs>
          <w:tab w:leader="none" w:pos="25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ArriVent terminates this Agreement with respect to any Compound in all countries of the ArriVent Territory pursuant to Article 13.2.1 or Alphamab terminates this Agreement pursuant to Article 5.5 or 13.2.4, ArriVent will promptly assign to Alphamab, at ArriVent’s cost, all of its rights in and to the Clinical Trials, Regulatory Filings, Regulatory Approvals (including MAH of the Product), ArriVent’s New IP, Joint New Patents, Joint New IP Controlled by ArriVent that are exclusively related to such Compound or necessary for the further Development and Commercialization of the Compound and applicable Products. ArriVent will reasonably cooperate with Alphamab to transition the terminated Compound to Alphamab.</w:t>
      </w:r>
    </w:p>
    <w:p>
      <w:pPr>
        <w:spacing w:after="0" w:line="146" w:lineRule="exact"/>
        <w:rPr>
          <w:rFonts w:ascii="Times New Roman" w:cs="Times New Roman" w:eastAsia="Times New Roman" w:hAnsi="Times New Roman"/>
          <w:sz w:val="18"/>
          <w:szCs w:val="18"/>
          <w:color w:val="auto"/>
        </w:rPr>
      </w:pPr>
    </w:p>
    <w:p>
      <w:pPr>
        <w:jc w:val="both"/>
        <w:ind w:firstLine="1952"/>
        <w:spacing w:after="0" w:line="255" w:lineRule="auto"/>
        <w:tabs>
          <w:tab w:leader="none" w:pos="25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other than as addressed in Article 13.3.3(a), at Alphamab’ written request and subject to Applicable Laws, for a period of [***] beginning on the date that notice of termination is provided to a Party, the Parties shall negotiate a transition plan, to address commercial sales upon termination and corresponding royalty payment, the transfer of ArriVent’s right, title, and interest in and to all Clinical Trials, Regulatory Filings, Regulatory Approvals (including MAH of the Product), Data, Joint New Patents, Joint New IP and other documents and materials that relates to the Products that are in the Control of ArriVent and are necessary or reasonably useful for Alphamab or any of their respective Affiliates, subcontractors or Sublicensees to Develop or Commercialize the Products in the Territory of worldwide in the Field on a country-by-country and Product-by-Product basis.</w:t>
      </w:r>
    </w:p>
    <w:p>
      <w:pPr>
        <w:spacing w:after="0" w:line="1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13.4.1 Accrued Rights; Remedies</w:t>
      </w:r>
      <w:r>
        <w:rPr>
          <w:rFonts w:ascii="Times New Roman" w:cs="Times New Roman" w:eastAsia="Times New Roman" w:hAnsi="Times New Roman"/>
          <w:sz w:val="18"/>
          <w:szCs w:val="18"/>
          <w:color w:val="auto"/>
        </w:rPr>
        <w:t>. Termination, relinquishment or expiration of this Agreement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without prejudice to any rights that will have accrued to the benefit of any Party prior to such termination, relinquishment or expiration, including the payment obligations under Article 8 hereof, and any and all damages or remedies (whether in law or in equity) arising from any breach hereunder. Such termination, relinquishment or expiration shall not relieve any Party from obligations which are expressly indicated to survive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66" w:name="page67"/>
    <w:bookmarkEnd w:id="6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292215" cy="8890"/>
                    </a:xfrm>
                    <a:prstGeom prst="rect">
                      <a:avLst/>
                    </a:prstGeom>
                    <a:noFill/>
                  </pic:spPr>
                </pic:pic>
              </a:graphicData>
            </a:graphic>
          </wp:anchor>
        </w:drawing>
        <w:t>of this Agreement. Except as otherwise expressly set forth in this Agreement, the termination provisions of this Article 13 are in addition to any other relief and remedies available to either Party under this Agreement and Applicable Law.</w:t>
      </w:r>
    </w:p>
    <w:p>
      <w:pPr>
        <w:spacing w:after="0" w:line="13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13.4.2 </w:t>
      </w:r>
      <w:r>
        <w:rPr>
          <w:rFonts w:ascii="Times New Roman" w:cs="Times New Roman" w:eastAsia="Times New Roman" w:hAnsi="Times New Roman"/>
          <w:sz w:val="18"/>
          <w:szCs w:val="18"/>
          <w:color w:val="auto"/>
        </w:rPr>
        <w:t>The rights and obligations of the Parties set forth in the following provisions shall survive the expiration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this Agreement for any reason, in addition to those other terms and conditions that are expressly stated to survive termination or expiration of this Agreement: Article 1 and Exhibit 1 (DEFINITIONS), Article 8.7, Article 8.10, Article 8.11, Article 9.2.2, Article 10, Article 11, Article 13, Article 14 and Article 15.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 DISPUTE RESOLUTION</w:t>
      </w:r>
    </w:p>
    <w:p>
      <w:pPr>
        <w:spacing w:after="0" w:line="185" w:lineRule="exact"/>
        <w:rPr>
          <w:sz w:val="20"/>
          <w:szCs w:val="20"/>
          <w:color w:val="auto"/>
        </w:rPr>
      </w:pPr>
    </w:p>
    <w:p>
      <w:pPr>
        <w:jc w:val="both"/>
        <w:ind w:left="640" w:right="20" w:hanging="634"/>
        <w:spacing w:after="0" w:line="28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Singapore law, excluding its conflict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laws rules.</w:t>
      </w:r>
    </w:p>
    <w:p>
      <w:pPr>
        <w:spacing w:after="0" w:line="114" w:lineRule="exact"/>
        <w:rPr>
          <w:sz w:val="20"/>
          <w:szCs w:val="20"/>
          <w:color w:val="auto"/>
        </w:rPr>
      </w:pPr>
    </w:p>
    <w:p>
      <w:pPr>
        <w:jc w:val="both"/>
        <w:ind w:left="640" w:hanging="634"/>
        <w:spacing w:after="0" w:line="25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8"/>
          <w:szCs w:val="18"/>
          <w:b w:val="1"/>
          <w:bCs w:val="1"/>
          <w:color w:val="auto"/>
        </w:rPr>
        <w:t xml:space="preserve">Binding Arbitration. </w:t>
      </w:r>
      <w:r>
        <w:rPr>
          <w:rFonts w:ascii="Times New Roman" w:cs="Times New Roman" w:eastAsia="Times New Roman" w:hAnsi="Times New Roman"/>
          <w:sz w:val="18"/>
          <w:szCs w:val="18"/>
          <w:color w:val="auto"/>
        </w:rPr>
        <w:t>In the event of any dispute between the Parties arising out of or relating to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Ancillary Agreement, including the breach, termination or validity thereof, the Parties shall try to settle the problem amicably between themselves. If Parties fail to agree to a resolution within a period of [***], either Party may submit the matter in dispute to Singapore International Arbitration Centre (SIAC) for arbitration in accordance with its arbitration rules in effect at the time of applying for the arbitration. The arbitration shall be seated in Singapore. The arbitration shall be conducted in the English language. The arbitration shall be conducted by three (3) arbitrators. Parties shall each appoint one arbitrator, and the appointed two arbitrators shall jointly select the third arbitrator. Unless otherwise agreed by the Parties, discovery will be limited such that the decision of the arbitrators will be issued within [***] or fewer of the appointment of the third arbitrator. Unless otherwise awarded by the arbitration tribunal, the costs of arbitration shall be borne equally by both Parties. The award of the arbitrators shall be the sole and exclusive remedy of the Parties (except for those remedies set forth in this Agreement), the Parties hereby expressly agree to waive the right to appeal from the decisions of the arbitrators, and there shall be no appeal to any court or other authority (government or private) from the decision of the arbitrators. Judgment on the award rendered by the arbitrators may be enforced in any court having competent jurisdiction thereof, subject only to revocation on grounds of fraud or clear bias on the part of the arbitrators.</w:t>
      </w:r>
    </w:p>
    <w:p>
      <w:pPr>
        <w:spacing w:after="0" w:line="145" w:lineRule="exact"/>
        <w:rPr>
          <w:sz w:val="20"/>
          <w:szCs w:val="20"/>
          <w:color w:val="auto"/>
        </w:rPr>
      </w:pPr>
    </w:p>
    <w:p>
      <w:pPr>
        <w:jc w:val="both"/>
        <w:ind w:left="640" w:right="20" w:hanging="634"/>
        <w:spacing w:after="0" w:line="26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8"/>
          <w:szCs w:val="18"/>
          <w:b w:val="1"/>
          <w:bCs w:val="1"/>
          <w:color w:val="auto"/>
        </w:rPr>
        <w:t>Provisional Relief</w:t>
      </w:r>
      <w:r>
        <w:rPr>
          <w:rFonts w:ascii="Times New Roman" w:cs="Times New Roman" w:eastAsia="Times New Roman" w:hAnsi="Times New Roman"/>
          <w:sz w:val="18"/>
          <w:szCs w:val="18"/>
          <w:color w:val="auto"/>
        </w:rPr>
        <w:t>. Without otherwise limiting the requirements imposed by this Article 14, a Party may seek from any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any interim or provisional relief that may be necessary to protect its interests hereunder, including specific performance or injunctive or other equitable relief as a remedy for a breach or threatened breach of Article 11 (Confidentiality), pending the resolution of any dispute in accordance with this Article 14.</w:t>
      </w:r>
    </w:p>
    <w:p>
      <w:pPr>
        <w:spacing w:after="0" w:line="136" w:lineRule="exact"/>
        <w:rPr>
          <w:sz w:val="20"/>
          <w:szCs w:val="20"/>
          <w:color w:val="auto"/>
        </w:rPr>
      </w:pPr>
    </w:p>
    <w:p>
      <w:pPr>
        <w:jc w:val="both"/>
        <w:ind w:left="640" w:hanging="634"/>
        <w:spacing w:after="0" w:line="28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8"/>
          <w:szCs w:val="18"/>
          <w:b w:val="1"/>
          <w:bCs w:val="1"/>
          <w:color w:val="auto"/>
        </w:rPr>
        <w:t xml:space="preserve">Service. </w:t>
      </w:r>
      <w:r>
        <w:rPr>
          <w:rFonts w:ascii="Times New Roman" w:cs="Times New Roman" w:eastAsia="Times New Roman" w:hAnsi="Times New Roman"/>
          <w:sz w:val="18"/>
          <w:szCs w:val="18"/>
          <w:color w:val="auto"/>
        </w:rPr>
        <w:t>Each Party further agrees that service of any process, summons, notice or document by registered mail to its address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Article 15.2 shall be effective service of process for any arbitration proceeding brought against it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67" w:name="page68"/>
    <w:bookmarkEnd w:id="67"/>
    <w:p>
      <w:pPr>
        <w:jc w:val="both"/>
        <w:ind w:left="632" w:hanging="634"/>
        <w:spacing w:after="0" w:line="255"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292215" cy="8890"/>
                    </a:xfrm>
                    <a:prstGeom prst="rect">
                      <a:avLst/>
                    </a:prstGeom>
                    <a:noFill/>
                  </pic:spPr>
                </pic:pic>
              </a:graphicData>
            </a:graphic>
          </wp:anchor>
        </w:drawing>
        <w:t>14.5</w:t>
      </w:r>
      <w:r>
        <w:rPr>
          <w:sz w:val="20"/>
          <w:szCs w:val="20"/>
          <w:color w:val="auto"/>
        </w:rPr>
        <w:tab/>
      </w: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The Parties agree that all negotiations pursuant to Article 14.2 will be confidential and shall be treated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compromise and settlement negotiations for purposes of applicable rules of evidence. The Parties further agree that the arbitration shall be kept confidential and that the existence of the arbitration proceeding and any element of it (including but not limited to any pleadings, briefs or other documents submitted or exchanged, any testimony or other oral submissions, and any awards) shall not be disclosed beyond the tribunal, the SAIC, the Parties, their counsel, accountants and auditors, insurers and re-insurers, and any person or entity necessary to the conduct of the proceeding. The confidentiality obligations in this Article 14.5 shall not apply (a) if disclosure is required by law, or in judicial or administrative proceedings, or (b) as far as disclosure is necessary to enforce the rights arising out of the arbitration award.</w:t>
      </w:r>
    </w:p>
    <w:p>
      <w:pPr>
        <w:spacing w:after="0" w:line="144" w:lineRule="exact"/>
        <w:rPr>
          <w:sz w:val="20"/>
          <w:szCs w:val="20"/>
          <w:color w:val="auto"/>
        </w:rPr>
      </w:pPr>
    </w:p>
    <w:p>
      <w:pPr>
        <w:jc w:val="both"/>
        <w:ind w:left="632" w:hanging="634"/>
        <w:spacing w:after="0" w:line="262"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8"/>
          <w:szCs w:val="18"/>
          <w:b w:val="1"/>
          <w:bCs w:val="1"/>
          <w:color w:val="auto"/>
        </w:rPr>
        <w:t>Excluded Claim</w:t>
      </w:r>
      <w:r>
        <w:rPr>
          <w:rFonts w:ascii="Times New Roman" w:cs="Times New Roman" w:eastAsia="Times New Roman" w:hAnsi="Times New Roman"/>
          <w:sz w:val="18"/>
          <w:szCs w:val="18"/>
          <w:color w:val="auto"/>
        </w:rPr>
        <w:t>. For the purpose of this Agreement, “</w:t>
      </w:r>
      <w:r>
        <w:rPr>
          <w:rFonts w:ascii="Times New Roman" w:cs="Times New Roman" w:eastAsia="Times New Roman" w:hAnsi="Times New Roman"/>
          <w:sz w:val="18"/>
          <w:szCs w:val="18"/>
          <w:b w:val="1"/>
          <w:bCs w:val="1"/>
          <w:color w:val="auto"/>
        </w:rPr>
        <w:t>Excluded Claim</w:t>
      </w:r>
      <w:r>
        <w:rPr>
          <w:rFonts w:ascii="Times New Roman" w:cs="Times New Roman" w:eastAsia="Times New Roman" w:hAnsi="Times New Roman"/>
          <w:sz w:val="18"/>
          <w:szCs w:val="18"/>
          <w:color w:val="auto"/>
        </w:rPr>
        <w:t>” shall mean a (a) any dispute concerning a matter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subject to either Party’s final decision-making authority or final approval, as expressly set forth in this Agreement; or (b) that concerns the scope, validity, enforceability, inventorship or infringement of an Intellectual Property Right. Any Excluded Claim pursuant 14.6(b) shall be submitted to a competent court.</w:t>
      </w:r>
    </w:p>
    <w:p>
      <w:pPr>
        <w:spacing w:after="0" w:line="13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ARTICLE 15 MISCELLANEOUS</w:t>
      </w:r>
    </w:p>
    <w:p>
      <w:pPr>
        <w:spacing w:after="0" w:line="198" w:lineRule="exact"/>
        <w:rPr>
          <w:sz w:val="20"/>
          <w:szCs w:val="20"/>
          <w:color w:val="auto"/>
        </w:rPr>
      </w:pPr>
    </w:p>
    <w:p>
      <w:pPr>
        <w:jc w:val="both"/>
        <w:ind w:left="632" w:hanging="634"/>
        <w:spacing w:after="0" w:line="259"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The Parties hereby expressly state that neither Party intends to violate any Applicable Law. If any provision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in violation of Applicable Law it shall be invalid and unenforceable to the extent of such violation, without affecting the validity or enforceability of other provisions of this Agreement. The Parties agree to renegotiate such provision in good faith and, to the extent possible, to replace it with valid and enforceable provisions in such a way as to reflect as nearly as possible the intent and purpose of the original provision.</w:t>
      </w:r>
    </w:p>
    <w:p>
      <w:pPr>
        <w:spacing w:after="0" w:line="139" w:lineRule="exact"/>
        <w:rPr>
          <w:sz w:val="20"/>
          <w:szCs w:val="20"/>
          <w:color w:val="auto"/>
        </w:rPr>
      </w:pPr>
    </w:p>
    <w:p>
      <w:pPr>
        <w:jc w:val="both"/>
        <w:ind w:left="632" w:hanging="634"/>
        <w:spacing w:after="0" w:line="263"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 request, demand, waiver, consent, approval, or other communication permitted or required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in writing, shall refer specifically to this Agreement and shall be deemed given only if (a) delivered by hand,</w:t>
      </w:r>
    </w:p>
    <w:p>
      <w:pPr>
        <w:spacing w:after="0" w:line="1" w:lineRule="exact"/>
        <w:rPr>
          <w:sz w:val="20"/>
          <w:szCs w:val="20"/>
          <w:color w:val="auto"/>
        </w:rPr>
      </w:pPr>
    </w:p>
    <w:p>
      <w:pPr>
        <w:jc w:val="both"/>
        <w:ind w:left="632" w:firstLine="3"/>
        <w:spacing w:after="0" w:line="252" w:lineRule="auto"/>
        <w:tabs>
          <w:tab w:leader="none" w:pos="89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internationally recognized overnight delivery service that maintains records of delivery, addressed to the Parties at their respective addresses specified below or (c) by email at the email addresses specified below. A Party may change its address for notice by providing notice of such other address to the other Parties in accordance with this Article 15.2. Such notice shall be deemed to have been given as of the date delivered by hand, on the second Business Day (at the place of delivery) after deposit with an internationally recognized overnight delivery service, or upon receipt of an email reply by the email recipient. This Article 15.2 is not intended to govern the day-to-day business communications necessary between the Parties in performing their obligations under the terms of this Agreement.</w:t>
      </w:r>
    </w:p>
    <w:p>
      <w:pPr>
        <w:spacing w:after="0" w:line="144"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b w:val="1"/>
          <w:bCs w:val="1"/>
          <w:color w:val="auto"/>
        </w:rPr>
        <w:t>If to Alphamab:</w:t>
      </w:r>
    </w:p>
    <w:p>
      <w:pPr>
        <w:spacing w:after="0" w:line="31"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Jiangsu Alphamab Biopharmaceuticals Co., Ltd.,</w:t>
      </w:r>
    </w:p>
    <w:p>
      <w:pPr>
        <w:spacing w:after="0" w:line="9" w:lineRule="exact"/>
        <w:rPr>
          <w:sz w:val="20"/>
          <w:szCs w:val="20"/>
          <w:color w:val="auto"/>
        </w:rPr>
      </w:pPr>
    </w:p>
    <w:p>
      <w:pPr>
        <w:ind w:left="1392"/>
        <w:spacing w:after="0" w:line="219" w:lineRule="exact"/>
        <w:rPr>
          <w:sz w:val="20"/>
          <w:szCs w:val="20"/>
          <w:color w:val="auto"/>
        </w:rPr>
      </w:pPr>
      <w:r>
        <w:rPr>
          <w:rFonts w:ascii="Times New Roman" w:cs="Times New Roman" w:eastAsia="Times New Roman" w:hAnsi="Times New Roman"/>
          <w:sz w:val="18"/>
          <w:szCs w:val="18"/>
          <w:color w:val="auto"/>
        </w:rPr>
        <w:t>(</w:t>
      </w:r>
      <w:r>
        <w:rPr>
          <w:rFonts w:ascii="SimSun" w:cs="SimSun" w:eastAsia="SimSun" w:hAnsi="SimSun"/>
          <w:sz w:val="18"/>
          <w:szCs w:val="18"/>
          <w:color w:val="auto"/>
        </w:rPr>
        <w:t>江苏康宁杰瑞生物制药有限公司</w:t>
      </w:r>
      <w:r>
        <w:rPr>
          <w:rFonts w:ascii="Times New Roman" w:cs="Times New Roman" w:eastAsia="Times New Roman" w:hAnsi="Times New Roman"/>
          <w:sz w:val="18"/>
          <w:szCs w:val="18"/>
          <w:color w:val="auto"/>
        </w:rPr>
        <w:t>)</w:t>
      </w:r>
    </w:p>
    <w:p>
      <w:pPr>
        <w:spacing w:after="0" w:line="11"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No. 175, Fangzhou Road, Suzhou</w:t>
      </w:r>
    </w:p>
    <w:p>
      <w:pPr>
        <w:spacing w:after="0" w:line="23"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Industrial Park, Jiangsu,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 xml:space="preserve">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left="-8" w:firstLine="8"/>
        <w:spacing w:after="0" w:line="264" w:lineRule="auto"/>
        <w:tabs>
          <w:tab w:leader="none" w:pos="349" w:val="left"/>
        </w:tabs>
        <w:numPr>
          <w:ilvl w:val="0"/>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332" w:right="999" w:bottom="1440" w:gutter="0" w:footer="0" w:header="0"/>
        </w:sectPr>
      </w:pPr>
    </w:p>
    <w:bookmarkStart w:id="68" w:name="page69"/>
    <w:bookmarkEnd w:id="68"/>
    <w:p>
      <w:pPr>
        <w:ind w:left="139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292215" cy="8890"/>
                    </a:xfrm>
                    <a:prstGeom prst="rect">
                      <a:avLst/>
                    </a:prstGeom>
                    <a:noFill/>
                  </pic:spPr>
                </pic:pic>
              </a:graphicData>
            </a:graphic>
          </wp:anchor>
        </w:drawing>
        <w:t>Attention: [***]</w:t>
      </w:r>
    </w:p>
    <w:p>
      <w:pPr>
        <w:spacing w:after="0" w:line="27"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Email: [***]</w:t>
      </w:r>
    </w:p>
    <w:p>
      <w:pPr>
        <w:spacing w:after="0" w:line="180"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Jiangsu Alphamab Biopharmaceuticals Co.,</w:t>
      </w:r>
    </w:p>
    <w:p>
      <w:pPr>
        <w:spacing w:after="0" w:line="9"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Ltd.,</w:t>
      </w:r>
    </w:p>
    <w:p>
      <w:pPr>
        <w:spacing w:after="0" w:line="9" w:lineRule="exact"/>
        <w:rPr>
          <w:sz w:val="20"/>
          <w:szCs w:val="20"/>
          <w:color w:val="auto"/>
        </w:rPr>
      </w:pPr>
    </w:p>
    <w:p>
      <w:pPr>
        <w:ind w:left="1392"/>
        <w:spacing w:after="0" w:line="219" w:lineRule="exact"/>
        <w:rPr>
          <w:sz w:val="20"/>
          <w:szCs w:val="20"/>
          <w:color w:val="auto"/>
        </w:rPr>
      </w:pPr>
      <w:r>
        <w:rPr>
          <w:rFonts w:ascii="Times New Roman" w:cs="Times New Roman" w:eastAsia="Times New Roman" w:hAnsi="Times New Roman"/>
          <w:sz w:val="18"/>
          <w:szCs w:val="18"/>
          <w:color w:val="auto"/>
        </w:rPr>
        <w:t>(</w:t>
      </w:r>
      <w:r>
        <w:rPr>
          <w:rFonts w:ascii="SimSun" w:cs="SimSun" w:eastAsia="SimSun" w:hAnsi="SimSun"/>
          <w:sz w:val="18"/>
          <w:szCs w:val="18"/>
          <w:color w:val="auto"/>
        </w:rPr>
        <w:t>江苏康宁杰瑞生物制药有限公司</w:t>
      </w:r>
      <w:r>
        <w:rPr>
          <w:rFonts w:ascii="Times New Roman" w:cs="Times New Roman" w:eastAsia="Times New Roman" w:hAnsi="Times New Roman"/>
          <w:sz w:val="18"/>
          <w:szCs w:val="18"/>
          <w:color w:val="auto"/>
        </w:rPr>
        <w:t>)</w:t>
      </w:r>
    </w:p>
    <w:p>
      <w:pPr>
        <w:spacing w:after="0" w:line="11"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No. 175, Fangzhou Road, Suzhou Industrial</w:t>
      </w:r>
    </w:p>
    <w:p>
      <w:pPr>
        <w:spacing w:after="0" w:line="23"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Park, Jiangsu, China</w:t>
      </w:r>
    </w:p>
    <w:p>
      <w:pPr>
        <w:spacing w:after="0" w:line="9"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162"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b w:val="1"/>
          <w:bCs w:val="1"/>
          <w:color w:val="auto"/>
        </w:rPr>
        <w:t>If to ArriVent:</w:t>
      </w:r>
    </w:p>
    <w:p>
      <w:pPr>
        <w:spacing w:after="0" w:line="31"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9"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18 Campus Blvd.,</w:t>
      </w:r>
    </w:p>
    <w:p>
      <w:pPr>
        <w:spacing w:after="0" w:line="9"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Suite 100</w:t>
      </w:r>
    </w:p>
    <w:p>
      <w:pPr>
        <w:spacing w:after="0" w:line="9"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Newtown Square, PA 19073-3269</w:t>
      </w:r>
    </w:p>
    <w:p>
      <w:pPr>
        <w:spacing w:after="0" w:line="9"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Email: [***]</w:t>
      </w:r>
    </w:p>
    <w:p>
      <w:pPr>
        <w:spacing w:after="0" w:line="166"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With copies to:</w:t>
      </w:r>
    </w:p>
    <w:p>
      <w:pPr>
        <w:spacing w:after="0" w:line="27"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9"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Attn: Legal</w:t>
      </w:r>
    </w:p>
    <w:p>
      <w:pPr>
        <w:spacing w:after="0" w:line="9"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18"/>
          <w:szCs w:val="18"/>
          <w:color w:val="auto"/>
        </w:rPr>
        <w:t>Email: [***]</w:t>
      </w:r>
    </w:p>
    <w:p>
      <w:pPr>
        <w:spacing w:after="0" w:line="176" w:lineRule="exact"/>
        <w:rPr>
          <w:sz w:val="20"/>
          <w:szCs w:val="20"/>
          <w:color w:val="auto"/>
        </w:rPr>
      </w:pPr>
    </w:p>
    <w:p>
      <w:pPr>
        <w:jc w:val="both"/>
        <w:ind w:left="632" w:hanging="634"/>
        <w:spacing w:after="0" w:line="254"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Neither Party shall be held liable or responsible to the other Parties or be deemed to have defaulted 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breached this Agreement for failure or delay in fulfilling or performing any term of this Agreement when such failure or delay is caused by or results from events beyond the reasonable control of the non-performing Party, including floods, earthquakes, hurricanes, embargoes, epidemics, pandemics, quarantines, war, acts of war (whether war be declared or not), terrorist acts, insurrections, riots, civil commotion, acts of God or acts, omissions or delays in acting by any governmental authority (except to the extent such delay results from the breach by the non-performing Party or any of its Affiliates of any term or condition of this Agreement), or such other events that disable the economy and/or banking systems in the relevant jurisdiction. The non-performing Party shall promptly notify the other Party of any force majeure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spacing w:after="0" w:line="142" w:lineRule="exact"/>
        <w:rPr>
          <w:sz w:val="20"/>
          <w:szCs w:val="20"/>
          <w:color w:val="auto"/>
        </w:rPr>
      </w:pPr>
    </w:p>
    <w:p>
      <w:pPr>
        <w:jc w:val="both"/>
        <w:ind w:left="632" w:hanging="634"/>
        <w:spacing w:after="0" w:line="259" w:lineRule="auto"/>
        <w:tabs>
          <w:tab w:leader="none" w:pos="611"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This Agreement shall not be assignable by either Party to any Third Party without the prior written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Party. Notwithstanding the foregoing, either Party may assign this Agreement, without the written consent of the other Party, but with written notice to: (a) an Affiliate, provided that the assignment to such Affiliate does not negatively affect the other Party’s rights under this Agreement and the assigning Party will remain responsible for the performance of the Affiliate assignee; or (b)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 xml:space="preserve">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left="-8" w:firstLine="8"/>
        <w:spacing w:after="0" w:line="264" w:lineRule="auto"/>
        <w:tabs>
          <w:tab w:leader="none" w:pos="349"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12"/>
          </w:cols>
          <w:pgMar w:left="988" w:top="1336" w:right="999" w:bottom="1440" w:gutter="0" w:footer="0" w:header="0"/>
        </w:sectPr>
      </w:pPr>
    </w:p>
    <w:bookmarkStart w:id="69" w:name="page70"/>
    <w:bookmarkEnd w:id="69"/>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292215" cy="8890"/>
                    </a:xfrm>
                    <a:prstGeom prst="rect">
                      <a:avLst/>
                    </a:prstGeom>
                    <a:noFill/>
                  </pic:spPr>
                </pic:pic>
              </a:graphicData>
            </a:graphic>
          </wp:anchor>
        </w:drawing>
        <w:t>a Change of Control to which this Agreement pertains (whether by merger, reorganization, acquisition, sale or otherwise), and in each case that agrees in writing to be bound by the terms and conditions of this Agreement. No assignment or transfer of this Agreement shall be valid and effective unless and until the assignee/transferee agrees in writing to be bound by the provisions of this Agreement. The terms and conditions of this Agreement shall be binding on and inure to the benefit of the permitted successors and assigns of the Parties. Except as expressly provided in this Article 15.4, any attempted assignment or transfer of this Agreement shall be null and void.</w:t>
      </w:r>
    </w:p>
    <w:p>
      <w:pPr>
        <w:spacing w:after="0" w:line="156" w:lineRule="exact"/>
        <w:rPr>
          <w:sz w:val="20"/>
          <w:szCs w:val="20"/>
          <w:color w:val="auto"/>
        </w:rPr>
      </w:pPr>
    </w:p>
    <w:p>
      <w:pPr>
        <w:jc w:val="both"/>
        <w:ind w:left="640" w:hanging="634"/>
        <w:spacing w:after="0" w:line="26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15.5</w:t>
      </w:r>
      <w:r>
        <w:rPr>
          <w:sz w:val="20"/>
          <w:szCs w:val="20"/>
          <w:color w:val="auto"/>
        </w:rPr>
        <w:tab/>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Each Party agrees to do and perform all such further acts and things and shall execute and deliver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agreements, certificates, instruments and documents necessary or that the other Party may deem advisable in order to carry out the intent and accomplish the purposes of this Agreement and to evidence, perfect or otherwise confirm its rights hereunder.</w:t>
      </w:r>
    </w:p>
    <w:p>
      <w:pPr>
        <w:spacing w:after="0" w:line="130"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15.6</w:t>
      </w:r>
      <w:r>
        <w:rPr>
          <w:sz w:val="20"/>
          <w:szCs w:val="20"/>
          <w:color w:val="auto"/>
        </w:rPr>
        <w:tab/>
      </w:r>
      <w:r>
        <w:rPr>
          <w:rFonts w:ascii="Times New Roman" w:cs="Times New Roman" w:eastAsia="Times New Roman" w:hAnsi="Times New Roman"/>
          <w:sz w:val="18"/>
          <w:szCs w:val="18"/>
          <w:b w:val="1"/>
          <w:bCs w:val="1"/>
          <w:color w:val="auto"/>
        </w:rPr>
        <w:t>Waivers</w:t>
      </w:r>
      <w:r>
        <w:rPr>
          <w:rFonts w:ascii="Times New Roman" w:cs="Times New Roman" w:eastAsia="Times New Roman" w:hAnsi="Times New Roman"/>
          <w:sz w:val="18"/>
          <w:szCs w:val="18"/>
          <w:color w:val="auto"/>
        </w:rPr>
        <w:t>. Any term or condition of this Agreement may be waived at any time by the Party or Parties that is entitled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thereof, but no such waiver will be effective unless set forth in a written instrument duly executed by or on behalf of the Party or Parties waiving such term or condition. Neither the waiver by any Party of any term or condition of this Agreement nor the failure on the part of any Party, in one or more instances, to enforce any of the provisions of this Agreement or to exercise any right or privilege, will be deemed or construed to be a waiver of such term or condition for any similar instance in the future or of any subsequent breach hereof. All rights, remedies, undertakings, obligations and agreements contained in this Agreement will be cumulative and none of them will be a limitation of any other remedy, right, undertaking, obligation or agreement.</w:t>
      </w:r>
    </w:p>
    <w:p>
      <w:pPr>
        <w:spacing w:after="0" w:line="142"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15.7</w:t>
      </w:r>
      <w:r>
        <w:rPr>
          <w:sz w:val="20"/>
          <w:szCs w:val="20"/>
          <w:color w:val="auto"/>
        </w:rPr>
        <w:tab/>
      </w:r>
      <w:r>
        <w:rPr>
          <w:rFonts w:ascii="Times New Roman" w:cs="Times New Roman" w:eastAsia="Times New Roman" w:hAnsi="Times New Roman"/>
          <w:sz w:val="18"/>
          <w:szCs w:val="18"/>
          <w:b w:val="1"/>
          <w:bCs w:val="1"/>
          <w:color w:val="auto"/>
        </w:rPr>
        <w:t>Independent Contractor</w:t>
      </w:r>
      <w:r>
        <w:rPr>
          <w:rFonts w:ascii="Times New Roman" w:cs="Times New Roman" w:eastAsia="Times New Roman" w:hAnsi="Times New Roman"/>
          <w:sz w:val="18"/>
          <w:szCs w:val="18"/>
          <w:color w:val="auto"/>
        </w:rPr>
        <w:t>. The relationship between the Parties is that of independent contractors. Such Parties are not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venturers, partners, principal and agent, employer and employee, and have no other relationship other than independent contracting parties. Such Parties’ obligations and rights in connection with the subject matter of this Agreement are solely and specifically as set forth in this Agreement, and such Parties acknowledge and agree that neither such Party owes the other any fiduciary or similar duties or obligations by virtue of the relationship created by Agreement.</w:t>
      </w:r>
    </w:p>
    <w:p>
      <w:pPr>
        <w:spacing w:after="0" w:line="139" w:lineRule="exact"/>
        <w:rPr>
          <w:sz w:val="20"/>
          <w:szCs w:val="20"/>
          <w:color w:val="auto"/>
        </w:rPr>
      </w:pPr>
    </w:p>
    <w:p>
      <w:pPr>
        <w:jc w:val="both"/>
        <w:ind w:left="640" w:hanging="634"/>
        <w:spacing w:after="0" w:line="26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15.8</w:t>
      </w:r>
      <w:r>
        <w:rPr>
          <w:sz w:val="20"/>
          <w:szCs w:val="20"/>
          <w:color w:val="auto"/>
        </w:rPr>
        <w:tab/>
      </w:r>
      <w:r>
        <w:rPr>
          <w:rFonts w:ascii="Times New Roman" w:cs="Times New Roman" w:eastAsia="Times New Roman" w:hAnsi="Times New Roman"/>
          <w:sz w:val="18"/>
          <w:szCs w:val="18"/>
          <w:b w:val="1"/>
          <w:bCs w:val="1"/>
          <w:color w:val="auto"/>
        </w:rPr>
        <w:t>Third Party Beneficiaries</w:t>
      </w:r>
      <w:r>
        <w:rPr>
          <w:rFonts w:ascii="Times New Roman" w:cs="Times New Roman" w:eastAsia="Times New Roman" w:hAnsi="Times New Roman"/>
          <w:sz w:val="18"/>
          <w:szCs w:val="18"/>
          <w:color w:val="auto"/>
        </w:rPr>
        <w:t>. Except as provided in Article 15.4, none of the provisions of this Agreement will be for the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enforceable by any Third Party, including any creditor of a Party. No Third Party will obtain any right under any provision of this Agreement or will by reason of any such provision make any claim in respect of any debt, liability or obligation (or otherwise) against a Party.</w:t>
      </w:r>
    </w:p>
    <w:p>
      <w:pPr>
        <w:spacing w:after="0" w:line="136"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15.9</w:t>
      </w:r>
      <w:r>
        <w:rPr>
          <w:sz w:val="20"/>
          <w:szCs w:val="20"/>
          <w:color w:val="auto"/>
        </w:rPr>
        <w:tab/>
      </w:r>
      <w:r>
        <w:rPr>
          <w:rFonts w:ascii="Times New Roman" w:cs="Times New Roman" w:eastAsia="Times New Roman" w:hAnsi="Times New Roman"/>
          <w:sz w:val="18"/>
          <w:szCs w:val="18"/>
          <w:b w:val="1"/>
          <w:bCs w:val="1"/>
          <w:color w:val="auto"/>
        </w:rPr>
        <w:t>Entire Agreement; Amendments</w:t>
      </w:r>
      <w:r>
        <w:rPr>
          <w:rFonts w:ascii="Times New Roman" w:cs="Times New Roman" w:eastAsia="Times New Roman" w:hAnsi="Times New Roman"/>
          <w:sz w:val="18"/>
          <w:szCs w:val="18"/>
          <w:color w:val="auto"/>
        </w:rPr>
        <w:t>. This Agreement (including all Exhibits attached hereto, which are incorporated herein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together with any Ancillary Agreement (a) sets forth all of the covenants, promises, agreements, warranties, representations, conditions and understandings between the Parties hereto with respect to the subject matter hereof, (b) constitutes and contains the complete, final and exclusive understanding and agreement of the Parties with respect to the subject matter hereof, and (c) cancels, supersedes and terminates all prior agreements and understanding between the Parties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70" w:name="page71"/>
    <w:bookmarkEnd w:id="70"/>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292215" cy="8255"/>
                    </a:xfrm>
                    <a:prstGeom prst="rect">
                      <a:avLst/>
                    </a:prstGeom>
                    <a:noFill/>
                  </pic:spPr>
                </pic:pic>
              </a:graphicData>
            </a:graphic>
          </wp:anchor>
        </w:drawing>
        <w:t>subject matter hereof. Information disclosed by either Party or its Affiliates under any confidentiality agreement in effect as of the Effective Date shall be deemed to be Confidential Information of the applicable Party disclosed hereunder and subject to the confidentiality provisions of this Agreement from and including the Effective Date for the duration set forth herein. There are no covenants, promises, agreements, warranties, representations, conditions or understandings with respect to the subject hereof, whether oral or written, between the Parties other than as set forth herein. No subsequent alteration, amendment, change or addition to this Agreement shall be binding upon the Parties hereto unless reduced to writing and signed by the respective authorized officers of the Parties.</w:t>
      </w:r>
    </w:p>
    <w:p>
      <w:pPr>
        <w:spacing w:after="0" w:line="158"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15.10</w:t>
        <w:tab/>
        <w:t>Counterparts</w:t>
      </w:r>
      <w:r>
        <w:rPr>
          <w:rFonts w:ascii="Times New Roman" w:cs="Times New Roman" w:eastAsia="Times New Roman" w:hAnsi="Times New Roman"/>
          <w:sz w:val="18"/>
          <w:szCs w:val="18"/>
          <w:color w:val="auto"/>
        </w:rPr>
        <w:t>. This Agreement may be executed in counter-parts with the same effect as if both Parties had signed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All such counterparts shall be deemed an original, shall be construed together and shall constitute one and the same instrument. Delivery of a copy of this Agreement together with an executed signature page of a counterpart in Adobe™ Portable Document Format (PDF) sent by electronic mail shall take effect (as of the Effective Date) as delivery of an executed counterpart of this Agreement. If this method is adopted, without prejudice to the validity of this Agreement, each Party shall provide the other with a hard copy original of that executed counterpart as soon as reasonably practicable thereafter.</w:t>
      </w:r>
    </w:p>
    <w:p>
      <w:pPr>
        <w:spacing w:after="0" w:line="142" w:lineRule="exact"/>
        <w:rPr>
          <w:sz w:val="20"/>
          <w:szCs w:val="20"/>
          <w:color w:val="auto"/>
        </w:rPr>
      </w:pPr>
    </w:p>
    <w:p>
      <w:pPr>
        <w:jc w:val="both"/>
        <w:ind w:left="640" w:hanging="634"/>
        <w:spacing w:after="0" w:line="28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15.11</w:t>
        <w:tab/>
        <w:t>Expenses</w:t>
      </w:r>
      <w:r>
        <w:rPr>
          <w:rFonts w:ascii="Times New Roman" w:cs="Times New Roman" w:eastAsia="Times New Roman" w:hAnsi="Times New Roman"/>
          <w:sz w:val="18"/>
          <w:szCs w:val="18"/>
          <w:color w:val="auto"/>
        </w:rPr>
        <w:t>. Each Party shall bear its own costs, charges and expenses incurred in connection with the negotiation, preparation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execution of this Agreement, including without limitation, any fees and expenses of its attorney or auditor.</w:t>
      </w:r>
    </w:p>
    <w:p>
      <w:pPr>
        <w:spacing w:after="0" w:line="1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15.12</w:t>
        <w:tab/>
        <w:t>Construction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15.12.1 </w:t>
      </w:r>
      <w:r>
        <w:rPr>
          <w:rFonts w:ascii="Times New Roman" w:cs="Times New Roman" w:eastAsia="Times New Roman" w:hAnsi="Times New Roman"/>
          <w:sz w:val="18"/>
          <w:szCs w:val="18"/>
          <w:color w:val="auto"/>
        </w:rPr>
        <w:t>Each of the Parties acknowledges and agrees that this Agreement has been diligently reviewed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negotiated by and between them, that in such negotiations each of them has been represented by competent counsel and that the final agreement contained herein, including the language whereby it has been expressed, represents the joint efforts of the Parties hereto and their counsel. Accordingly, in interpreting this Agreement or any provision hereof, no presumption shall apply against any Party hereto as being responsible for the wording or drafting of this Agreement or any such provision, and ambiguities, if any, in this Agreement shall not be construed against any Party, irrespective of which Party may be deemed to have authored the ambiguous provision. The English language version of this Agreement shall control any interpretations of the provisions of this Agreement.</w:t>
      </w:r>
    </w:p>
    <w:p>
      <w:pPr>
        <w:spacing w:after="0" w:line="14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15.12.2 </w:t>
      </w:r>
      <w:r>
        <w:rPr>
          <w:rFonts w:ascii="Times New Roman" w:cs="Times New Roman" w:eastAsia="Times New Roman" w:hAnsi="Times New Roman"/>
          <w:sz w:val="18"/>
          <w:szCs w:val="18"/>
          <w:color w:val="auto"/>
        </w:rPr>
        <w:t>The language of this Agreement is English. No translation into any other language shall be taken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in the interpretation of the Agreement itself.</w:t>
      </w:r>
    </w:p>
    <w:p>
      <w:pPr>
        <w:spacing w:after="0" w:line="114"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15.12.3</w:t>
      </w:r>
      <w:r>
        <w:rPr>
          <w:sz w:val="20"/>
          <w:szCs w:val="20"/>
          <w:color w:val="auto"/>
        </w:rPr>
        <w:tab/>
      </w:r>
      <w:r>
        <w:rPr>
          <w:rFonts w:ascii="Times New Roman" w:cs="Times New Roman" w:eastAsia="Times New Roman" w:hAnsi="Times New Roman"/>
          <w:sz w:val="18"/>
          <w:szCs w:val="18"/>
          <w:color w:val="auto"/>
        </w:rPr>
        <w:t>Headings and captions are for convenience only and are not to be used in the interpretation of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15.12.4 </w:t>
      </w:r>
      <w:r>
        <w:rPr>
          <w:rFonts w:ascii="Times New Roman" w:cs="Times New Roman" w:eastAsia="Times New Roman" w:hAnsi="Times New Roman"/>
          <w:sz w:val="18"/>
          <w:szCs w:val="18"/>
          <w:color w:val="auto"/>
        </w:rPr>
        <w:t>The definitions of the terms herein shall apply equally to the singular and plural forms of the terms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context may require, any pronoun shall include the corresponding masculine, feminine and neuter forms. The words “include”, “includes” and “including” shall be deemed to be followed by the phrase “without limitation” whether or not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6292215" cy="8255"/>
                    </a:xfrm>
                    <a:prstGeom prst="rect">
                      <a:avLst/>
                    </a:prstGeom>
                    <a:noFill/>
                  </pic:spPr>
                </pic:pic>
              </a:graphicData>
            </a:graphic>
          </wp:anchor>
        </w:drawing>
        <w:t>phrase is included. The word “any” shall mean “any and all” unless otherwise clearly indicated by context.</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15.12.5 </w:t>
      </w:r>
      <w:r>
        <w:rPr>
          <w:rFonts w:ascii="Times New Roman" w:cs="Times New Roman" w:eastAsia="Times New Roman" w:hAnsi="Times New Roman"/>
          <w:sz w:val="18"/>
          <w:szCs w:val="18"/>
          <w:color w:val="auto"/>
        </w:rPr>
        <w:t>Unless the context requires otherwise, (a) any definition of or reference to any agreement, instrument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 herein shall be construed as referring to such agreement, instrument or other document as from time to time amended, supplemented or otherwise modified (subject to any restrictions on such amendments, supplements or modifications set forth herein or therein), (b) any reference to any Applicable Law herein shall be construed as referring to such Applicable Law as from time to time enacted, repealed or amended, (c) any reference herein to any person shall be construed to include the person’s successors and assigns,</w:t>
      </w:r>
    </w:p>
    <w:p>
      <w:pPr>
        <w:spacing w:after="0" w:line="3" w:lineRule="exact"/>
        <w:rPr>
          <w:sz w:val="20"/>
          <w:szCs w:val="20"/>
          <w:color w:val="auto"/>
        </w:rPr>
      </w:pPr>
    </w:p>
    <w:p>
      <w:pPr>
        <w:jc w:val="both"/>
        <w:ind w:firstLine="8"/>
        <w:spacing w:after="0" w:line="255" w:lineRule="auto"/>
        <w:tabs>
          <w:tab w:leader="none" w:pos="28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words of similar import, shall be construed to refer to this Agreement in its entirety and not to any particular provision hereof, all references herein to ARTICLES, Sections or Exhibits, unless otherwise specifically provided, shall be construed to refer to ARTICLES, Sections and Exhibits of this Agreement.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36" w:right="999" w:bottom="1440" w:gutter="0" w:footer="0" w:header="0"/>
        </w:sectPr>
      </w:pPr>
    </w:p>
    <w:bookmarkStart w:id="72" w:name="page73"/>
    <w:bookmarkEnd w:id="72"/>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in duplicate originals by their duly authorized officers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JIANGSU ALPHAMAB</w:t>
            </w: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ARRIVENT BIOPHARMA, INC.</w:t>
            </w:r>
          </w:p>
        </w:tc>
      </w:tr>
      <w:tr>
        <w:trPr>
          <w:trHeight w:val="238"/>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BIOPHARMACEUTICALS CO., LTD</w:t>
            </w:r>
          </w:p>
        </w:tc>
        <w:tc>
          <w:tcPr>
            <w:tcW w:w="7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64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 Ting</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Zhengbin Yao</w:t>
            </w:r>
          </w:p>
        </w:tc>
      </w:tr>
      <w:tr>
        <w:trPr>
          <w:trHeight w:val="839"/>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Name:Xu Ting</w:t>
            </w: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Name: Zhengbin Yao</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used in this Agreement, the following initially capitalized terms, whether used in the singular or plural form, shall have the meanings set forth below.</w:t>
      </w:r>
    </w:p>
    <w:p>
      <w:pPr>
        <w:spacing w:after="0" w:line="117" w:lineRule="exact"/>
        <w:rPr>
          <w:sz w:val="20"/>
          <w:szCs w:val="20"/>
          <w:color w:val="auto"/>
        </w:rPr>
      </w:pPr>
    </w:p>
    <w:p>
      <w:pPr>
        <w:jc w:val="both"/>
        <w:ind w:left="400" w:hanging="392"/>
        <w:spacing w:after="0" w:line="257" w:lineRule="auto"/>
        <w:tabs>
          <w:tab w:leader="none" w:pos="4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Abandoned Target Pair</w:t>
      </w:r>
      <w:r>
        <w:rPr>
          <w:rFonts w:ascii="Times New Roman" w:cs="Times New Roman" w:eastAsia="Times New Roman" w:hAnsi="Times New Roman"/>
          <w:sz w:val="18"/>
          <w:szCs w:val="18"/>
          <w:color w:val="auto"/>
        </w:rPr>
        <w:t>” means a Target Pair which (a) pairs of Targets that are nominated by ArriVent but fail to be confirmed by JSC in accordance with Article 3; or (b) ArriVent has provided written notice to Alphamab that ArriVent no longer intends to Research, Develop, or for which ArriVent no longer intends to Commercialize Products comprising such Target Pair. Notwithstanding anything to the contrary, pairs of Targets nominated by ArriVent under a Screening Plan that are not included in the Target Pairs approved by the JSC under Article 3, will at no time be considered a Target Pair and neither Party will be restricted in its activities with respect to such Targets.</w:t>
      </w:r>
    </w:p>
    <w:p>
      <w:pPr>
        <w:spacing w:after="0" w:line="141" w:lineRule="exact"/>
        <w:rPr>
          <w:rFonts w:ascii="Times New Roman" w:cs="Times New Roman" w:eastAsia="Times New Roman" w:hAnsi="Times New Roman"/>
          <w:sz w:val="18"/>
          <w:szCs w:val="18"/>
          <w:color w:val="auto"/>
        </w:rPr>
      </w:pPr>
    </w:p>
    <w:p>
      <w:pPr>
        <w:jc w:val="both"/>
        <w:ind w:left="400" w:hanging="392"/>
        <w:spacing w:after="0" w:line="256" w:lineRule="auto"/>
        <w:tabs>
          <w:tab w:leader="none" w:pos="4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Event</w:t>
      </w:r>
      <w:r>
        <w:rPr>
          <w:rFonts w:ascii="Times New Roman" w:cs="Times New Roman" w:eastAsia="Times New Roman" w:hAnsi="Times New Roman"/>
          <w:sz w:val="18"/>
          <w:szCs w:val="18"/>
          <w:color w:val="auto"/>
        </w:rPr>
        <w:t>” means any untoward medical occurrence in a patient or clinical investigation subject administered a pharmaceutical product and which does not necessarily have to have a causal relationship with treatment. An adverse event can therefore be any unfavorable and unintended sign (including an abnormal laboratory finding, for example), symptom, or disease temporally associated with the use of a medicinal product, whether or not considered related to the medicinal product. In addition to the foregoing, in the context of Clinical Trials an Adverse Event will also mean events associated with and/or possibly attributable to the Clinical Trials procedures. For the avoidance of doubt, an “Adverse Event” includes all occurrences which would be regarded as “adverse drug reactions” under Applicable Law in the applicable country or jurisdiction in the Territory.</w:t>
      </w:r>
    </w:p>
    <w:p>
      <w:pPr>
        <w:spacing w:after="0" w:line="142" w:lineRule="exact"/>
        <w:rPr>
          <w:rFonts w:ascii="Times New Roman" w:cs="Times New Roman" w:eastAsia="Times New Roman" w:hAnsi="Times New Roman"/>
          <w:sz w:val="18"/>
          <w:szCs w:val="18"/>
          <w:color w:val="auto"/>
        </w:rPr>
      </w:pPr>
    </w:p>
    <w:p>
      <w:pPr>
        <w:jc w:val="both"/>
        <w:ind w:left="400" w:hanging="392"/>
        <w:spacing w:after="0" w:line="256" w:lineRule="auto"/>
        <w:tabs>
          <w:tab w:leader="none" w:pos="4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which, directly or indirectly through one or more intermediaries, controls, is controlled by or is under common control with a Party to this Agreement. For purposes of this definition, the term “control” (including, with correlative meanings, the terms “controlled by” and “under common control with”) as used with respect to a Person means (a) direct or indirect ownership of fifty percent (50%) or more of the voting securities or other voting interest of any Person (including attribution from related parties), or (b) the possession, directly or indirectly, of the power to direct or cause the direction of the management and policies of such Person, whether through ownership of voting securities, by contract, as a general partner, as a manager, or otherwise.</w:t>
      </w:r>
    </w:p>
    <w:p>
      <w:pPr>
        <w:spacing w:after="0" w:line="142" w:lineRule="exact"/>
        <w:rPr>
          <w:rFonts w:ascii="Times New Roman" w:cs="Times New Roman" w:eastAsia="Times New Roman" w:hAnsi="Times New Roman"/>
          <w:sz w:val="18"/>
          <w:szCs w:val="18"/>
          <w:color w:val="auto"/>
        </w:rPr>
      </w:pPr>
    </w:p>
    <w:p>
      <w:pPr>
        <w:ind w:left="400" w:right="20" w:hanging="392"/>
        <w:spacing w:after="0" w:line="286" w:lineRule="auto"/>
        <w:tabs>
          <w:tab w:leader="none" w:pos="4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 including all Exhibits hereto, as identified in the preamble, as may be amended from time to time in accordance with its terms.</w:t>
      </w:r>
    </w:p>
    <w:p>
      <w:pPr>
        <w:spacing w:after="0" w:line="11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Alphamab Intellectual Property</w:t>
      </w:r>
      <w:r>
        <w:rPr>
          <w:rFonts w:ascii="Times New Roman" w:cs="Times New Roman" w:eastAsia="Times New Roman" w:hAnsi="Times New Roman"/>
          <w:sz w:val="18"/>
          <w:szCs w:val="18"/>
          <w:color w:val="auto"/>
        </w:rPr>
        <w:t>” means Alphamab Know-How and Alphamab Patents.</w:t>
      </w:r>
    </w:p>
    <w:p>
      <w:pPr>
        <w:spacing w:after="0" w:line="184" w:lineRule="exact"/>
        <w:rPr>
          <w:rFonts w:ascii="Times New Roman" w:cs="Times New Roman" w:eastAsia="Times New Roman" w:hAnsi="Times New Roman"/>
          <w:sz w:val="18"/>
          <w:szCs w:val="18"/>
          <w:color w:val="auto"/>
        </w:rPr>
      </w:pPr>
    </w:p>
    <w:p>
      <w:pPr>
        <w:ind w:left="400" w:hanging="392"/>
        <w:spacing w:after="0" w:line="286" w:lineRule="auto"/>
        <w:tabs>
          <w:tab w:leader="none" w:pos="4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Alphamab Know-How</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means any and all Know-How, to the extent Controlled by Alphamab, that is necessary or reasonably useful in connection with the Development, Manufacturing (solely to the extent of ArriVent’s rights pursuant to the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74" w:name="page75"/>
    <w:bookmarkEnd w:id="74"/>
    <w:p>
      <w:pPr>
        <w:ind w:left="372"/>
        <w:spacing w:after="0"/>
        <w:rPr>
          <w:sz w:val="20"/>
          <w:szCs w:val="20"/>
          <w:color w:val="auto"/>
        </w:rPr>
      </w:pPr>
      <w:r>
        <w:rPr>
          <w:rFonts w:ascii="Times New Roman" w:cs="Times New Roman" w:eastAsia="Times New Roman" w:hAnsi="Times New Roman"/>
          <w:sz w:val="18"/>
          <w:szCs w:val="18"/>
          <w:color w:val="auto"/>
        </w:rPr>
        <w:t>License) and Commercialization of the Products in the Field in the ArriVent Territory.</w:t>
      </w:r>
    </w:p>
    <w:p>
      <w:pPr>
        <w:spacing w:after="0" w:line="181" w:lineRule="exact"/>
        <w:rPr>
          <w:sz w:val="20"/>
          <w:szCs w:val="20"/>
          <w:color w:val="auto"/>
        </w:rPr>
      </w:pPr>
    </w:p>
    <w:p>
      <w:pPr>
        <w:jc w:val="both"/>
        <w:ind w:left="392" w:right="20" w:hanging="392"/>
        <w:spacing w:after="0" w:line="259" w:lineRule="auto"/>
        <w:tabs>
          <w:tab w:leader="none" w:pos="3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Alphamab Patents</w:t>
      </w:r>
      <w:r>
        <w:rPr>
          <w:rFonts w:ascii="Times New Roman" w:cs="Times New Roman" w:eastAsia="Times New Roman" w:hAnsi="Times New Roman"/>
          <w:sz w:val="18"/>
          <w:szCs w:val="18"/>
          <w:color w:val="auto"/>
        </w:rPr>
        <w:t xml:space="preserve">” means any pending or issued Patents in the applicable country or jurisdiction in the Territory that are Controlled by Alphamab that are necessary or reasonably useful in connection with the Development, Manufacturing (solely to the extent of ArriVent’s rights pursuant to the Manufacturing License) and Commercialization of the Products in the Field in the ArriVent Territory, including the Patents listed in </w:t>
      </w:r>
      <w:r>
        <w:rPr>
          <w:rFonts w:ascii="Times New Roman" w:cs="Times New Roman" w:eastAsia="Times New Roman" w:hAnsi="Times New Roman"/>
          <w:sz w:val="18"/>
          <w:szCs w:val="18"/>
          <w:b w:val="1"/>
          <w:bCs w:val="1"/>
          <w:color w:val="auto"/>
        </w:rPr>
        <w:t>Exhibit 2</w:t>
      </w:r>
      <w:r>
        <w:rPr>
          <w:rFonts w:ascii="Times New Roman" w:cs="Times New Roman" w:eastAsia="Times New Roman" w:hAnsi="Times New Roman"/>
          <w:sz w:val="18"/>
          <w:szCs w:val="18"/>
          <w:color w:val="auto"/>
        </w:rPr>
        <w:t>, but excluding any Combination Patents having an earliest priority date that is after the completion of the Research. Alphamab will update the list of Exhibit 2 upon JSC’s approval of each Compound.</w:t>
      </w:r>
    </w:p>
    <w:p>
      <w:pPr>
        <w:spacing w:after="0" w:line="138" w:lineRule="exact"/>
        <w:rPr>
          <w:rFonts w:ascii="Times New Roman" w:cs="Times New Roman" w:eastAsia="Times New Roman" w:hAnsi="Times New Roman"/>
          <w:sz w:val="18"/>
          <w:szCs w:val="18"/>
          <w:color w:val="auto"/>
        </w:rPr>
      </w:pPr>
    </w:p>
    <w:p>
      <w:pPr>
        <w:ind w:left="392" w:hanging="392"/>
        <w:spacing w:after="0" w:line="286" w:lineRule="auto"/>
        <w:tabs>
          <w:tab w:leader="none" w:pos="3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Alphamab Territory</w:t>
      </w:r>
      <w:r>
        <w:rPr>
          <w:rFonts w:ascii="Times New Roman" w:cs="Times New Roman" w:eastAsia="Times New Roman" w:hAnsi="Times New Roman"/>
          <w:sz w:val="18"/>
          <w:szCs w:val="18"/>
          <w:color w:val="auto"/>
        </w:rPr>
        <w:t>” means the greater China, including the Chinese mainland, Hong Kong Special Administrative Region, Macau Special Administrative Region and Taiwan Region.</w:t>
      </w:r>
    </w:p>
    <w:p>
      <w:pPr>
        <w:spacing w:after="0" w:line="114" w:lineRule="exact"/>
        <w:rPr>
          <w:rFonts w:ascii="Times New Roman" w:cs="Times New Roman" w:eastAsia="Times New Roman" w:hAnsi="Times New Roman"/>
          <w:sz w:val="18"/>
          <w:szCs w:val="18"/>
          <w:color w:val="auto"/>
        </w:rPr>
      </w:pPr>
    </w:p>
    <w:p>
      <w:pPr>
        <w:jc w:val="both"/>
        <w:ind w:left="392" w:hanging="392"/>
        <w:spacing w:after="0" w:line="268" w:lineRule="auto"/>
        <w:tabs>
          <w:tab w:leader="none" w:pos="3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Agreement</w:t>
      </w:r>
      <w:r>
        <w:rPr>
          <w:rFonts w:ascii="Times New Roman" w:cs="Times New Roman" w:eastAsia="Times New Roman" w:hAnsi="Times New Roman"/>
          <w:sz w:val="18"/>
          <w:szCs w:val="18"/>
          <w:color w:val="auto"/>
        </w:rPr>
        <w:t>” means any Data Processing Agreement, Supply Agreement (together with any quality agreement thereunder), Pharmacovigilance Agreement; Clinical Collaboration Agreement or any other Agreement entered into by and between the Parties in furtherance of the activities pursuant to this Agreement.</w:t>
      </w:r>
    </w:p>
    <w:p>
      <w:pPr>
        <w:spacing w:after="0" w:line="130" w:lineRule="exact"/>
        <w:rPr>
          <w:rFonts w:ascii="Times New Roman" w:cs="Times New Roman" w:eastAsia="Times New Roman" w:hAnsi="Times New Roman"/>
          <w:sz w:val="18"/>
          <w:szCs w:val="18"/>
          <w:color w:val="auto"/>
        </w:rPr>
      </w:pPr>
    </w:p>
    <w:p>
      <w:pPr>
        <w:ind w:left="392" w:hanging="392"/>
        <w:spacing w:after="0" w:line="286" w:lineRule="auto"/>
        <w:tabs>
          <w:tab w:leader="none" w:pos="3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Accounting Standards</w:t>
      </w:r>
      <w:r>
        <w:rPr>
          <w:rFonts w:ascii="Times New Roman" w:cs="Times New Roman" w:eastAsia="Times New Roman" w:hAnsi="Times New Roman"/>
          <w:sz w:val="18"/>
          <w:szCs w:val="18"/>
          <w:color w:val="auto"/>
        </w:rPr>
        <w:t>” means International Financial Reporting Standards (IFRS) or Generally Accepted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(GAAP), as applicable to a Party, consistently applied.</w:t>
      </w:r>
    </w:p>
    <w:p>
      <w:pPr>
        <w:spacing w:after="0" w:line="114" w:lineRule="exact"/>
        <w:rPr>
          <w:rFonts w:ascii="Times New Roman" w:cs="Times New Roman" w:eastAsia="Times New Roman" w:hAnsi="Times New Roman"/>
          <w:sz w:val="18"/>
          <w:szCs w:val="18"/>
          <w:color w:val="auto"/>
        </w:rPr>
      </w:pPr>
    </w:p>
    <w:p>
      <w:pPr>
        <w:jc w:val="both"/>
        <w:ind w:left="392" w:hanging="392"/>
        <w:spacing w:after="0" w:line="259" w:lineRule="auto"/>
        <w:tabs>
          <w:tab w:leader="none" w:pos="3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the applicable provisions of any and all national, regional, state and local laws, treaties, statutes, rules, regulations, administrative codes, and ordinances, and any and all directives, and orders or administrative decisions or requirements of any governmental agency or authority (including Regulatory Authorities, recognized stock exchange) having jurisdiction over or related to the subject matter in question, including Regulatory Requirements, export control laws, and the FCPA and other Anti-Corruption Laws, which are applicable to the subject matter of this Agreement..</w:t>
      </w:r>
    </w:p>
    <w:p>
      <w:pPr>
        <w:spacing w:after="0" w:line="138" w:lineRule="exact"/>
        <w:rPr>
          <w:rFonts w:ascii="Times New Roman" w:cs="Times New Roman" w:eastAsia="Times New Roman" w:hAnsi="Times New Roman"/>
          <w:sz w:val="18"/>
          <w:szCs w:val="18"/>
          <w:color w:val="auto"/>
        </w:rPr>
      </w:pPr>
    </w:p>
    <w:p>
      <w:pPr>
        <w:jc w:val="both"/>
        <w:ind w:left="392" w:hanging="392"/>
        <w:spacing w:after="0" w:line="268" w:lineRule="auto"/>
        <w:tabs>
          <w:tab w:leader="none" w:pos="3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all Applicable Laws for the prevention of fraud, kickbacks, bribery, corruption, racketeering, money laundering or terrorism, including the U.S. Foreign Corrupt Practices Act (15 U.S.C. Section 78dd-1, et. seq.) as amended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each, as amended from time to time.</w:t>
      </w:r>
    </w:p>
    <w:p>
      <w:pPr>
        <w:spacing w:after="0" w:line="130"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ArriVent Territory</w:t>
      </w:r>
      <w:r>
        <w:rPr>
          <w:rFonts w:ascii="Times New Roman" w:cs="Times New Roman" w:eastAsia="Times New Roman" w:hAnsi="Times New Roman"/>
          <w:sz w:val="18"/>
          <w:szCs w:val="18"/>
          <w:color w:val="auto"/>
        </w:rPr>
        <w:t>” means worldwide, except for the Alphamab Territory.</w:t>
      </w:r>
    </w:p>
    <w:p>
      <w:pPr>
        <w:spacing w:after="0" w:line="184" w:lineRule="exact"/>
        <w:rPr>
          <w:rFonts w:ascii="Times New Roman" w:cs="Times New Roman" w:eastAsia="Times New Roman" w:hAnsi="Times New Roman"/>
          <w:sz w:val="18"/>
          <w:szCs w:val="18"/>
          <w:color w:val="auto"/>
        </w:rPr>
      </w:pPr>
    </w:p>
    <w:p>
      <w:pPr>
        <w:ind w:left="392" w:right="20" w:hanging="392"/>
        <w:spacing w:after="0" w:line="286" w:lineRule="auto"/>
        <w:tabs>
          <w:tab w:leader="none" w:pos="3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“Background IP” </w:t>
      </w:r>
      <w:r>
        <w:rPr>
          <w:rFonts w:ascii="Times New Roman" w:cs="Times New Roman" w:eastAsia="Times New Roman" w:hAnsi="Times New Roman"/>
          <w:sz w:val="18"/>
          <w:szCs w:val="18"/>
          <w:color w:val="auto"/>
        </w:rPr>
        <w:t>means any Intellectual Property Rights (a) that exists as of the Effective Date; or (b) is acquired or developed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on behalf of such Party outside the scope of this Agreement and without the use of the other Party’s Confidential Information.</w:t>
      </w:r>
    </w:p>
    <w:p>
      <w:pPr>
        <w:spacing w:after="0" w:line="114" w:lineRule="exact"/>
        <w:rPr>
          <w:rFonts w:ascii="Times New Roman" w:cs="Times New Roman" w:eastAsia="Times New Roman" w:hAnsi="Times New Roman"/>
          <w:sz w:val="18"/>
          <w:szCs w:val="18"/>
          <w:color w:val="auto"/>
        </w:rPr>
      </w:pPr>
    </w:p>
    <w:p>
      <w:pPr>
        <w:jc w:val="both"/>
        <w:ind w:left="392" w:hanging="392"/>
        <w:spacing w:after="0" w:line="268" w:lineRule="auto"/>
        <w:tabs>
          <w:tab w:leader="none" w:pos="3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Biosimilar</w:t>
      </w:r>
      <w:r>
        <w:rPr>
          <w:rFonts w:ascii="Times New Roman" w:cs="Times New Roman" w:eastAsia="Times New Roman" w:hAnsi="Times New Roman"/>
          <w:sz w:val="18"/>
          <w:szCs w:val="18"/>
          <w:color w:val="auto"/>
        </w:rPr>
        <w:t>” means a product that is approved as a biosimilar to a Product pursuant to Section 351(k) of the Public Health Service Act (or a foreign equivalent, as applicable) and relying on the prior approval of a Product; and is being sold by a Third Party not authorized by ArriVent or its Affiliates, Sublicensees or distributors, and it is not purchased from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left="-8" w:firstLine="8"/>
        <w:spacing w:after="0" w:line="264" w:lineRule="auto"/>
        <w:tabs>
          <w:tab w:leader="none" w:pos="349"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75" w:name="page76"/>
    <w:bookmarkEnd w:id="75"/>
    <w:p>
      <w:pPr>
        <w:ind w:left="372"/>
        <w:spacing w:after="0"/>
        <w:rPr>
          <w:sz w:val="20"/>
          <w:szCs w:val="20"/>
          <w:color w:val="auto"/>
        </w:rPr>
      </w:pPr>
      <w:r>
        <w:rPr>
          <w:rFonts w:ascii="Times New Roman" w:cs="Times New Roman" w:eastAsia="Times New Roman" w:hAnsi="Times New Roman"/>
          <w:sz w:val="18"/>
          <w:szCs w:val="18"/>
          <w:color w:val="auto"/>
        </w:rPr>
        <w:t>Manufactured by ArriVent or its Affiliates or Sublicensees.</w:t>
      </w:r>
    </w:p>
    <w:p>
      <w:pPr>
        <w:spacing w:after="0" w:line="181" w:lineRule="exact"/>
        <w:rPr>
          <w:sz w:val="20"/>
          <w:szCs w:val="20"/>
          <w:color w:val="auto"/>
        </w:rPr>
      </w:pPr>
    </w:p>
    <w:p>
      <w:pPr>
        <w:ind w:left="392" w:right="20" w:hanging="392"/>
        <w:spacing w:after="0" w:line="286" w:lineRule="auto"/>
        <w:tabs>
          <w:tab w:leader="none" w:pos="3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a Sunday or other day on which commercials banks are required or authorized by Applicable Laws to be closed in Hong Kong, Jiangsu, China, or New York, New York, U.S.</w:t>
      </w:r>
    </w:p>
    <w:p>
      <w:pPr>
        <w:spacing w:after="0" w:line="114" w:lineRule="exact"/>
        <w:rPr>
          <w:rFonts w:ascii="Times New Roman" w:cs="Times New Roman" w:eastAsia="Times New Roman" w:hAnsi="Times New Roman"/>
          <w:sz w:val="18"/>
          <w:szCs w:val="18"/>
          <w:color w:val="auto"/>
        </w:rPr>
      </w:pPr>
    </w:p>
    <w:p>
      <w:pPr>
        <w:jc w:val="both"/>
        <w:ind w:left="392" w:right="20" w:hanging="392"/>
        <w:spacing w:after="0" w:line="262" w:lineRule="auto"/>
        <w:tabs>
          <w:tab w:leader="none" w:pos="3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with respect to the first Calendar Quarter during the Term, the period beginning on the Effective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ending on the last day of the Calendar Quarter within which the Effective Date falls, and thereafter each successive period of three calendar months ending on (and including) each of March 31, June 30, September 30, and December 31; except that the last Calendar Quarter during the Term will end upon the expiration of the Term.</w:t>
      </w:r>
    </w:p>
    <w:p>
      <w:pPr>
        <w:spacing w:after="0" w:line="135" w:lineRule="exact"/>
        <w:rPr>
          <w:rFonts w:ascii="Times New Roman" w:cs="Times New Roman" w:eastAsia="Times New Roman" w:hAnsi="Times New Roman"/>
          <w:sz w:val="18"/>
          <w:szCs w:val="18"/>
          <w:color w:val="auto"/>
        </w:rPr>
      </w:pPr>
    </w:p>
    <w:p>
      <w:pPr>
        <w:jc w:val="both"/>
        <w:ind w:left="392" w:hanging="392"/>
        <w:spacing w:after="0" w:line="268" w:lineRule="auto"/>
        <w:tabs>
          <w:tab w:leader="none" w:pos="3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period of 12 consecutive calendar months beginning on January 1 and ending on December 31; except that (a) the first Calendar Year during the Term will begin on the Effective Date and end on December 31 of the Calendar Year within which the Effective Date falls, and (b) the last Calendar Year during the Term will end upon expiration of the Term.</w:t>
      </w:r>
    </w:p>
    <w:p>
      <w:pPr>
        <w:spacing w:after="0" w:line="130" w:lineRule="exact"/>
        <w:rPr>
          <w:rFonts w:ascii="Times New Roman" w:cs="Times New Roman" w:eastAsia="Times New Roman" w:hAnsi="Times New Roman"/>
          <w:sz w:val="18"/>
          <w:szCs w:val="18"/>
          <w:color w:val="auto"/>
        </w:rPr>
      </w:pPr>
    </w:p>
    <w:p>
      <w:pPr>
        <w:jc w:val="both"/>
        <w:ind w:left="392" w:hanging="392"/>
        <w:spacing w:after="0" w:line="259" w:lineRule="auto"/>
        <w:tabs>
          <w:tab w:leader="none" w:pos="3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of a Party occurs upon (i) the closing of a sale of all or substantially all of the assets of such Party to a Third Party in one transaction or series of related transactions, (ii) the closing of a merger or other business combination or transaction that results in a Third Party owning, directly or indirectly, of more than fifty percent (50%) of the voting securities of such Party, or</w:t>
      </w:r>
    </w:p>
    <w:p>
      <w:pPr>
        <w:jc w:val="both"/>
        <w:ind w:left="392"/>
        <w:spacing w:after="0" w:line="255" w:lineRule="auto"/>
        <w:tabs>
          <w:tab w:leader="none" w:pos="72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transaction, following which a Third Party acquires direct or indirect ability or power to direct or cause the direction of substantially all management and policies of such Party or otherwise direct substantially all of the affairs of such Party, whether through ownership of equity, voting securities, beneficial interest, by contract, or otherwise.</w:t>
      </w:r>
    </w:p>
    <w:p>
      <w:pPr>
        <w:spacing w:after="0" w:line="141" w:lineRule="exact"/>
        <w:rPr>
          <w:rFonts w:ascii="Times New Roman" w:cs="Times New Roman" w:eastAsia="Times New Roman" w:hAnsi="Times New Roman"/>
          <w:sz w:val="18"/>
          <w:szCs w:val="18"/>
          <w:color w:val="auto"/>
        </w:rPr>
      </w:pPr>
    </w:p>
    <w:p>
      <w:pPr>
        <w:ind w:left="392" w:right="20" w:hanging="392"/>
        <w:spacing w:after="0" w:line="286" w:lineRule="auto"/>
        <w:tabs>
          <w:tab w:leader="none" w:pos="3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Clinical Trial(s)</w:t>
      </w:r>
      <w:r>
        <w:rPr>
          <w:rFonts w:ascii="Times New Roman" w:cs="Times New Roman" w:eastAsia="Times New Roman" w:hAnsi="Times New Roman"/>
          <w:sz w:val="18"/>
          <w:szCs w:val="18"/>
          <w:color w:val="auto"/>
        </w:rPr>
        <w:t>” means studies conducted anywhere in the Territory, or such other tests or studies in humans conducted anywhere in the Territory regarding the Products.</w:t>
      </w:r>
    </w:p>
    <w:p>
      <w:pPr>
        <w:spacing w:after="0" w:line="114" w:lineRule="exact"/>
        <w:rPr>
          <w:rFonts w:ascii="Times New Roman" w:cs="Times New Roman" w:eastAsia="Times New Roman" w:hAnsi="Times New Roman"/>
          <w:sz w:val="18"/>
          <w:szCs w:val="18"/>
          <w:color w:val="auto"/>
        </w:rPr>
      </w:pPr>
    </w:p>
    <w:p>
      <w:pPr>
        <w:jc w:val="both"/>
        <w:ind w:left="392" w:hanging="392"/>
        <w:spacing w:after="0" w:line="268" w:lineRule="auto"/>
        <w:tabs>
          <w:tab w:leader="none" w:pos="3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Patent</w:t>
      </w:r>
      <w:r>
        <w:rPr>
          <w:rFonts w:ascii="Times New Roman" w:cs="Times New Roman" w:eastAsia="Times New Roman" w:hAnsi="Times New Roman"/>
          <w:sz w:val="18"/>
          <w:szCs w:val="18"/>
          <w:color w:val="auto"/>
        </w:rPr>
        <w:t>” means a Patent Covering (a) a Product that includes a Compound together with one or more other active ingredients; or (b) the use of a Product or Compound together with one or more other active ingredients or products including another active ingredient (for example, a combination therapy).</w:t>
      </w:r>
    </w:p>
    <w:p>
      <w:pPr>
        <w:spacing w:after="0" w:line="130" w:lineRule="exact"/>
        <w:rPr>
          <w:rFonts w:ascii="Times New Roman" w:cs="Times New Roman" w:eastAsia="Times New Roman" w:hAnsi="Times New Roman"/>
          <w:sz w:val="18"/>
          <w:szCs w:val="18"/>
          <w:color w:val="auto"/>
        </w:rPr>
      </w:pPr>
    </w:p>
    <w:p>
      <w:pPr>
        <w:jc w:val="both"/>
        <w:ind w:left="392" w:hanging="392"/>
        <w:spacing w:after="0" w:line="259" w:lineRule="auto"/>
        <w:tabs>
          <w:tab w:leader="none" w:pos="3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means, with respect to a particular Product, any and all processes and activities conducted to establish and maintain sales for such Product (including with respect to reimbursement and patient access), including offering for sale, detailing, selling (including launch), marketing (including education and advertising activities), promoting, storing, transporting, distributing, and importing such Product, but shall exclude Development and Manufacturing of such Product.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Commercializing</w:t>
      </w:r>
      <w:r>
        <w:rPr>
          <w:rFonts w:ascii="Times New Roman" w:cs="Times New Roman" w:eastAsia="Times New Roman" w:hAnsi="Times New Roman"/>
          <w:sz w:val="18"/>
          <w:szCs w:val="18"/>
          <w:color w:val="auto"/>
        </w:rPr>
        <w:t>” shall have their correlative meanings.</w:t>
      </w:r>
    </w:p>
    <w:p>
      <w:pPr>
        <w:spacing w:after="0" w:line="138"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activities of each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left="-8" w:firstLine="8"/>
        <w:spacing w:after="0" w:line="264" w:lineRule="auto"/>
        <w:tabs>
          <w:tab w:leader="none" w:pos="349"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76" w:name="page77"/>
    <w:bookmarkEnd w:id="76"/>
    <w:p>
      <w:pPr>
        <w:jc w:val="both"/>
        <w:ind w:left="380"/>
        <w:spacing w:after="0" w:line="253" w:lineRule="auto"/>
        <w:rPr>
          <w:sz w:val="20"/>
          <w:szCs w:val="20"/>
          <w:color w:val="auto"/>
        </w:rPr>
      </w:pPr>
      <w:r>
        <w:rPr>
          <w:rFonts w:ascii="Times New Roman" w:cs="Times New Roman" w:eastAsia="Times New Roman" w:hAnsi="Times New Roman"/>
          <w:sz w:val="18"/>
          <w:szCs w:val="18"/>
          <w:color w:val="auto"/>
        </w:rPr>
        <w:t>contemplated under this Agreement, that level of efforts and resources, with respect to a particular Party, at the relevant point in time, that is consistent with the usual practice followed by that Party, in the exercise of its reasonable scientific and business judgment relating to other pharmaceutical products owned or licensed by it or to which it has exclusive rights in its Territory, which have market potential and are at a stage of development or product life similar to the applicable Product, taking into account its efficacy, safety, proprietary position (including patent and regulatory exclusivity), regulatory concerns (including anticipated or approved labeling and anticipated or approved post-approval requirements), strategic planning, present and future market and commercial potential (including competitive market conditions and the probability of profitability of the relevant product or service in light of existing and anticipated competitive products and services, as well as pricing and reimbursement issues), and all other relevant factors, including commercial, technical, legal, scientific, or medical factors; provided, however, that Commercially Reasonable Efforts will not consider with respect to a Party the payments required to be made by such Party to the other Party under this Agreement.</w:t>
      </w:r>
    </w:p>
    <w:p>
      <w:pPr>
        <w:spacing w:after="0" w:line="147" w:lineRule="exact"/>
        <w:rPr>
          <w:sz w:val="20"/>
          <w:szCs w:val="20"/>
          <w:color w:val="auto"/>
        </w:rPr>
      </w:pPr>
    </w:p>
    <w:p>
      <w:pPr>
        <w:ind w:left="400" w:right="20" w:hanging="392"/>
        <w:spacing w:after="0" w:line="286" w:lineRule="auto"/>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Target Pairs</w:t>
      </w:r>
      <w:r>
        <w:rPr>
          <w:rFonts w:ascii="Times New Roman" w:cs="Times New Roman" w:eastAsia="Times New Roman" w:hAnsi="Times New Roman"/>
          <w:sz w:val="18"/>
          <w:szCs w:val="18"/>
          <w:color w:val="auto"/>
        </w:rPr>
        <w:t>” means [***]. Alphamab may update this definition once every [***] beginning [***] after the Effective Date by providing ArriVent with written notice of the updated list of Outside Target Pairs.</w:t>
      </w:r>
    </w:p>
    <w:p>
      <w:pPr>
        <w:spacing w:after="0" w:line="114" w:lineRule="exact"/>
        <w:rPr>
          <w:rFonts w:ascii="Times New Roman" w:cs="Times New Roman" w:eastAsia="Times New Roman" w:hAnsi="Times New Roman"/>
          <w:sz w:val="18"/>
          <w:szCs w:val="18"/>
          <w:color w:val="auto"/>
        </w:rPr>
      </w:pPr>
    </w:p>
    <w:p>
      <w:pPr>
        <w:ind w:left="400" w:hanging="392"/>
        <w:spacing w:after="0" w:line="286" w:lineRule="auto"/>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Compound”</w:t>
      </w:r>
      <w:r>
        <w:rPr>
          <w:rFonts w:ascii="Times New Roman" w:cs="Times New Roman" w:eastAsia="Times New Roman" w:hAnsi="Times New Roman"/>
          <w:sz w:val="18"/>
          <w:szCs w:val="18"/>
          <w:color w:val="auto"/>
        </w:rPr>
        <w:t xml:space="preserve"> means, (a) the bi-ADC that is generated and confirmed by Parties through JSC, and (b) each antibody sequence incorporated in the bi-ADC.</w:t>
      </w:r>
    </w:p>
    <w:p>
      <w:pPr>
        <w:spacing w:after="0" w:line="11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Compound Patents</w:t>
      </w:r>
      <w:r>
        <w:rPr>
          <w:rFonts w:ascii="Times New Roman" w:cs="Times New Roman" w:eastAsia="Times New Roman" w:hAnsi="Times New Roman"/>
          <w:sz w:val="18"/>
          <w:szCs w:val="18"/>
          <w:color w:val="auto"/>
        </w:rPr>
        <w:t>” means any Patents claiming matters of composition of the Compound.</w:t>
      </w:r>
    </w:p>
    <w:p>
      <w:pPr>
        <w:spacing w:after="0" w:line="184" w:lineRule="exact"/>
        <w:rPr>
          <w:rFonts w:ascii="Times New Roman" w:cs="Times New Roman" w:eastAsia="Times New Roman" w:hAnsi="Times New Roman"/>
          <w:sz w:val="18"/>
          <w:szCs w:val="18"/>
          <w:color w:val="auto"/>
        </w:rPr>
      </w:pPr>
    </w:p>
    <w:p>
      <w:pPr>
        <w:jc w:val="both"/>
        <w:ind w:left="400" w:hanging="392"/>
        <w:spacing w:after="0" w:line="257" w:lineRule="auto"/>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with respect to a Party, all non-public, confidential and proprietary information and materials, including technology, marketing plans, strategies, and customer lists, in each case, that are disclosed by such Party to the other Party or generated by or on behalf of a Party in connection with the activities conducted under this Agreement, regardless of whether any of the foregoing are marked “confidential” or “proprietary” or communicated to the other Party by the disclosing Party in oral, written, visual, graphic or electronic form. For clarity, any technical information disclosed at a meeting or the JSC or any other committee established under this Agreement, will constitute Confidential Information unless otherwise specified.</w:t>
      </w:r>
    </w:p>
    <w:p>
      <w:pPr>
        <w:spacing w:after="0" w:line="141" w:lineRule="exact"/>
        <w:rPr>
          <w:rFonts w:ascii="Times New Roman" w:cs="Times New Roman" w:eastAsia="Times New Roman" w:hAnsi="Times New Roman"/>
          <w:sz w:val="18"/>
          <w:szCs w:val="18"/>
          <w:color w:val="auto"/>
        </w:rPr>
      </w:pPr>
    </w:p>
    <w:p>
      <w:pPr>
        <w:jc w:val="both"/>
        <w:ind w:left="400" w:hanging="392"/>
        <w:spacing w:after="0" w:line="257" w:lineRule="auto"/>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Controls</w:t>
      </w:r>
      <w:r>
        <w:rPr>
          <w:rFonts w:ascii="Times New Roman" w:cs="Times New Roman" w:eastAsia="Times New Roman" w:hAnsi="Times New Roman"/>
          <w:sz w:val="18"/>
          <w:szCs w:val="18"/>
          <w:color w:val="auto"/>
        </w:rPr>
        <w:t>” means, with respect to any Intellectual Property Rights or Confidential Information, the ability of a Party, itself or through an Affiliate, whether through ownership or license (other than a license granted in this Agreement) to grant to the other Party or its Affiliates, as applicable, the licenses or sublicenses upon the terms and conditions specified in this Agreement or to otherwise disclose the subject matter of Intellectual Property Rights or Confidential Information to the other Party without violating the terms of any then-existing agreement with any Third Party or misappropriating such Confidential Information.</w:t>
      </w:r>
    </w:p>
    <w:p>
      <w:pPr>
        <w:spacing w:after="0" w:line="141" w:lineRule="exact"/>
        <w:rPr>
          <w:rFonts w:ascii="Times New Roman" w:cs="Times New Roman" w:eastAsia="Times New Roman" w:hAnsi="Times New Roman"/>
          <w:sz w:val="18"/>
          <w:szCs w:val="18"/>
          <w:color w:val="auto"/>
        </w:rPr>
      </w:pPr>
    </w:p>
    <w:p>
      <w:pPr>
        <w:ind w:left="400" w:hanging="392"/>
        <w:spacing w:after="0" w:line="286" w:lineRule="auto"/>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Covering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means that the use, manufacture, development or commercialization (including the Manufacture, Development, or Commercialization,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77" w:name="page78"/>
    <w:bookmarkEnd w:id="77"/>
    <w:p>
      <w:pPr>
        <w:ind w:left="380"/>
        <w:spacing w:after="0" w:line="282" w:lineRule="auto"/>
        <w:rPr>
          <w:sz w:val="20"/>
          <w:szCs w:val="20"/>
          <w:color w:val="auto"/>
        </w:rPr>
      </w:pPr>
      <w:r>
        <w:rPr>
          <w:rFonts w:ascii="Times New Roman" w:cs="Times New Roman" w:eastAsia="Times New Roman" w:hAnsi="Times New Roman"/>
          <w:sz w:val="18"/>
          <w:szCs w:val="18"/>
          <w:color w:val="auto"/>
        </w:rPr>
        <w:t>applicable) of the subject matter in question falls within the scope of at least one Valid Claim of a Patent, or would infringe at least one Valid Claim of a Patent (but for any license to such Patent).</w:t>
      </w:r>
    </w:p>
    <w:p>
      <w:pPr>
        <w:spacing w:after="0" w:line="117" w:lineRule="exact"/>
        <w:rPr>
          <w:sz w:val="20"/>
          <w:szCs w:val="20"/>
          <w:color w:val="auto"/>
        </w:rPr>
      </w:pPr>
    </w:p>
    <w:p>
      <w:pPr>
        <w:ind w:left="400" w:right="20" w:hanging="392"/>
        <w:spacing w:after="0" w:line="286" w:lineRule="auto"/>
        <w:tabs>
          <w:tab w:leader="none" w:pos="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Culture Media</w:t>
      </w:r>
      <w:r>
        <w:rPr>
          <w:rFonts w:ascii="Times New Roman" w:cs="Times New Roman" w:eastAsia="Times New Roman" w:hAnsi="Times New Roman"/>
          <w:sz w:val="18"/>
          <w:szCs w:val="18"/>
          <w:color w:val="auto"/>
        </w:rPr>
        <w:t>” means the cell culture basal media and feed formulation developed and manufactured by Alphamab or its designated parties.</w:t>
      </w:r>
    </w:p>
    <w:p>
      <w:pPr>
        <w:spacing w:after="0" w:line="114" w:lineRule="exact"/>
        <w:rPr>
          <w:rFonts w:ascii="Times New Roman" w:cs="Times New Roman" w:eastAsia="Times New Roman" w:hAnsi="Times New Roman"/>
          <w:sz w:val="18"/>
          <w:szCs w:val="18"/>
          <w:color w:val="auto"/>
        </w:rPr>
      </w:pPr>
    </w:p>
    <w:p>
      <w:pPr>
        <w:jc w:val="both"/>
        <w:ind w:left="400" w:hanging="392"/>
        <w:spacing w:after="0" w:line="268" w:lineRule="auto"/>
        <w:tabs>
          <w:tab w:leader="none" w:pos="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means all data, including non-clinical, CMC (chemical manufacturing and control), pre-clinical, clinical, analytical data, generated or resulted from any activities associated with the Products under a Program for the purpose of this Agreement, together with any supporting information required to understand such data (including, for example, a clinical protocol).</w:t>
      </w:r>
    </w:p>
    <w:p>
      <w:pPr>
        <w:spacing w:after="0" w:line="130" w:lineRule="exact"/>
        <w:rPr>
          <w:rFonts w:ascii="Times New Roman" w:cs="Times New Roman" w:eastAsia="Times New Roman" w:hAnsi="Times New Roman"/>
          <w:sz w:val="18"/>
          <w:szCs w:val="18"/>
          <w:color w:val="auto"/>
        </w:rPr>
      </w:pPr>
    </w:p>
    <w:p>
      <w:pPr>
        <w:jc w:val="both"/>
        <w:ind w:left="400" w:hanging="392"/>
        <w:spacing w:after="0" w:line="255" w:lineRule="auto"/>
        <w:tabs>
          <w:tab w:leader="none" w:pos="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shall mean, any preclinical, clinical, non-clinical activity, development and regulatory activities directed to obtaining or maintaining Regulatory Approval of a Product, including but not limited to (a) research, process development, non-clinical testing, toxicology, non-clinical activities, IND-enabling studies, and Clinical Trials, and (b) preparation, submission, review, and development of data or information for the purpose of submission to a Regulatory Authority to obtain authorization to conduct Clinical Trials and to obtain, support, or maintain Regulatory Approval of a product, but excluding (i) screening and Research and (ii) activities directed to Manufacturing or Commercialization. When used as a verb, “</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shall mean to engage in Development. For clarity, “Development” shall include Phase IV studies or any other Clinical Trial commenced after Regulatory Approval.</w:t>
      </w:r>
    </w:p>
    <w:p>
      <w:pPr>
        <w:spacing w:after="0" w:line="14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Dual-Payload Technology</w:t>
      </w:r>
      <w:r>
        <w:rPr>
          <w:rFonts w:ascii="Times New Roman" w:cs="Times New Roman" w:eastAsia="Times New Roman" w:hAnsi="Times New Roman"/>
          <w:sz w:val="18"/>
          <w:szCs w:val="18"/>
          <w:color w:val="auto"/>
        </w:rPr>
        <w:t>” means the 2nd payload in addition to [***] platform.</w:t>
      </w:r>
    </w:p>
    <w:p>
      <w:pPr>
        <w:spacing w:after="0" w:line="18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Enzyme</w:t>
      </w:r>
      <w:r>
        <w:rPr>
          <w:rFonts w:ascii="Times New Roman" w:cs="Times New Roman" w:eastAsia="Times New Roman" w:hAnsi="Times New Roman"/>
          <w:sz w:val="18"/>
          <w:szCs w:val="18"/>
          <w:color w:val="auto"/>
        </w:rPr>
        <w:t>” means [***] used by Alphamab for the manufacture of a Product pursuant this Agreement.</w:t>
      </w:r>
    </w:p>
    <w:p>
      <w:pPr>
        <w:spacing w:after="0" w:line="18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w:t>
      </w:r>
    </w:p>
    <w:p>
      <w:pPr>
        <w:spacing w:after="0" w:line="18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means Regulation (EU) 2016/679, the General Data Protection Regulation.</w:t>
      </w:r>
    </w:p>
    <w:p>
      <w:pPr>
        <w:spacing w:after="0" w:line="184" w:lineRule="exact"/>
        <w:rPr>
          <w:rFonts w:ascii="Times New Roman" w:cs="Times New Roman" w:eastAsia="Times New Roman" w:hAnsi="Times New Roman"/>
          <w:sz w:val="18"/>
          <w:szCs w:val="18"/>
          <w:color w:val="auto"/>
        </w:rPr>
      </w:pPr>
    </w:p>
    <w:p>
      <w:pPr>
        <w:jc w:val="both"/>
        <w:ind w:left="400" w:hanging="392"/>
        <w:spacing w:after="0" w:line="256" w:lineRule="auto"/>
        <w:tabs>
          <w:tab w:leader="none" w:pos="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cGCP</w:t>
      </w:r>
      <w:r>
        <w:rPr>
          <w:rFonts w:ascii="Times New Roman" w:cs="Times New Roman" w:eastAsia="Times New Roman" w:hAnsi="Times New Roman"/>
          <w:sz w:val="18"/>
          <w:szCs w:val="18"/>
          <w:color w:val="auto"/>
        </w:rPr>
        <w:t>” means then-current Good Clinical Practice standards for the design, conduct, performance, monitoring, auditing, recording, analysis, and reporting of clinical trials for pharmaceuticals as set forth in the International Conference on Harmonization (ICH) guidelines entitled “Guidance for Industry E6(R2) Good Clinical Practice: Consolidated Guidance,” NMPA, FDA and equivalent regulations or standards in the applicable country or jurisdiction in the Territory and any update thereto and any other policies or guidelines applicable to the design, conduct, performance, monitoring, auditing, recording, analysis, and reporting of clinical trials for pharmaceuticals in such country or jurisdiction in the Territory, and/or any applicable foreign equivalents thereof, and any updates of any of the foregoing.</w:t>
      </w:r>
    </w:p>
    <w:p>
      <w:pPr>
        <w:spacing w:after="0" w:line="14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means those quality systems and then-current good manufacturing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78" w:name="page79"/>
    <w:bookmarkEnd w:id="78"/>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applicable to the manufacturing, labeling, packaging, handling, storage, and transport of the Products as set forth by the NMPA, FDA and equivalent foreign regulations or standards and any update thereto and any other policies or guidelines applicable to the manufacture, labeling, packaging, handling, storage, and transport of pharmaceutical products in the applicable country or jurisdiction in the applicable Territory, and/or any applicable foreign equivalents thereof, and any updates of any of the foregoing.</w:t>
      </w:r>
    </w:p>
    <w:p>
      <w:pPr>
        <w:spacing w:after="0" w:line="135" w:lineRule="exact"/>
        <w:rPr>
          <w:sz w:val="20"/>
          <w:szCs w:val="20"/>
          <w:color w:val="auto"/>
        </w:rPr>
      </w:pPr>
    </w:p>
    <w:p>
      <w:pPr>
        <w:jc w:val="both"/>
        <w:ind w:left="400" w:hanging="392"/>
        <w:spacing w:after="0" w:line="268" w:lineRule="auto"/>
        <w:tabs>
          <w:tab w:leader="none" w:pos="4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 Investigational New Drug Application filed with the FDA or an analogous application or filing with any analogous Regulatory Authority outside of the U.S. under any analogous law for the purposes of obtaining permission to conduct human clinical trials in such jurisdiction.</w:t>
      </w:r>
    </w:p>
    <w:p>
      <w:pPr>
        <w:spacing w:after="0" w:line="130" w:lineRule="exact"/>
        <w:rPr>
          <w:rFonts w:ascii="Times New Roman" w:cs="Times New Roman" w:eastAsia="Times New Roman" w:hAnsi="Times New Roman"/>
          <w:sz w:val="18"/>
          <w:szCs w:val="18"/>
          <w:color w:val="auto"/>
        </w:rPr>
      </w:pPr>
    </w:p>
    <w:p>
      <w:pPr>
        <w:jc w:val="both"/>
        <w:ind w:left="400" w:hanging="392"/>
        <w:spacing w:after="0" w:line="268" w:lineRule="auto"/>
        <w:tabs>
          <w:tab w:leader="none" w:pos="4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any intellectual or industrial property right recognized under the Applicable Laws of any jurisdiction anywhere in the world, including all rights in: (a) Patents, (b) trademarks, (c) Know-How, (d) copyrights, and (e) Internet domain names.</w:t>
      </w:r>
    </w:p>
    <w:p>
      <w:pPr>
        <w:spacing w:after="0" w:line="130" w:lineRule="exact"/>
        <w:rPr>
          <w:rFonts w:ascii="Times New Roman" w:cs="Times New Roman" w:eastAsia="Times New Roman" w:hAnsi="Times New Roman"/>
          <w:sz w:val="18"/>
          <w:szCs w:val="18"/>
          <w:color w:val="auto"/>
        </w:rPr>
      </w:pPr>
    </w:p>
    <w:p>
      <w:pPr>
        <w:jc w:val="both"/>
        <w:ind w:left="400" w:hanging="392"/>
        <w:spacing w:after="0" w:line="259" w:lineRule="auto"/>
        <w:tabs>
          <w:tab w:leader="none" w:pos="4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all tangible and intangible: (a) information, techniques, technology, practices, trade secrets, inventions (whether patentable or not), methods, knowledge, know-how, skill, experience, data, results (including assay development, compound screening, chemical, pharmacological, toxicological and clinical data and results), analytical and quality control data, results or descriptions, software and algorithms, reports and study reports; and (b) compositions of matter, cells, cell lines, assays, animal models and physical, biological or chemical material. For the avoidance of doubt, Know-How does not include Patents.</w:t>
      </w:r>
    </w:p>
    <w:p>
      <w:pPr>
        <w:spacing w:after="0" w:line="138" w:lineRule="exact"/>
        <w:rPr>
          <w:rFonts w:ascii="Times New Roman" w:cs="Times New Roman" w:eastAsia="Times New Roman" w:hAnsi="Times New Roman"/>
          <w:sz w:val="18"/>
          <w:szCs w:val="18"/>
          <w:color w:val="auto"/>
        </w:rPr>
      </w:pPr>
    </w:p>
    <w:p>
      <w:pPr>
        <w:jc w:val="both"/>
        <w:ind w:left="400" w:right="20" w:hanging="392"/>
        <w:spacing w:after="0" w:line="259" w:lineRule="auto"/>
        <w:tabs>
          <w:tab w:leader="none" w:pos="4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means all operations involved in the pre-clinical, clinical, and commercial manufacturing, quality control testing (including in-process, release and stability testing, if applicable), storage, releasing and packaging the Compound(s) and Product(s), including vector construction, test method development and stability testing, toxicology, formulation and delivery system development, process development and optimization, clinical Compound and Product supply, manufacturing scale-up, development-stage manufacturing, quality assurance/ quality control procedure development.</w:t>
      </w:r>
    </w:p>
    <w:p>
      <w:pPr>
        <w:spacing w:after="0" w:line="138" w:lineRule="exact"/>
        <w:rPr>
          <w:rFonts w:ascii="Times New Roman" w:cs="Times New Roman" w:eastAsia="Times New Roman" w:hAnsi="Times New Roman"/>
          <w:sz w:val="18"/>
          <w:szCs w:val="18"/>
          <w:color w:val="auto"/>
        </w:rPr>
      </w:pPr>
    </w:p>
    <w:p>
      <w:pPr>
        <w:jc w:val="both"/>
        <w:ind w:left="400" w:hanging="392"/>
        <w:spacing w:after="0" w:line="268" w:lineRule="auto"/>
        <w:tabs>
          <w:tab w:leader="none" w:pos="4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the gross amounts gross amounts received for sales of Product by ArriVent or its Affiliates or Sublicensees (each a “</w:t>
      </w:r>
      <w:r>
        <w:rPr>
          <w:rFonts w:ascii="Times New Roman" w:cs="Times New Roman" w:eastAsia="Times New Roman" w:hAnsi="Times New Roman"/>
          <w:sz w:val="18"/>
          <w:szCs w:val="18"/>
          <w:b w:val="1"/>
          <w:bCs w:val="1"/>
          <w:color w:val="auto"/>
        </w:rPr>
        <w:t>Selling Person</w:t>
      </w:r>
      <w:r>
        <w:rPr>
          <w:rFonts w:ascii="Times New Roman" w:cs="Times New Roman" w:eastAsia="Times New Roman" w:hAnsi="Times New Roman"/>
          <w:sz w:val="18"/>
          <w:szCs w:val="18"/>
          <w:color w:val="auto"/>
        </w:rPr>
        <w:t>”) to a Third Party in an arms-length transaction, less the following deductions, in each case to the extent specifically related to the Product and taken by the Selling Person or otherwise paid for or accrued by the Selling Person:</w:t>
      </w:r>
    </w:p>
    <w:p>
      <w:pPr>
        <w:spacing w:after="0" w:line="134"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79" w:name="page80"/>
    <w:bookmarkEnd w:id="79"/>
    <w:p>
      <w:pPr>
        <w:ind w:left="1880" w:hanging="333"/>
        <w:spacing w:after="0"/>
        <w:tabs>
          <w:tab w:leader="none" w:pos="1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documented customs duties actually paid by the Selling Person.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 shall be disproportionately allocated to the Product.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amounts shall be determined from the books and records of the Selling Person maintained in accordance with Applicable Accounting Standards, consistently applied throughout such party’s organization.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case of any sale of such Product for consideration other than (or in addition to) cash, such as barter or countertrade, Net Sales shall be calculated on the fair market value of the total consideration received.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case of any sale of a Product that contains Compound and one or more other active ingredients in a single dosage form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the Net Sales in a country in the Territory for purposes of determining payments based on Net Sales hereunder shall be calculated by multiplying the Net Sales of such Combination Product in such country during the applicable reporting period by the fraction, A/(A+B), where: A is the average sales price of the Product received by the Selling Person when sold separately in finished form in such country and B is the average sales price received by the Selling Person of the other active ingredient(s) included in the Combination Product when sold separately in finished form in such country, in each case during the applicable reporting period or, if sales of both the Product and the other active ingredient(s) did not occur in such period, then in the most recent reporting period in which sales of both occurred. In the event that such average sales price cannot be determined for both the Product and all other active ingredient(s) included in such Combination Product, Net Sales in a country in the Territory for purposes of determining payments based on Net Sales hereunder shall be calculated by multiplying the Net Sales of the Combination Product in such country during the applicable reporting period (using the above provisions) by the fraction of C/(C+D) where C is the average sales price if determinable as set forth above, and if not determinable, the fair market value of the Product and D is the average sales price if determinable as set forth above, and if not determinable, then the fair market value of all other active ingredients(s) included in the Combination Product, as such fair market values are determined by the Parties in good faith.</w:t>
      </w:r>
    </w:p>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clarity, in the case of any sale of such Product between or among ArriVent or its Affiliates or Sublicensees for resale, Net Sales shall be calculated as above only on the value charged or invoiced on the first arm’s length sale thereafter to a Third Party.</w:t>
      </w:r>
    </w:p>
    <w:p>
      <w:pPr>
        <w:spacing w:after="0" w:line="131" w:lineRule="exact"/>
        <w:rPr>
          <w:sz w:val="20"/>
          <w:szCs w:val="20"/>
          <w:color w:val="auto"/>
        </w:rPr>
      </w:pPr>
    </w:p>
    <w:p>
      <w:pPr>
        <w:ind w:left="400" w:hanging="392"/>
        <w:spacing w:after="0" w:line="286" w:lineRule="auto"/>
        <w:tabs>
          <w:tab w:leader="none" w:pos="4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means, a new drug application or other comparable application or filing and all amendments and supplements thereto filed with the applicable Regulatory Authority requiring such filing in the Field in the Territory.</w:t>
      </w:r>
    </w:p>
    <w:p>
      <w:pPr>
        <w:spacing w:after="0" w:line="114" w:lineRule="exact"/>
        <w:rPr>
          <w:rFonts w:ascii="Times New Roman" w:cs="Times New Roman" w:eastAsia="Times New Roman" w:hAnsi="Times New Roman"/>
          <w:sz w:val="18"/>
          <w:szCs w:val="18"/>
          <w:color w:val="auto"/>
        </w:rPr>
      </w:pPr>
    </w:p>
    <w:p>
      <w:pPr>
        <w:ind w:left="400" w:hanging="392"/>
        <w:spacing w:after="0" w:line="286" w:lineRule="auto"/>
        <w:tabs>
          <w:tab w:leader="none" w:pos="4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NMPA</w:t>
      </w:r>
      <w:r>
        <w:rPr>
          <w:rFonts w:ascii="Times New Roman" w:cs="Times New Roman" w:eastAsia="Times New Roman" w:hAnsi="Times New Roman"/>
          <w:sz w:val="18"/>
          <w:szCs w:val="18"/>
          <w:color w:val="auto"/>
        </w:rPr>
        <w:t>” means National Medical Products Administration of People’s Republic of China or any competent authority (including any of their competent branches).</w:t>
      </w:r>
    </w:p>
    <w:p>
      <w:pPr>
        <w:spacing w:after="0" w:line="11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“Patented Period” </w:t>
      </w:r>
      <w:r>
        <w:rPr>
          <w:rFonts w:ascii="Times New Roman" w:cs="Times New Roman" w:eastAsia="Times New Roman" w:hAnsi="Times New Roman"/>
          <w:sz w:val="18"/>
          <w:szCs w:val="18"/>
          <w:color w:val="auto"/>
        </w:rPr>
        <w:t>means the expiration of the last Valid Claim of an Alphamab Patent Covering the relevant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0" w:name="page81"/>
    <w:bookmarkEnd w:id="80"/>
    <w:p>
      <w:pPr>
        <w:jc w:val="both"/>
        <w:ind w:left="392" w:hanging="392"/>
        <w:spacing w:after="0" w:line="259" w:lineRule="auto"/>
        <w:tabs>
          <w:tab w:leader="none" w:pos="39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 all patents, patent applications and provisional patent applications in any country or supranational jurisdiction, and (b) any patent applications filed either from such patents, patent applications or provisional applications or from an application claiming priority from any of (a) and any patents having issued or that will issue on the foregoing ((a) and (b)), including any substitutions, divisions, continuations, continuations-in-part, reissues, renewals, registrations, confirmations, re-examinations, extensions, supplementary protection certificates and the like of any such patents or patent applications.</w:t>
      </w:r>
    </w:p>
    <w:p>
      <w:pPr>
        <w:spacing w:after="0" w:line="138" w:lineRule="exact"/>
        <w:rPr>
          <w:rFonts w:ascii="Times New Roman" w:cs="Times New Roman" w:eastAsia="Times New Roman" w:hAnsi="Times New Roman"/>
          <w:sz w:val="18"/>
          <w:szCs w:val="18"/>
          <w:color w:val="auto"/>
        </w:rPr>
      </w:pPr>
    </w:p>
    <w:p>
      <w:pPr>
        <w:jc w:val="both"/>
        <w:ind w:left="392" w:hanging="392"/>
        <w:spacing w:after="0" w:line="262" w:lineRule="auto"/>
        <w:tabs>
          <w:tab w:leader="none" w:pos="39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 Clinical Trial</w:t>
      </w:r>
      <w:r>
        <w:rPr>
          <w:rFonts w:ascii="Times New Roman" w:cs="Times New Roman" w:eastAsia="Times New Roman" w:hAnsi="Times New Roman"/>
          <w:sz w:val="18"/>
          <w:szCs w:val="18"/>
          <w:color w:val="auto"/>
        </w:rPr>
        <w:t>” means a human clinical trial of a product, the principal purpose of which is a determination of metabolism and pharmacologic actions, the side effects associated with increasing doses, and, if possible, to gain early evidence on effectiveness as described in 21 C.F.R. 312.21(a) (as amended or any replacement thereof), or a similar clinical trial prescribed by the Regulatory Authority in a region in the relevant Territory.</w:t>
      </w:r>
    </w:p>
    <w:p>
      <w:pPr>
        <w:spacing w:after="0" w:line="135" w:lineRule="exact"/>
        <w:rPr>
          <w:rFonts w:ascii="Times New Roman" w:cs="Times New Roman" w:eastAsia="Times New Roman" w:hAnsi="Times New Roman"/>
          <w:sz w:val="18"/>
          <w:szCs w:val="18"/>
          <w:color w:val="auto"/>
        </w:rPr>
      </w:pPr>
    </w:p>
    <w:p>
      <w:pPr>
        <w:ind w:left="392" w:hanging="392"/>
        <w:spacing w:after="0" w:line="286" w:lineRule="auto"/>
        <w:tabs>
          <w:tab w:leader="none" w:pos="39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Ph1a Clinical Trial</w:t>
      </w:r>
      <w:r>
        <w:rPr>
          <w:rFonts w:ascii="Times New Roman" w:cs="Times New Roman" w:eastAsia="Times New Roman" w:hAnsi="Times New Roman"/>
          <w:sz w:val="18"/>
          <w:szCs w:val="18"/>
          <w:color w:val="auto"/>
        </w:rPr>
        <w:t>” means a Phase I Clinical Trial involving a single dose escalation to determine maximum tolerated dose of the product.</w:t>
      </w:r>
    </w:p>
    <w:p>
      <w:pPr>
        <w:spacing w:after="0" w:line="114" w:lineRule="exact"/>
        <w:rPr>
          <w:rFonts w:ascii="Times New Roman" w:cs="Times New Roman" w:eastAsia="Times New Roman" w:hAnsi="Times New Roman"/>
          <w:sz w:val="18"/>
          <w:szCs w:val="18"/>
          <w:color w:val="auto"/>
        </w:rPr>
      </w:pPr>
    </w:p>
    <w:p>
      <w:pPr>
        <w:jc w:val="both"/>
        <w:ind w:left="392" w:hanging="392"/>
        <w:spacing w:after="0" w:line="268" w:lineRule="auto"/>
        <w:tabs>
          <w:tab w:leader="none" w:pos="39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“Phase II Clinical Trial</w:t>
      </w:r>
      <w:r>
        <w:rPr>
          <w:rFonts w:ascii="Times New Roman" w:cs="Times New Roman" w:eastAsia="Times New Roman" w:hAnsi="Times New Roman"/>
          <w:sz w:val="18"/>
          <w:szCs w:val="18"/>
          <w:color w:val="auto"/>
        </w:rPr>
        <w:t>” means a human clinical trial of a product, the principal purpose of which is a determination of safety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efficacy in the target patient population, as described in 21 C.F.R. 312.21(b) (as amended or any replacement thereof), or a similar clinical trial prescribed by the Regulatory Authority in a region in the relevant Territory.</w:t>
      </w:r>
    </w:p>
    <w:p>
      <w:pPr>
        <w:spacing w:after="0" w:line="130" w:lineRule="exact"/>
        <w:rPr>
          <w:rFonts w:ascii="Times New Roman" w:cs="Times New Roman" w:eastAsia="Times New Roman" w:hAnsi="Times New Roman"/>
          <w:sz w:val="18"/>
          <w:szCs w:val="18"/>
          <w:color w:val="auto"/>
        </w:rPr>
      </w:pPr>
    </w:p>
    <w:p>
      <w:pPr>
        <w:jc w:val="both"/>
        <w:ind w:left="392" w:right="20" w:hanging="392"/>
        <w:spacing w:after="0" w:line="262" w:lineRule="auto"/>
        <w:tabs>
          <w:tab w:leader="none" w:pos="39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III Clinical Trial</w:t>
      </w:r>
      <w:r>
        <w:rPr>
          <w:rFonts w:ascii="Times New Roman" w:cs="Times New Roman" w:eastAsia="Times New Roman" w:hAnsi="Times New Roman"/>
          <w:sz w:val="18"/>
          <w:szCs w:val="18"/>
          <w:color w:val="auto"/>
        </w:rPr>
        <w:t>” means a human clinical trial of a product, the principal purpose of which is to gather additional information about effectiveness and safety that is needed to evaluate overall benefit-risk relationship as described in 21 C.F.R. 312.21(c) (as amended or any replacement thereof), or a similar clinical trial prescribed by the Regulatory Authority in a region in the relevant Territory</w:t>
      </w:r>
    </w:p>
    <w:p>
      <w:pPr>
        <w:spacing w:after="0" w:line="135" w:lineRule="exact"/>
        <w:rPr>
          <w:rFonts w:ascii="Times New Roman" w:cs="Times New Roman" w:eastAsia="Times New Roman" w:hAnsi="Times New Roman"/>
          <w:sz w:val="18"/>
          <w:szCs w:val="18"/>
          <w:color w:val="auto"/>
        </w:rPr>
      </w:pPr>
    </w:p>
    <w:p>
      <w:pPr>
        <w:jc w:val="both"/>
        <w:ind w:left="392" w:right="20" w:hanging="392"/>
        <w:spacing w:after="0" w:line="262" w:lineRule="auto"/>
        <w:tabs>
          <w:tab w:leader="none" w:pos="39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Approval</w:t>
      </w:r>
      <w:r>
        <w:rPr>
          <w:rFonts w:ascii="Times New Roman" w:cs="Times New Roman" w:eastAsia="Times New Roman" w:hAnsi="Times New Roman"/>
          <w:sz w:val="18"/>
          <w:szCs w:val="18"/>
          <w:color w:val="auto"/>
        </w:rPr>
        <w:t>” means any approval, agreement, determination, or other decision by the applicable Regulatory Authority in a given country or region that establishes prices charged to end-users for pharmaceutical by the Regulatory Authorities or other applicable governmental authorities in such country or region or any other approvals related to pricing of a pharmaceutical, diagnostic, or biologic product (including all activities related to tenders and contracts).</w:t>
      </w:r>
    </w:p>
    <w:p>
      <w:pPr>
        <w:spacing w:after="0" w:line="135" w:lineRule="exact"/>
        <w:rPr>
          <w:rFonts w:ascii="Times New Roman" w:cs="Times New Roman" w:eastAsia="Times New Roman" w:hAnsi="Times New Roman"/>
          <w:sz w:val="18"/>
          <w:szCs w:val="18"/>
          <w:color w:val="auto"/>
        </w:rPr>
      </w:pPr>
    </w:p>
    <w:p>
      <w:pPr>
        <w:jc w:val="both"/>
        <w:ind w:left="392" w:hanging="392"/>
        <w:spacing w:after="0" w:line="268" w:lineRule="auto"/>
        <w:tabs>
          <w:tab w:leader="none" w:pos="39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any formulation containing a Compound in the form of a bi-ADC as an active ingredient, including all methods, forms, presentations, dosage strengths, dosage forms and formulations thereof, for administration by any method of delivery within the Field.</w:t>
      </w:r>
    </w:p>
    <w:p>
      <w:pPr>
        <w:spacing w:after="0" w:line="130" w:lineRule="exact"/>
        <w:rPr>
          <w:rFonts w:ascii="Times New Roman" w:cs="Times New Roman" w:eastAsia="Times New Roman" w:hAnsi="Times New Roman"/>
          <w:sz w:val="18"/>
          <w:szCs w:val="18"/>
          <w:color w:val="auto"/>
        </w:rPr>
      </w:pPr>
    </w:p>
    <w:p>
      <w:pPr>
        <w:jc w:val="both"/>
        <w:ind w:left="392" w:hanging="392"/>
        <w:spacing w:after="0" w:line="268" w:lineRule="auto"/>
        <w:tabs>
          <w:tab w:leader="none" w:pos="39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for the purpose of this Agreement, all approvals, licenses, permits, certifications, registrations, or authorizations of any Regulatory Authority necessary to Commercialize the Products in the Field in the Territory. For the avoidance of doubt, Regulatory Approval under this Agreement does not include IND approvals on Products.</w:t>
      </w:r>
    </w:p>
    <w:p>
      <w:pPr>
        <w:spacing w:after="0" w:line="130"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country, national, supranational, regional,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 xml:space="preserve">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left="-8" w:firstLine="8"/>
        <w:spacing w:after="0" w:line="264" w:lineRule="auto"/>
        <w:tabs>
          <w:tab w:leader="none" w:pos="349"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81" w:name="page82"/>
    <w:bookmarkEnd w:id="81"/>
    <w:p>
      <w:pPr>
        <w:jc w:val="both"/>
        <w:ind w:left="372"/>
        <w:spacing w:after="0" w:line="266" w:lineRule="auto"/>
        <w:rPr>
          <w:sz w:val="20"/>
          <w:szCs w:val="20"/>
          <w:color w:val="auto"/>
        </w:rPr>
      </w:pPr>
      <w:r>
        <w:rPr>
          <w:rFonts w:ascii="Times New Roman" w:cs="Times New Roman" w:eastAsia="Times New Roman" w:hAnsi="Times New Roman"/>
          <w:sz w:val="18"/>
          <w:szCs w:val="18"/>
          <w:color w:val="auto"/>
        </w:rPr>
        <w:t>state, provincial or local regulatory agency, department, bureau, commission, council or other governmental or regulatory authority having the administrative authority to regulate the development or marketing of pharmaceutical products in any country or other jurisdiction in the applicable Territory.</w:t>
      </w:r>
    </w:p>
    <w:p>
      <w:pPr>
        <w:spacing w:after="0" w:line="131" w:lineRule="exact"/>
        <w:rPr>
          <w:sz w:val="20"/>
          <w:szCs w:val="20"/>
          <w:color w:val="auto"/>
        </w:rPr>
      </w:pPr>
    </w:p>
    <w:p>
      <w:pPr>
        <w:jc w:val="both"/>
        <w:ind w:left="392" w:hanging="392"/>
        <w:spacing w:after="0" w:line="259" w:lineRule="auto"/>
        <w:tabs>
          <w:tab w:leader="none" w:pos="3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Exclusivity Period</w:t>
      </w:r>
      <w:r>
        <w:rPr>
          <w:rFonts w:ascii="Times New Roman" w:cs="Times New Roman" w:eastAsia="Times New Roman" w:hAnsi="Times New Roman"/>
          <w:sz w:val="18"/>
          <w:szCs w:val="18"/>
          <w:color w:val="auto"/>
        </w:rPr>
        <w:t>” means, in respect of a country, (a) any protection period for a Product imposed by the relevant Regulatory Authority during which an applicant for a Biosimilar may not refer to such Regulatory Authority’s finding of safety, purity, and potency with respect to a Compound in order to obtain a Marketing Authorization for such Biosimilar, plus (b) any protection period for a Compound imposed by the Regulatory Authority which prohibits any Biosimilar market entry until after the expiration of such protection period.</w:t>
      </w:r>
    </w:p>
    <w:p>
      <w:pPr>
        <w:spacing w:after="0" w:line="138" w:lineRule="exact"/>
        <w:rPr>
          <w:rFonts w:ascii="Times New Roman" w:cs="Times New Roman" w:eastAsia="Times New Roman" w:hAnsi="Times New Roman"/>
          <w:sz w:val="18"/>
          <w:szCs w:val="18"/>
          <w:color w:val="auto"/>
        </w:rPr>
      </w:pPr>
    </w:p>
    <w:p>
      <w:pPr>
        <w:jc w:val="both"/>
        <w:ind w:left="392" w:hanging="392"/>
        <w:spacing w:after="0" w:line="259" w:lineRule="auto"/>
        <w:tabs>
          <w:tab w:leader="none" w:pos="3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means, with respect to the Products in the Field in the applicable country or jurisdiction in the Territory, all applications, registrations, submissions, dossiers, notifications, licenses, authorizations and approvals, all correspondence submitted to or received from the Regulatory Authorities (including minutes and official contact reports relating to any communications with any Regulatory Authority) and all supporting documents and all data contained in any of the foregoing, including the Regulatory Approvals, Adverse Event files and complaint files.</w:t>
      </w:r>
    </w:p>
    <w:p>
      <w:pPr>
        <w:spacing w:after="0" w:line="138" w:lineRule="exact"/>
        <w:rPr>
          <w:rFonts w:ascii="Times New Roman" w:cs="Times New Roman" w:eastAsia="Times New Roman" w:hAnsi="Times New Roman"/>
          <w:sz w:val="18"/>
          <w:szCs w:val="18"/>
          <w:color w:val="auto"/>
        </w:rPr>
      </w:pPr>
    </w:p>
    <w:p>
      <w:pPr>
        <w:jc w:val="both"/>
        <w:ind w:left="392" w:hanging="392"/>
        <w:spacing w:after="0" w:line="262" w:lineRule="auto"/>
        <w:tabs>
          <w:tab w:leader="none" w:pos="3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Requirements</w:t>
      </w:r>
      <w:r>
        <w:rPr>
          <w:rFonts w:ascii="Times New Roman" w:cs="Times New Roman" w:eastAsia="Times New Roman" w:hAnsi="Times New Roman"/>
          <w:sz w:val="18"/>
          <w:szCs w:val="18"/>
          <w:color w:val="auto"/>
        </w:rPr>
        <w:t>” means all licenses, registrations, mandatory standards, conditions, manufacturing principles, directions, orders and determinations in force from time to time set out in the Applicable Laws that apply to the manufacture (including Manufacture), supply, packaging, labeling and/or Commercialization of medicinal products in each country in the Territory.</w:t>
      </w:r>
    </w:p>
    <w:p>
      <w:pPr>
        <w:spacing w:after="0" w:line="13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Responsible Party</w:t>
      </w:r>
      <w:r>
        <w:rPr>
          <w:rFonts w:ascii="Times New Roman" w:cs="Times New Roman" w:eastAsia="Times New Roman" w:hAnsi="Times New Roman"/>
          <w:sz w:val="18"/>
          <w:szCs w:val="18"/>
          <w:color w:val="auto"/>
        </w:rPr>
        <w:t>” means the Party designated under Section 5.7.1 (Regulatory Responsible Party).</w:t>
      </w:r>
    </w:p>
    <w:p>
      <w:pPr>
        <w:spacing w:after="0" w:line="184" w:lineRule="exact"/>
        <w:rPr>
          <w:rFonts w:ascii="Times New Roman" w:cs="Times New Roman" w:eastAsia="Times New Roman" w:hAnsi="Times New Roman"/>
          <w:sz w:val="18"/>
          <w:szCs w:val="18"/>
          <w:color w:val="auto"/>
        </w:rPr>
      </w:pPr>
    </w:p>
    <w:p>
      <w:pPr>
        <w:jc w:val="both"/>
        <w:ind w:left="392" w:hanging="392"/>
        <w:spacing w:after="0" w:line="259" w:lineRule="auto"/>
        <w:tabs>
          <w:tab w:leader="none" w:pos="3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w:t>
      </w:r>
      <w:r>
        <w:rPr>
          <w:rFonts w:ascii="Times New Roman" w:cs="Times New Roman" w:eastAsia="Times New Roman" w:hAnsi="Times New Roman"/>
          <w:sz w:val="18"/>
          <w:szCs w:val="18"/>
          <w:color w:val="auto"/>
        </w:rPr>
        <w:t>” means solely the activities conducted by the Parties hereunder for each Target Pair pursuant to the Research Plan, including, as applicable, activities conducted related to construction, design, discovery, identification, synthesis, characterization, process development and pre-clinical material manufacturing of Compounds but excluding any screening activities under the Screening Plan. “</w:t>
      </w:r>
      <w:r>
        <w:rPr>
          <w:rFonts w:ascii="Times New Roman" w:cs="Times New Roman" w:eastAsia="Times New Roman" w:hAnsi="Times New Roman"/>
          <w:sz w:val="18"/>
          <w:szCs w:val="18"/>
          <w:b w:val="1"/>
          <w:bCs w:val="1"/>
          <w:color w:val="auto"/>
        </w:rPr>
        <w:t>Researching</w:t>
      </w:r>
      <w:r>
        <w:rPr>
          <w:rFonts w:ascii="Times New Roman" w:cs="Times New Roman" w:eastAsia="Times New Roman" w:hAnsi="Times New Roman"/>
          <w:sz w:val="18"/>
          <w:szCs w:val="18"/>
          <w:color w:val="auto"/>
        </w:rPr>
        <w:t>” shall have a correlative meaning. Activities constituting Research include activities that would, if not performed pursuant to the Research Plan, be Development activities.</w:t>
      </w:r>
    </w:p>
    <w:p>
      <w:pPr>
        <w:spacing w:after="0" w:line="138" w:lineRule="exact"/>
        <w:rPr>
          <w:rFonts w:ascii="Times New Roman" w:cs="Times New Roman" w:eastAsia="Times New Roman" w:hAnsi="Times New Roman"/>
          <w:sz w:val="18"/>
          <w:szCs w:val="18"/>
          <w:color w:val="auto"/>
        </w:rPr>
      </w:pPr>
    </w:p>
    <w:p>
      <w:pPr>
        <w:ind w:left="392" w:right="20" w:hanging="392"/>
        <w:spacing w:after="0" w:line="286" w:lineRule="auto"/>
        <w:tabs>
          <w:tab w:leader="none" w:pos="3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means, on a Product-by-Product and country-by-country basis, the period of time from the Effective Date until the later of (a) [***], (b) [***], or (c) [***].</w:t>
      </w:r>
    </w:p>
    <w:p>
      <w:pPr>
        <w:spacing w:after="0" w:line="114"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shall mean the biological target of a pharmacologically active drug compound and epitopes of such biological target.</w:t>
      </w:r>
    </w:p>
    <w:p>
      <w:pPr>
        <w:spacing w:after="0" w:line="184" w:lineRule="exact"/>
        <w:rPr>
          <w:rFonts w:ascii="Times New Roman" w:cs="Times New Roman" w:eastAsia="Times New Roman" w:hAnsi="Times New Roman"/>
          <w:sz w:val="18"/>
          <w:szCs w:val="18"/>
          <w:color w:val="auto"/>
        </w:rPr>
      </w:pPr>
    </w:p>
    <w:p>
      <w:pPr>
        <w:jc w:val="both"/>
        <w:ind w:left="392" w:hanging="392"/>
        <w:spacing w:after="0" w:line="268" w:lineRule="auto"/>
        <w:tabs>
          <w:tab w:leader="none" w:pos="3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Pairs</w:t>
      </w:r>
      <w:r>
        <w:rPr>
          <w:rFonts w:ascii="Times New Roman" w:cs="Times New Roman" w:eastAsia="Times New Roman" w:hAnsi="Times New Roman"/>
          <w:sz w:val="18"/>
          <w:szCs w:val="18"/>
          <w:color w:val="auto"/>
        </w:rPr>
        <w:t>” means, with respect to Compounds being confirmed by JSC and developed by Alphamab, the exact two Targets that such compound binds. For illustration, the pair of targets of A+B (Target A and Target B) and targets of A+C (Target A and Target C) are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left="-8" w:firstLine="8"/>
        <w:spacing w:after="0" w:line="264" w:lineRule="auto"/>
        <w:tabs>
          <w:tab w:leader="none" w:pos="349"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82" w:name="page83"/>
    <w:bookmarkEnd w:id="82"/>
    <w:p>
      <w:pPr>
        <w:ind w:left="372"/>
        <w:spacing w:after="0"/>
        <w:rPr>
          <w:sz w:val="20"/>
          <w:szCs w:val="20"/>
          <w:color w:val="auto"/>
        </w:rPr>
      </w:pPr>
      <w:r>
        <w:rPr>
          <w:rFonts w:ascii="Times New Roman" w:cs="Times New Roman" w:eastAsia="Times New Roman" w:hAnsi="Times New Roman"/>
          <w:sz w:val="18"/>
          <w:szCs w:val="18"/>
          <w:color w:val="auto"/>
        </w:rPr>
        <w:t>different Target Pairs.</w:t>
      </w:r>
    </w:p>
    <w:p>
      <w:pPr>
        <w:spacing w:after="0" w:line="181" w:lineRule="exact"/>
        <w:rPr>
          <w:sz w:val="20"/>
          <w:szCs w:val="20"/>
          <w:color w:val="auto"/>
        </w:rPr>
      </w:pPr>
    </w:p>
    <w:p>
      <w:pPr>
        <w:ind w:left="392" w:hanging="392"/>
        <w:spacing w:after="0"/>
        <w:tabs>
          <w:tab w:leader="none" w:pos="3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(a) the ArriVent Territory, with respect to ArriVent, (b) the Alphamab Territory, with respect to Alphamab, and</w:t>
      </w:r>
    </w:p>
    <w:p>
      <w:pPr>
        <w:spacing w:after="0" w:line="31" w:lineRule="exact"/>
        <w:rPr>
          <w:rFonts w:ascii="Times New Roman" w:cs="Times New Roman" w:eastAsia="Times New Roman" w:hAnsi="Times New Roman"/>
          <w:sz w:val="18"/>
          <w:szCs w:val="18"/>
          <w:color w:val="auto"/>
        </w:rPr>
      </w:pPr>
    </w:p>
    <w:p>
      <w:pPr>
        <w:ind w:left="3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collectively, worldwide.</w:t>
      </w:r>
    </w:p>
    <w:p>
      <w:pPr>
        <w:spacing w:after="0" w:line="162"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or entity other than ArriVent or Alphamab.</w:t>
      </w:r>
    </w:p>
    <w:p>
      <w:pPr>
        <w:spacing w:after="0" w:line="184" w:lineRule="exact"/>
        <w:rPr>
          <w:rFonts w:ascii="Times New Roman" w:cs="Times New Roman" w:eastAsia="Times New Roman" w:hAnsi="Times New Roman"/>
          <w:sz w:val="18"/>
          <w:szCs w:val="18"/>
          <w:color w:val="auto"/>
        </w:rPr>
      </w:pPr>
    </w:p>
    <w:p>
      <w:pPr>
        <w:jc w:val="both"/>
        <w:ind w:left="392" w:hanging="392"/>
        <w:spacing w:after="0" w:line="268" w:lineRule="auto"/>
        <w:tabs>
          <w:tab w:leader="none" w:pos="3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Combination</w:t>
      </w:r>
      <w:r>
        <w:rPr>
          <w:rFonts w:ascii="Times New Roman" w:cs="Times New Roman" w:eastAsia="Times New Roman" w:hAnsi="Times New Roman"/>
          <w:sz w:val="18"/>
          <w:szCs w:val="18"/>
          <w:color w:val="auto"/>
        </w:rPr>
        <w:t>” means (a) a Product that includes a Compound together with one or more other active ingredients proprietary to a Third Party; or (b) the use of a Product or Compound together with one or more other active ingredients or products proprietary to a Third Party (for example, a combination therapy).</w:t>
      </w:r>
    </w:p>
    <w:p>
      <w:pPr>
        <w:spacing w:after="0" w:line="130" w:lineRule="exact"/>
        <w:rPr>
          <w:rFonts w:ascii="Times New Roman" w:cs="Times New Roman" w:eastAsia="Times New Roman" w:hAnsi="Times New Roman"/>
          <w:sz w:val="18"/>
          <w:szCs w:val="18"/>
          <w:color w:val="auto"/>
        </w:rPr>
      </w:pPr>
    </w:p>
    <w:p>
      <w:pPr>
        <w:jc w:val="both"/>
        <w:ind w:left="392" w:hanging="392"/>
        <w:spacing w:after="0" w:line="257" w:lineRule="auto"/>
        <w:tabs>
          <w:tab w:leader="none" w:pos="3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(a) a claim of a pending patent application which was filed and is being prosecuted in good faith and has not been abandoned or finally disallowed without the possibility of appeal or refiling of the application, and provided no more than seven (7) years have passed since the earliest priority date for such application, or (b) a claim of an issued and unexpired patent which has not been revoked or held unenforceable or invalid by a decision of a court or other governmental agency of competent jurisdiction, and which is not appealable or has not been appealed within the time allowed for appeal, and which has not been abandoned, disclaimed, denied or admitted to be invalid or unenforceable through reissue, re-examination, disclaimer or otherwise.</w:t>
      </w:r>
    </w:p>
    <w:p>
      <w:pPr>
        <w:spacing w:after="0" w:line="141" w:lineRule="exact"/>
        <w:rPr>
          <w:rFonts w:ascii="Times New Roman" w:cs="Times New Roman" w:eastAsia="Times New Roman" w:hAnsi="Times New Roman"/>
          <w:sz w:val="18"/>
          <w:szCs w:val="18"/>
          <w:color w:val="auto"/>
        </w:rPr>
      </w:pPr>
    </w:p>
    <w:p>
      <w:pPr>
        <w:jc w:val="both"/>
        <w:ind w:left="392" w:hanging="392"/>
        <w:spacing w:after="0" w:line="254" w:lineRule="auto"/>
        <w:tabs>
          <w:tab w:leader="none" w:pos="3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Violation</w:t>
      </w:r>
      <w:r>
        <w:rPr>
          <w:rFonts w:ascii="Times New Roman" w:cs="Times New Roman" w:eastAsia="Times New Roman" w:hAnsi="Times New Roman"/>
          <w:sz w:val="18"/>
          <w:szCs w:val="18"/>
          <w:color w:val="auto"/>
        </w:rPr>
        <w:t>” means that a Party or any of its officers or directors or any other personnel of such Party (or other permitted agents of such Party performing activities hereunder, including any of such Party’s Affiliates, Sublicensees or Third Party contractors and their respective officers and directors) has been: (a) convicted of any of the felonies identified among the exclusion authorities listed on the U.S. Department of Health and Human Services, Office of Inspector General (OIG) website, including 42 U.S.C. 1320a-7(a) (http://oig.hhs.gov/exclusions/authorities.asp); (b) identified in the OIG List of Excluded Individuals/Entities (LEIE) database (http://exclusions.oig.hhs.gov/) or the U.S. General Services Administration's list of Parties Excluded from Federal Programs (http://www.epls.gov); or (c) listed by any U.S. federal agency as being suspended, debarred, excluded or otherwise ineligible to participate in federal procurement or non-procurement programs, including under 21 U.S.C. 335a (http://www.fda.gov/ora/compliance_ref/debar/) (each of (a), (b) and (c) collectively the “</w:t>
      </w:r>
      <w:r>
        <w:rPr>
          <w:rFonts w:ascii="Times New Roman" w:cs="Times New Roman" w:eastAsia="Times New Roman" w:hAnsi="Times New Roman"/>
          <w:sz w:val="18"/>
          <w:szCs w:val="18"/>
          <w:b w:val="1"/>
          <w:bCs w:val="1"/>
          <w:color w:val="auto"/>
        </w:rPr>
        <w:t>Exclusions Lists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left="-8" w:firstLine="8"/>
        <w:spacing w:after="0" w:line="264" w:lineRule="auto"/>
        <w:tabs>
          <w:tab w:leader="none" w:pos="349" w:val="left"/>
        </w:tabs>
        <w:numPr>
          <w:ilvl w:val="0"/>
          <w:numId w:val="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Alphamab Patents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360" w:type="dxa"/>
            <w:vAlign w:val="bottom"/>
            <w:tcBorders>
              <w:top w:val="single" w:sz="8" w:color="auto"/>
              <w:left w:val="single" w:sz="8" w:color="auto"/>
              <w:right w:val="single" w:sz="8" w:color="auto"/>
            </w:tcBorders>
            <w:shd w:val="clear" w:color="auto" w:fill="D9D9D9"/>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w w:val="98"/>
              </w:rPr>
              <w:t>Patent/Application</w:t>
            </w:r>
          </w:p>
        </w:tc>
        <w:tc>
          <w:tcPr>
            <w:tcW w:w="2160" w:type="dxa"/>
            <w:vAlign w:val="bottom"/>
            <w:tcBorders>
              <w:top w:val="single" w:sz="8" w:color="auto"/>
              <w:right w:val="single" w:sz="8" w:color="auto"/>
            </w:tcBorders>
            <w:vMerge w:val="restart"/>
            <w:shd w:val="clear" w:color="auto" w:fill="D9D9D9"/>
          </w:tcPr>
          <w:p>
            <w:pPr>
              <w:ind w:left="84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Application date</w:t>
            </w:r>
          </w:p>
        </w:tc>
        <w:tc>
          <w:tcPr>
            <w:tcW w:w="33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Patentee/Applicant</w:t>
            </w:r>
          </w:p>
        </w:tc>
        <w:tc>
          <w:tcPr>
            <w:tcW w:w="0" w:type="dxa"/>
            <w:vAlign w:val="bottom"/>
          </w:tcPr>
          <w:p>
            <w:pPr>
              <w:spacing w:after="0"/>
              <w:rPr>
                <w:sz w:val="1"/>
                <w:szCs w:val="1"/>
                <w:color w:val="auto"/>
              </w:rPr>
            </w:pPr>
          </w:p>
        </w:tc>
      </w:tr>
      <w:tr>
        <w:trPr>
          <w:trHeight w:val="165"/>
        </w:trPr>
        <w:tc>
          <w:tcPr>
            <w:tcW w:w="236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number</w:t>
            </w:r>
          </w:p>
        </w:tc>
        <w:tc>
          <w:tcPr>
            <w:tcW w:w="2160" w:type="dxa"/>
            <w:vAlign w:val="bottom"/>
            <w:tcBorders>
              <w:right w:val="single" w:sz="8" w:color="auto"/>
            </w:tcBorders>
            <w:vMerge w:val="continue"/>
            <w:shd w:val="clear" w:color="auto" w:fill="D9D9D9"/>
          </w:tcPr>
          <w:p>
            <w:pPr>
              <w:spacing w:after="0"/>
              <w:rPr>
                <w:sz w:val="14"/>
                <w:szCs w:val="14"/>
                <w:color w:val="auto"/>
              </w:rPr>
            </w:pPr>
          </w:p>
        </w:tc>
        <w:tc>
          <w:tcPr>
            <w:tcW w:w="2040" w:type="dxa"/>
            <w:vAlign w:val="bottom"/>
            <w:tcBorders>
              <w:right w:val="single" w:sz="8" w:color="auto"/>
            </w:tcBorders>
            <w:vMerge w:val="continue"/>
            <w:shd w:val="clear" w:color="auto" w:fill="D9D9D9"/>
          </w:tcPr>
          <w:p>
            <w:pPr>
              <w:spacing w:after="0"/>
              <w:rPr>
                <w:sz w:val="14"/>
                <w:szCs w:val="14"/>
                <w:color w:val="auto"/>
              </w:rPr>
            </w:pPr>
          </w:p>
        </w:tc>
        <w:tc>
          <w:tcPr>
            <w:tcW w:w="3360" w:type="dxa"/>
            <w:vAlign w:val="bottom"/>
            <w:tcBorders>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360" w:type="dxa"/>
            <w:vAlign w:val="bottom"/>
            <w:tcBorders>
              <w:left w:val="single" w:sz="8" w:color="auto"/>
              <w:bottom w:val="single" w:sz="8" w:color="auto"/>
              <w:right w:val="single" w:sz="8" w:color="auto"/>
            </w:tcBorders>
            <w:vMerge w:val="continue"/>
            <w:shd w:val="clear" w:color="auto" w:fill="D9D9D9"/>
          </w:tcPr>
          <w:p>
            <w:pPr>
              <w:spacing w:after="0"/>
              <w:rPr>
                <w:sz w:val="9"/>
                <w:szCs w:val="9"/>
                <w:color w:val="auto"/>
              </w:rPr>
            </w:pPr>
          </w:p>
        </w:tc>
        <w:tc>
          <w:tcPr>
            <w:tcW w:w="2160" w:type="dxa"/>
            <w:vAlign w:val="bottom"/>
            <w:tcBorders>
              <w:bottom w:val="single" w:sz="8" w:color="auto"/>
              <w:right w:val="single" w:sz="8" w:color="auto"/>
            </w:tcBorders>
            <w:shd w:val="clear" w:color="auto" w:fill="D9D9D9"/>
          </w:tcPr>
          <w:p>
            <w:pPr>
              <w:spacing w:after="0"/>
              <w:rPr>
                <w:sz w:val="9"/>
                <w:szCs w:val="9"/>
                <w:color w:val="auto"/>
              </w:rPr>
            </w:pPr>
          </w:p>
        </w:tc>
        <w:tc>
          <w:tcPr>
            <w:tcW w:w="2040" w:type="dxa"/>
            <w:vAlign w:val="bottom"/>
            <w:tcBorders>
              <w:bottom w:val="single" w:sz="8" w:color="auto"/>
              <w:right w:val="single" w:sz="8" w:color="auto"/>
            </w:tcBorders>
            <w:shd w:val="clear" w:color="auto" w:fill="D9D9D9"/>
          </w:tcPr>
          <w:p>
            <w:pPr>
              <w:spacing w:after="0"/>
              <w:rPr>
                <w:sz w:val="9"/>
                <w:szCs w:val="9"/>
                <w:color w:val="auto"/>
              </w:rPr>
            </w:pPr>
          </w:p>
        </w:tc>
        <w:tc>
          <w:tcPr>
            <w:tcW w:w="336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3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w:t>
            </w:r>
          </w:p>
        </w:tc>
        <w:tc>
          <w:tcPr>
            <w:tcW w:w="2160" w:type="dxa"/>
            <w:vAlign w:val="bottom"/>
            <w:tcBorders>
              <w:bottom w:val="single" w:sz="8" w:color="auto"/>
              <w:right w:val="single" w:sz="8" w:color="auto"/>
            </w:tcBorders>
          </w:tcPr>
          <w:p>
            <w:pPr>
              <w:ind w:left="8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40" w:type="dxa"/>
            <w:vAlign w:val="bottom"/>
            <w:tcBorders>
              <w:bottom w:val="single" w:sz="8" w:color="auto"/>
              <w:right w:val="single" w:sz="8" w:color="auto"/>
            </w:tcBorders>
          </w:tcPr>
          <w:p>
            <w:pPr>
              <w:jc w:val="right"/>
              <w:ind w:right="6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360" w:type="dxa"/>
            <w:vAlign w:val="bottom"/>
            <w:tcBorders>
              <w:bottom w:val="single" w:sz="8" w:color="auto"/>
              <w:right w:val="single" w:sz="8" w:color="auto"/>
            </w:tcBorders>
          </w:tcPr>
          <w:p>
            <w:pPr>
              <w:jc w:val="right"/>
              <w:ind w:right="13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84" w:name="page85"/>
    <w:bookmarkEnd w:id="84"/>
    <w:tbl>
      <w:tblPr>
        <w:tblLayout w:type="fixed"/>
        <w:tblInd w:w="1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20" w:type="dxa"/>
            <w:vAlign w:val="bottom"/>
            <w:gridSpan w:val="2"/>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9"/>
              </w:rPr>
              <w:t>Exhibit 3</w:t>
            </w:r>
          </w:p>
        </w:tc>
      </w:tr>
      <w:tr>
        <w:trPr>
          <w:trHeight w:val="351"/>
        </w:trPr>
        <w:tc>
          <w:tcPr>
            <w:tcW w:w="2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20" w:type="dxa"/>
            <w:vAlign w:val="bottom"/>
            <w:gridSpan w:val="2"/>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9"/>
              </w:rPr>
              <w:t>Exemplary Research and Related Activities</w:t>
            </w:r>
          </w:p>
        </w:tc>
      </w:tr>
      <w:tr>
        <w:trPr>
          <w:trHeight w:val="210"/>
        </w:trPr>
        <w:tc>
          <w:tcPr>
            <w:tcW w:w="2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340" w:type="dxa"/>
            <w:vAlign w:val="bottom"/>
            <w:tcBorders>
              <w:top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r>
      <w:tr>
        <w:trPr>
          <w:trHeight w:val="236"/>
        </w:trPr>
        <w:tc>
          <w:tcPr>
            <w:tcW w:w="2400" w:type="dxa"/>
            <w:vAlign w:val="bottom"/>
            <w:tcBorders>
              <w:left w:val="single" w:sz="8" w:color="auto"/>
              <w:bottom w:val="single" w:sz="8" w:color="auto"/>
              <w:right w:val="single" w:sz="8" w:color="auto"/>
            </w:tcBorders>
            <w:shd w:val="clear" w:color="auto" w:fill="F2F2F2"/>
          </w:tcPr>
          <w:p>
            <w:pPr>
              <w:ind w:left="940"/>
              <w:spacing w:after="0" w:line="237" w:lineRule="exact"/>
              <w:rPr>
                <w:sz w:val="20"/>
                <w:szCs w:val="20"/>
                <w:color w:val="auto"/>
              </w:rPr>
            </w:pPr>
            <w:r>
              <w:rPr>
                <w:rFonts w:ascii="Times New Roman" w:cs="Times New Roman" w:eastAsia="Times New Roman" w:hAnsi="Times New Roman"/>
                <w:sz w:val="22"/>
                <w:szCs w:val="22"/>
                <w:b w:val="1"/>
                <w:bCs w:val="1"/>
                <w:color w:val="auto"/>
              </w:rPr>
              <w:t>Topic</w:t>
            </w:r>
          </w:p>
        </w:tc>
        <w:tc>
          <w:tcPr>
            <w:tcW w:w="900" w:type="dxa"/>
            <w:vAlign w:val="bottom"/>
            <w:tcBorders>
              <w:bottom w:val="single" w:sz="8" w:color="auto"/>
            </w:tcBorders>
            <w:shd w:val="clear" w:color="auto" w:fill="F2F2F2"/>
          </w:tcPr>
          <w:p>
            <w:pPr>
              <w:spacing w:after="0"/>
              <w:rPr>
                <w:sz w:val="20"/>
                <w:szCs w:val="20"/>
                <w:color w:val="auto"/>
              </w:rPr>
            </w:pPr>
          </w:p>
        </w:tc>
        <w:tc>
          <w:tcPr>
            <w:tcW w:w="6620" w:type="dxa"/>
            <w:vAlign w:val="bottom"/>
            <w:tcBorders>
              <w:bottom w:val="single" w:sz="8" w:color="auto"/>
              <w:right w:val="single" w:sz="8" w:color="auto"/>
            </w:tcBorders>
            <w:gridSpan w:val="2"/>
            <w:shd w:val="clear" w:color="auto" w:fill="F2F2F2"/>
          </w:tcPr>
          <w:p>
            <w:pPr>
              <w:ind w:left="1380"/>
              <w:spacing w:after="0" w:line="237" w:lineRule="exact"/>
              <w:rPr>
                <w:sz w:val="20"/>
                <w:szCs w:val="20"/>
                <w:color w:val="auto"/>
              </w:rPr>
            </w:pPr>
            <w:r>
              <w:rPr>
                <w:rFonts w:ascii="Times New Roman" w:cs="Times New Roman" w:eastAsia="Times New Roman" w:hAnsi="Times New Roman"/>
                <w:sz w:val="22"/>
                <w:szCs w:val="22"/>
                <w:b w:val="1"/>
                <w:bCs w:val="1"/>
                <w:color w:val="auto"/>
              </w:rPr>
              <w:t>Research and Related Activities</w:t>
            </w:r>
          </w:p>
        </w:tc>
      </w:tr>
      <w:tr>
        <w:trPr>
          <w:trHeight w:val="209"/>
        </w:trPr>
        <w:tc>
          <w:tcPr>
            <w:tcW w:w="240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Article 4.3.2(a)</w:t>
            </w:r>
          </w:p>
        </w:tc>
        <w:tc>
          <w:tcPr>
            <w:tcW w:w="900" w:type="dxa"/>
            <w:vAlign w:val="bottom"/>
          </w:tcPr>
          <w:p>
            <w:pPr>
              <w:jc w:val="right"/>
              <w:ind w:right="232"/>
              <w:spacing w:after="0" w:line="209"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r>
      <w:tr>
        <w:trPr>
          <w:trHeight w:val="270"/>
        </w:trPr>
        <w:tc>
          <w:tcPr>
            <w:tcW w:w="2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Activities</w:t>
            </w:r>
          </w:p>
        </w:tc>
        <w:tc>
          <w:tcPr>
            <w:tcW w:w="90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spacing w:after="0"/>
              <w:rPr>
                <w:sz w:val="23"/>
                <w:szCs w:val="23"/>
                <w:color w:val="auto"/>
              </w:rPr>
            </w:pPr>
          </w:p>
        </w:tc>
        <w:tc>
          <w:tcPr>
            <w:tcW w:w="3280" w:type="dxa"/>
            <w:vAlign w:val="bottom"/>
            <w:tcBorders>
              <w:bottom w:val="single" w:sz="8" w:color="auto"/>
              <w:right w:val="single" w:sz="8" w:color="auto"/>
            </w:tcBorders>
          </w:tcPr>
          <w:p>
            <w:pPr>
              <w:spacing w:after="0"/>
              <w:rPr>
                <w:sz w:val="23"/>
                <w:szCs w:val="23"/>
                <w:color w:val="auto"/>
              </w:rPr>
            </w:pPr>
          </w:p>
        </w:tc>
      </w:tr>
      <w:tr>
        <w:trPr>
          <w:trHeight w:val="209"/>
        </w:trPr>
        <w:tc>
          <w:tcPr>
            <w:tcW w:w="240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Article 4.3.2(b)</w:t>
            </w:r>
          </w:p>
        </w:tc>
        <w:tc>
          <w:tcPr>
            <w:tcW w:w="900" w:type="dxa"/>
            <w:vAlign w:val="bottom"/>
          </w:tcPr>
          <w:p>
            <w:pPr>
              <w:jc w:val="right"/>
              <w:ind w:right="232"/>
              <w:spacing w:after="0" w:line="209"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r>
      <w:tr>
        <w:trPr>
          <w:trHeight w:val="270"/>
        </w:trPr>
        <w:tc>
          <w:tcPr>
            <w:tcW w:w="2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Activities</w:t>
            </w:r>
          </w:p>
        </w:tc>
        <w:tc>
          <w:tcPr>
            <w:tcW w:w="90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spacing w:after="0"/>
              <w:rPr>
                <w:sz w:val="23"/>
                <w:szCs w:val="23"/>
                <w:color w:val="auto"/>
              </w:rPr>
            </w:pPr>
          </w:p>
        </w:tc>
        <w:tc>
          <w:tcPr>
            <w:tcW w:w="3280" w:type="dxa"/>
            <w:vAlign w:val="bottom"/>
            <w:tcBorders>
              <w:bottom w:val="single" w:sz="8" w:color="auto"/>
              <w:right w:val="single" w:sz="8" w:color="auto"/>
            </w:tcBorders>
          </w:tcPr>
          <w:p>
            <w:pPr>
              <w:spacing w:after="0"/>
              <w:rPr>
                <w:sz w:val="23"/>
                <w:szCs w:val="23"/>
                <w:color w:val="auto"/>
              </w:rPr>
            </w:pPr>
          </w:p>
        </w:tc>
      </w:tr>
      <w:tr>
        <w:trPr>
          <w:trHeight w:val="209"/>
        </w:trPr>
        <w:tc>
          <w:tcPr>
            <w:tcW w:w="240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Article 4.3.2(c)</w:t>
            </w:r>
          </w:p>
        </w:tc>
        <w:tc>
          <w:tcPr>
            <w:tcW w:w="900" w:type="dxa"/>
            <w:vAlign w:val="bottom"/>
          </w:tcPr>
          <w:p>
            <w:pPr>
              <w:jc w:val="right"/>
              <w:ind w:right="232"/>
              <w:spacing w:after="0" w:line="209" w:lineRule="exact"/>
              <w:rPr>
                <w:sz w:val="20"/>
                <w:szCs w:val="20"/>
                <w:color w:val="auto"/>
              </w:rPr>
            </w:pPr>
            <w:r>
              <w:rPr>
                <w:rFonts w:ascii="Times New Roman" w:cs="Times New Roman" w:eastAsia="Times New Roman" w:hAnsi="Times New Roman"/>
                <w:sz w:val="22"/>
                <w:szCs w:val="22"/>
                <w:color w:val="auto"/>
              </w:rPr>
              <w:t>[***]</w:t>
            </w:r>
          </w:p>
        </w:tc>
        <w:tc>
          <w:tcPr>
            <w:tcW w:w="3340" w:type="dxa"/>
            <w:vAlign w:val="bottom"/>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r>
      <w:tr>
        <w:trPr>
          <w:trHeight w:val="270"/>
        </w:trPr>
        <w:tc>
          <w:tcPr>
            <w:tcW w:w="2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Activities</w:t>
            </w:r>
          </w:p>
        </w:tc>
        <w:tc>
          <w:tcPr>
            <w:tcW w:w="90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spacing w:after="0"/>
              <w:rPr>
                <w:sz w:val="23"/>
                <w:szCs w:val="23"/>
                <w:color w:val="auto"/>
              </w:rPr>
            </w:pPr>
          </w:p>
        </w:tc>
        <w:tc>
          <w:tcPr>
            <w:tcW w:w="328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Change of Control Management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55</w:t>
      </w:r>
    </w:p>
    <w:p>
      <w:pPr>
        <w:spacing w:after="0" w:line="115" w:lineRule="exact"/>
        <w:rPr>
          <w:sz w:val="20"/>
          <w:szCs w:val="20"/>
          <w:color w:val="auto"/>
        </w:rPr>
      </w:pPr>
    </w:p>
    <w:p>
      <w:pPr>
        <w:ind w:firstLine="8"/>
        <w:spacing w:after="0" w:line="264" w:lineRule="auto"/>
        <w:tabs>
          <w:tab w:leader="none" w:pos="358" w:val="left"/>
        </w:tabs>
        <w:numPr>
          <w:ilvl w:val="0"/>
          <w:numId w:val="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Zhengbin Yao, Ph.D., certify that:</w:t>
      </w:r>
    </w:p>
    <w:p>
      <w:pPr>
        <w:spacing w:after="0" w:line="225" w:lineRule="exact"/>
        <w:rPr>
          <w:sz w:val="20"/>
          <w:szCs w:val="20"/>
          <w:color w:val="auto"/>
        </w:rPr>
      </w:pPr>
    </w:p>
    <w:p>
      <w:pPr>
        <w:ind w:left="340" w:hanging="332"/>
        <w:spacing w:after="0"/>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ArriVent BioPharma,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860"/>
        <w:spacing w:after="0"/>
        <w:tabs>
          <w:tab w:leader="none" w:pos="5340" w:val="left"/>
        </w:tabs>
        <w:rPr>
          <w:sz w:val="20"/>
          <w:szCs w:val="20"/>
          <w:color w:val="auto"/>
        </w:rPr>
      </w:pPr>
      <w:r>
        <w:rPr>
          <w:rFonts w:ascii="Times New Roman" w:cs="Times New Roman" w:eastAsia="Times New Roman" w:hAnsi="Times New Roman"/>
          <w:sz w:val="18"/>
          <w:szCs w:val="18"/>
          <w:color w:val="auto"/>
        </w:rPr>
        <w:t>By:</w:t>
        <w:tab/>
        <w:t>/s/ Zhengbin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86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Zhengbin Yao, Ph.D.</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Winston Kung, certify that:</w:t>
      </w:r>
    </w:p>
    <w:p>
      <w:pPr>
        <w:spacing w:after="0" w:line="225"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ArriVent BioPharma,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860"/>
        <w:spacing w:after="0"/>
        <w:tabs>
          <w:tab w:leader="none" w:pos="5340" w:val="left"/>
        </w:tabs>
        <w:rPr>
          <w:sz w:val="20"/>
          <w:szCs w:val="20"/>
          <w:color w:val="auto"/>
        </w:rPr>
      </w:pPr>
      <w:r>
        <w:rPr>
          <w:rFonts w:ascii="Times New Roman" w:cs="Times New Roman" w:eastAsia="Times New Roman" w:hAnsi="Times New Roman"/>
          <w:sz w:val="18"/>
          <w:szCs w:val="18"/>
          <w:color w:val="auto"/>
        </w:rPr>
        <w:t>By:</w:t>
        <w:tab/>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86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Winston Kung</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the Quarterly Report of ArriVent BioPharma, Inc. (the “Company”) on Form 10-Q for the quarter ended June 30, 2024, as filed with the Securities and Exchange Commission on the date hereof (the “Report”), I, Zhengbin Yao, Ph.D., hereby certify, pursuant to 18 U.S.C.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1350, as adopted pursuant to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906 of the Sarbanes-Oxley Act of 2002, that:</w:t>
      </w:r>
    </w:p>
    <w:p>
      <w:pPr>
        <w:spacing w:after="0" w:line="129" w:lineRule="exact"/>
        <w:rPr>
          <w:sz w:val="20"/>
          <w:szCs w:val="20"/>
          <w:color w:val="auto"/>
        </w:rPr>
      </w:pPr>
    </w:p>
    <w:p>
      <w:pPr>
        <w:ind w:left="660" w:right="20" w:hanging="328"/>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Zhengbin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Name:Zhengbin Yao, Ph.D.</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the Quarterly Report of ArriVent BioPharma, Inc. (the “Company”) on Form 10-Q for the quarter ended June 30, 2024, as filed with the Securities and Exchange Commission on the date hereof (the “Report”), I, Winston Kung, hereby certify, pursuant to 18 U.S.C.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1350, as adopted pursuant to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906 of the Sarbanes-Oxley Act of 2002, that:</w:t>
      </w:r>
    </w:p>
    <w:p>
      <w:pPr>
        <w:spacing w:after="0" w:line="129" w:lineRule="exact"/>
        <w:rPr>
          <w:sz w:val="20"/>
          <w:szCs w:val="20"/>
          <w:color w:val="auto"/>
        </w:rPr>
      </w:pPr>
    </w:p>
    <w:p>
      <w:pPr>
        <w:ind w:left="660" w:right="2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Name:Winston Kung</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1)"/>
      <w:numFmt w:val="decimal"/>
      <w:start w:val="9"/>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
      <w:numFmt w:val="bullet"/>
      <w:start w:val="1"/>
    </w:lvl>
  </w:abstractNum>
  <w:abstractNum w:abstractNumId="13">
    <w:nsid w:val="235BA861"/>
    <w:multiLevelType w:val="hybridMultilevel"/>
    <w:lvl w:ilvl="0">
      <w:lvlJc w:val="left"/>
      <w:lvlText w:val="*"/>
      <w:numFmt w:val="bullet"/>
      <w:start w:val="1"/>
    </w:lvl>
    <w:lvl w:ilvl="1">
      <w:lvlJc w:val="left"/>
      <w:lvlText w:val="%2"/>
      <w:numFmt w:val="decimal"/>
      <w:start w:val="104"/>
    </w:lvl>
  </w:abstractNum>
  <w:abstractNum w:abstractNumId="14">
    <w:nsid w:val="47398C89"/>
    <w:multiLevelType w:val="hybridMultilevel"/>
    <w:lvl w:ilvl="0">
      <w:lvlJc w:val="left"/>
      <w:lvlText w:val="**"/>
      <w:numFmt w:val="bullet"/>
      <w:start w:val="1"/>
    </w:lvl>
    <w:lvl w:ilvl="1">
      <w:lvlJc w:val="left"/>
      <w:lvlText w:val="%2"/>
      <w:numFmt w:val="decimal"/>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1)"/>
      <w:numFmt w:val="lowerLetter"/>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1)"/>
      <w:numFmt w:val="lowerLetter"/>
      <w:start w:val="16"/>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1)"/>
      <w:numFmt w:val="lowerLetter"/>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1)"/>
      <w:numFmt w:val="lowerLetter"/>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1)"/>
      <w:numFmt w:val="lowerLetter"/>
      <w:start w:val="1"/>
    </w:lvl>
  </w:abstractNum>
  <w:abstractNum w:abstractNumId="33">
    <w:nsid w:val="5DB70AE5"/>
    <w:multiLevelType w:val="hybridMultilevel"/>
    <w:lvl w:ilvl="0">
      <w:lvlJc w:val="left"/>
      <w:lvlText w:val="(%1)"/>
      <w:numFmt w:val="lowerLetter"/>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1)"/>
      <w:numFmt w:val="lowerLetter"/>
      <w:start w:val="2"/>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1)"/>
      <w:numFmt w:val="lowerLetter"/>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1)"/>
      <w:numFmt w:val="lowerLetter"/>
      <w:start w:val="3"/>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1)"/>
      <w:numFmt w:val="lowerLetter"/>
      <w:start w:val="4"/>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1)"/>
      <w:numFmt w:val="lowerLetter"/>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1)"/>
      <w:numFmt w:val="lowerLetter"/>
      <w:start w:val="2"/>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1)"/>
      <w:numFmt w:val="lowerLetter"/>
      <w:start w:val="4"/>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1."/>
      <w:numFmt w:val="decimal"/>
      <w:start w:val="1"/>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1."/>
      <w:numFmt w:val="decimal"/>
      <w:start w:val="7"/>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1."/>
      <w:numFmt w:val="decimal"/>
      <w:start w:val="16"/>
    </w:lvl>
    <w:lvl w:ilvl="1">
      <w:lvlJc w:val="left"/>
      <w:lvlText w:val="(%2)"/>
      <w:numFmt w:val="lowerRoman"/>
      <w:start w:val="3"/>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1."/>
      <w:numFmt w:val="decimal"/>
      <w:start w:val="24"/>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1."/>
      <w:numFmt w:val="decimal"/>
      <w:start w:val="30"/>
    </w:lvl>
  </w:abstractNum>
  <w:abstractNum w:abstractNumId="83">
    <w:nsid w:val="CC1016F"/>
    <w:multiLevelType w:val="hybridMultilevel"/>
    <w:lvl w:ilvl="0">
      <w:lvlJc w:val="left"/>
      <w:lvlText w:val="[***]"/>
      <w:numFmt w:val="bullet"/>
      <w:start w:val="1"/>
    </w:lvl>
  </w:abstractNum>
  <w:abstractNum w:abstractNumId="84">
    <w:nsid w:val="43F18422"/>
    <w:multiLevelType w:val="hybridMultilevel"/>
    <w:lvl w:ilvl="0">
      <w:lvlJc w:val="left"/>
      <w:lvlText w:val="%1."/>
      <w:numFmt w:val="decimal"/>
      <w:start w:val="39"/>
    </w:lvl>
    <w:lvl w:ilvl="1">
      <w:lvlJc w:val="left"/>
      <w:lvlText w:val="(%2)"/>
      <w:numFmt w:val="lowerLetter"/>
      <w:start w:val="1"/>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1)"/>
      <w:numFmt w:val="lowerLetter"/>
      <w:start w:val="5"/>
    </w:lvl>
  </w:abstractNum>
  <w:abstractNum w:abstractNumId="87">
    <w:nsid w:val="7F01579B"/>
    <w:multiLevelType w:val="hybridMultilevel"/>
    <w:lvl w:ilvl="0">
      <w:lvlJc w:val="left"/>
      <w:lvlText w:val="%1."/>
      <w:numFmt w:val="decimal"/>
      <w:start w:val="44"/>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1."/>
      <w:numFmt w:val="decimal"/>
      <w:start w:val="47"/>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1."/>
      <w:numFmt w:val="decimal"/>
      <w:start w:val="56"/>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1."/>
      <w:numFmt w:val="decimal"/>
      <w:start w:val="64"/>
    </w:lvl>
  </w:abstractNum>
  <w:abstractNum w:abstractNumId="94">
    <w:nsid w:val="6AA78F7F"/>
    <w:multiLevelType w:val="hybridMultilevel"/>
    <w:lvl w:ilvl="0">
      <w:lvlJc w:val="left"/>
      <w:lvlText w:val="[***]"/>
      <w:numFmt w:val="bullet"/>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44" Type="http://schemas.openxmlformats.org/officeDocument/2006/relationships/hyperlink" Target="https://www.sec.gov/Archives/edgar/data/1868279/000110465924008228/tm2321853d25_ex3-1.htm" TargetMode="External"/><Relationship Id="rId45" Type="http://schemas.openxmlformats.org/officeDocument/2006/relationships/hyperlink" Target="https://www.sec.gov/Archives/edgar/data/1868279/000110465924008228/tm2321853d25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2024-08-14T15:53:27Z</dcterms:created>
  <dcterms:modified xsi:type="dcterms:W3CDTF">2024-08-14T15:53:27Z</dcterms:modified>
</cp:coreProperties>
</file>