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340" w:right="1340" w:hanging="3332"/>
        <w:spacing w:after="0" w:line="353" w:lineRule="auto"/>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40" w:type="dxa"/>
            <w:vAlign w:val="bottom"/>
            <w:gridSpan w:val="3"/>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40" w:type="dxa"/>
            <w:vAlign w:val="bottom"/>
            <w:gridSpan w:val="3"/>
          </w:tcPr>
          <w:p>
            <w:pPr>
              <w:jc w:val="center"/>
              <w:ind w:left="171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540" w:type="dxa"/>
            <w:vAlign w:val="bottom"/>
            <w:gridSpan w:val="3"/>
          </w:tcPr>
          <w:p>
            <w:pPr>
              <w:jc w:val="center"/>
              <w:ind w:left="1699"/>
              <w:spacing w:after="0"/>
              <w:rPr>
                <w:sz w:val="20"/>
                <w:szCs w:val="20"/>
                <w:color w:val="auto"/>
              </w:rPr>
            </w:pPr>
            <w:r>
              <w:rPr>
                <w:rFonts w:ascii="Times New Roman" w:cs="Times New Roman" w:eastAsia="Times New Roman" w:hAnsi="Times New Roman"/>
                <w:sz w:val="16"/>
                <w:szCs w:val="16"/>
                <w:b w:val="1"/>
                <w:bCs w:val="1"/>
                <w:color w:val="auto"/>
              </w:rPr>
              <w:t>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May 7, 2024 was 33,493,750.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1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firmonertinib (rINN; also known as furmonertinib) or any of our other current or future product candidates, including our product development plans and strategies;</w:t>
      </w:r>
    </w:p>
    <w:p>
      <w:pPr>
        <w:spacing w:after="0" w:line="175"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health epidemics and outbreaks, including the novel coronavirus (COVID-19), on our business;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9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Securities and Exchange Commission (the SEC) as exhibits to this Quarterly Report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1380" w:type="dxa"/>
            <w:vAlign w:val="bottom"/>
            <w:tcBorders>
              <w:top w:val="single" w:sz="8" w:color="0000EE"/>
            </w:tcBorders>
            <w:gridSpan w:val="7"/>
          </w:tcPr>
          <w:p>
            <w:pPr>
              <w:spacing w:after="0"/>
              <w:rPr>
                <w:sz w:val="17"/>
                <w:szCs w:val="17"/>
                <w:color w:val="auto"/>
              </w:rPr>
            </w:pPr>
          </w:p>
        </w:tc>
        <w:tc>
          <w:tcPr>
            <w:tcW w:w="39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Convertible Preferred Stock and Stockholders’ Equity (Deficit)</w:t>
            </w:r>
          </w:p>
        </w:tc>
        <w:tc>
          <w:tcPr>
            <w:tcW w:w="8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4580" w:type="dxa"/>
            <w:vAlign w:val="bottom"/>
            <w:gridSpan w:val="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Interim Financial Statements</w:t>
            </w:r>
          </w:p>
        </w:tc>
        <w:tc>
          <w:tcPr>
            <w:tcW w:w="372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5"/>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150,000,000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150,000,000 shares issued and outstanding at December 31,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147,619,034 shares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147,619,034 shares issued and outstanding at December 31, 2023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33,493,750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2,745,480 shares issued and outstanding at March 31, 2024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25,046,531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1,287,574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820" w:type="dxa"/>
            <w:vAlign w:val="bottom"/>
          </w:tcPr>
          <w:p>
            <w:pPr>
              <w:spacing w:after="0"/>
              <w:rPr>
                <w:sz w:val="3"/>
                <w:szCs w:val="3"/>
                <w:color w:val="auto"/>
              </w:rPr>
            </w:pPr>
          </w:p>
        </w:tc>
        <w:tc>
          <w:tcPr>
            <w:tcW w:w="184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740" w:type="dxa"/>
            <w:vAlign w:val="bottom"/>
            <w:gridSpan w:val="4"/>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82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20" w:type="dxa"/>
            <w:vAlign w:val="bottom"/>
          </w:tcPr>
          <w:p>
            <w:pPr>
              <w:spacing w:after="0"/>
              <w:rPr>
                <w:sz w:val="15"/>
                <w:szCs w:val="15"/>
                <w:color w:val="auto"/>
              </w:rPr>
            </w:pPr>
          </w:p>
        </w:tc>
        <w:tc>
          <w:tcPr>
            <w:tcW w:w="18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7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98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shd w:val="clear" w:color="auto" w:fill="000000"/>
          </w:tcPr>
          <w:p>
            <w:pPr>
              <w:spacing w:after="0"/>
              <w:rPr>
                <w:sz w:val="13"/>
                <w:szCs w:val="13"/>
                <w:color w:val="auto"/>
              </w:rPr>
            </w:pPr>
          </w:p>
        </w:tc>
        <w:tc>
          <w:tcPr>
            <w:tcW w:w="90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5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2023</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104,761,894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109,706</w:t>
            </w:r>
          </w:p>
        </w:tc>
        <w:tc>
          <w:tcPr>
            <w:tcW w:w="20" w:type="dxa"/>
            <w:vAlign w:val="bottom"/>
            <w:tcBorders>
              <w:top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2,597,738</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(88,512)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$1.05 per share, net of</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42,857,140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44,943</w:t>
            </w:r>
          </w:p>
        </w:tc>
        <w:tc>
          <w:tcPr>
            <w:tcW w:w="20" w:type="dxa"/>
            <w:vAlign w:val="bottom"/>
            <w:shd w:val="clear" w:color="auto" w:fill="000000"/>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 of $57</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11,417</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00" w:type="dxa"/>
            <w:vAlign w:val="bottom"/>
            <w:tcBorders>
              <w:lef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2023</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147,619,034</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154,649</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2,609,155</w:t>
            </w:r>
          </w:p>
        </w:tc>
        <w:tc>
          <w:tcPr>
            <w:tcW w:w="1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3,595</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(100,684)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January 1, 2024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149,865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147,619,034</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2,745,480</w:t>
            </w:r>
          </w:p>
        </w:tc>
        <w:tc>
          <w:tcPr>
            <w:tcW w:w="14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4,652</w:t>
            </w:r>
          </w:p>
        </w:tc>
        <w:tc>
          <w:tcPr>
            <w:tcW w:w="1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(157,845)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(153,193)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6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 initial public offering, net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issuance costs of $18,032</w:t>
            </w: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into common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(149,865)</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(147,619,034)</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00" w:type="dxa"/>
            <w:vAlign w:val="bottom"/>
            <w:tcBorders>
              <w:lef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33,493,750</w:t>
            </w:r>
          </w:p>
        </w:tc>
        <w:tc>
          <w:tcPr>
            <w:tcW w:w="1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492,982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(175,262)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00" w:top="513" w:right="125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in an initial public offering,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 of issuance costs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317,393</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transferred to additional paid in capital</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9). The Company’s lead development candidate, firmonertinib, is a third-generation tyrosine kinase inhibitor currently being evaluated in multiple clinical trials across a range of epidermal growth factor receptor (EGFR) mutations in non-small cell lung cancer (NSCLC), many for which there are limited treatment options.</w:t>
      </w:r>
    </w:p>
    <w:p>
      <w:pPr>
        <w:spacing w:after="0" w:line="194"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estimated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Development-Stage Risks and Liquidity</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$175.3 million as of March 31, 2024. The Company anticipates incurring additional losses until such time, if ever, that it can generate significant sales from its product candidates currently in development. Management believes that cash and cash equivalents of $317.4 million as of March 31, 2024 are sufficient to sustain planned operations through at least twelve months from the issuance date of these financial statements.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2023, filed with the Securities and Exchange Commission on March 28, 2024 (the “Annual Report”) has not materially changed, except as set forth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accompanying interim financial statements include all the normal and recurring adjustments (which consist primarily of accruals, estimates, and assumptions that impact financial statements) considered necessary to present fairly the Company’s financial position as of March 31, 2024 and its results of operations for the three months ended March 31, 2024 and 2023. Certain information and disclosures normally included in the annual financial statements prepared in accordance with GAAP, but that is not required for interim reporting purposes, have been condensed or omitted. These interim financial statements should be read in conjunction with the audited financial statements and related notes as of and for the year ended December 31, 2023, and the notes thereto, which are included in the Annual Report. The December 31, 2023 balance sheet has been derived from the audited financial statements. The results of operations for the interim periods are not necessarily indicative of the results to be expected for a full year, any other interim periods or any future year or period.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Significant areas that require management’s estimates include the fair value of the Company’s common stock prior to the completion of the Company’s initial public offering, stock-based compensation expense assumptions and accrued research and development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6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basic and diluted (in thousands, except share and per share data):</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8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25,046,531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Weighted-average shares of common stock subject to repurchase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25,046,531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1,287,574</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1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7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9,861,923</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9,705,383</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1,314,914</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2,547,253</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1,546,972</w:t>
            </w:r>
          </w:p>
        </w:tc>
        <w:tc>
          <w:tcPr>
            <w:tcW w:w="180" w:type="dxa"/>
            <w:vAlign w:val="bottom"/>
            <w:tcBorders>
              <w:bottom w:val="single" w:sz="8" w:color="CCEEFF"/>
            </w:tcBorders>
          </w:tcPr>
          <w:p>
            <w:pPr>
              <w:spacing w:after="0"/>
              <w:rPr>
                <w:sz w:val="18"/>
                <w:szCs w:val="18"/>
                <w:color w:val="auto"/>
              </w:rPr>
            </w:pPr>
          </w:p>
        </w:tc>
      </w:tr>
      <w:tr>
        <w:trPr>
          <w:trHeight w:val="210"/>
        </w:trPr>
        <w:tc>
          <w:tcPr>
            <w:tcW w:w="67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2,547,253</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22,429,192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standard includes the requirement that public business entities, on an annual basis,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2026. Early adoption is permitted. This standard should be applied on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prospective basis. Retrospective application is permitted. The Company is currently evaluating the impact that this standard may have on its financial statements.</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7"/>
              </w:rPr>
              <w:t>Current assets:</w:t>
            </w:r>
          </w:p>
        </w:tc>
        <w:tc>
          <w:tcPr>
            <w:tcW w:w="1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$ 127,579</w:t>
            </w:r>
          </w:p>
        </w:tc>
        <w:tc>
          <w:tcPr>
            <w:tcW w:w="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$ 127,579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4060" w:type="dxa"/>
            <w:vAlign w:val="bottom"/>
            <w:gridSpan w:val="2"/>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9"/>
              </w:rPr>
              <w:t>Current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$ 124,322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w w:val="98"/>
              </w:rPr>
              <w:t>Total assets measured at fair value</w:t>
            </w:r>
          </w:p>
        </w:tc>
        <w:tc>
          <w:tcPr>
            <w:tcW w:w="1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$ 124,322</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Money market accounts are highly liquid investments. The pricing information on the Company’s money market account is based on quoted prices in active markets. This approach results in a classification of these securities as Level 1 of the fair value hierarchy.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3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52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2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8"/>
                <w:szCs w:val="18"/>
                <w:color w:val="auto"/>
              </w:rPr>
            </w:pPr>
          </w:p>
        </w:tc>
      </w:tr>
      <w:tr>
        <w:trPr>
          <w:trHeight w:val="209"/>
        </w:trPr>
        <w:tc>
          <w:tcPr>
            <w:tcW w:w="46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has one operating lease that it subleases for its office space in California, which commenced in November 2023 with an original lease term through January 2026. This lease replaced a lease at the same address which commenced in January 2022 with an original lease term through January 2024 (which ended in January 2024). The Company also leases other space with an initial lease term of less than twelve months; therefore, it does not recognize this lease as an operating lease on the balance sheet.</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Company’s operating lease right-of-use (“ROU”) asset and the related lease liabilities are initially measured at the present value of future lease payments over the lease term. The Company is responsible for payment of certain real estate taxes, insurance and other expenses on certain of its leases. These amounts are generally considered to be variable and are not included in the measurement of the ROU assets and lease liability. The Company accounts for non-lease components, such as maintenance, separately from lease components.</w:t>
      </w:r>
    </w:p>
    <w:p>
      <w:pPr>
        <w:spacing w:after="0" w:line="183"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Operating lease expense was less than $0.1 million for each of the three months ended March 31, 2024 and 2023. The Company’s remaining lease term and discount rate for its operating lease as of March 31, 2024 were 1.83 years and 10.0%, respectively.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 maturities of operating lease liabilities were as follows as of March 31, 2024 (in thousands):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Remainder of 2024</w:t>
            </w:r>
          </w:p>
        </w:tc>
        <w:tc>
          <w:tcPr>
            <w:tcW w:w="6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Cash paid for rent expense recorded during each of the three months ended March 31, 2024 and 2023 was less than $0.1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Aarvik Research Agreement</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2023, with Aarvik Pharmaceuticals, Inc. (“Aarvik”), under which the Company is required to pay Aarvik up to $3.1 million on statements of work (“SOWs”) and an initiation fee of $0.3 million predefined in the agreement. After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 in commercial milestones. Additionally, the Company would be obligated to pay Aarvik royalties in the mid-single digits based on net sales of licensed products.</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2024 and 2023, the Company incurred $0.1 million in research and development expenses related to the Aarvik SOWs.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In June 2021, the Company adopted the 2021 Employee, Director and Consultant Equity Incentive Plan (the “2021 Plan”), as amended, that authorized the Company to grant up to 803,564 shares of common stock. In 2022, the Company amended the 2021 Plan and increased the total number of shares authorized under the Plan to 2,748,818. In January 2024, the Company adopted the 2024 Employee, Director and Consultant Equity Incentive Plan (the “2024 Plan”) that authorized the Company to grant up to 3,900,000 shares of common stock plus any remaining ungranted or forfeited shares from the 2021 Plan. As of March 31, 2024, there were 3,939,333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w:t>
      </w:r>
    </w:p>
    <w:p>
      <w:pPr>
        <w:spacing w:after="0" w:line="17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4"/>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886,776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14.91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06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564,452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880" w:type="dxa"/>
            <w:vAlign w:val="bottom"/>
            <w:tcBorders>
              <w:bottom w:val="single" w:sz="8" w:color="CCEEFF"/>
            </w:tcBorders>
            <w:gridSpan w:val="3"/>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0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2,547,253</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4.94</w:t>
            </w:r>
          </w:p>
        </w:tc>
        <w:tc>
          <w:tcPr>
            <w:tcW w:w="880" w:type="dxa"/>
            <w:vAlign w:val="bottom"/>
            <w:tcBorders>
              <w:bottom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8.82</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32,961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2024 and 2023 were $6.03 and $2.79 per share, respectively. The fair value was estimated using the Black-Scholes option-pricing model based on the following assumptions: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 - 3.98%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93.1% - 93.2%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5.85 - 6.04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March 31, 2024 was $7.8 million and will be expensed over a weighted-average period of 3.1 years.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Allist License Agreement</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(the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w:t>
      </w:r>
    </w:p>
    <w:p>
      <w:pPr>
        <w:spacing w:after="0" w:line="183"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Upon the achievement of certain clinical, regulatory and commercial milestones using the licensed technology, the Company is obligated to make future milestone payments to Allist. During the three months ended March 31, 2024 and 2023, no clinical milestones were met or achieved. The Company is obligated to make future milestone payments of up to $105.0 million in clinical and regulatory milestones and up to $655.0 million in sales milestones. Furthermore royalties, ranging from high single digit percentages to low mid-teen percentage will be payable on net sales of licensed products in licensed territories.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three months ended March 31, 2024 and 2023, the Company incurred $0.2 million and $0.6 million, respectively, in cost reimbursements to Allist which have been recorded as research and development expense under the Clinical Collaboration Agreement. The Company also was entitled to cost reimbursement from Allist of $0.1 million for each of the three months ended March 31, 2024 and 2023, which has been recorded as a reduction of research and development expenses. The Company assessed the Clinical Collaboration in accordance with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and determined that the arrangement did not meet the definition of a collaborative arrangement under ASC 808 since, while the Company and Allist are active participants in the activities under the Clinical Collaboration, both parties are not exposed to significant risks and rewards dependent on the commercial success of the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interim financial statements and related notes appearing elsewhere in this Quarterly Report on Form 10-Q and the audited financial information and the notes thereto included in our Annual Report on Form 10-K, which was filed with the SEC on March 28, 2024 (the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on Form 10-Q as well as our Annual Report, our actual results could differ materially from the results described in or implied by the forward-looking statements contained in the following discussion and analysis. You should carefully read the “Risk Factors” sections of this Quarterly Report on Form 10-Q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on Form 10-Q.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(HER2) mutations or human epidermal growth factor receptor 4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(n=22 out of 28 patients) were observed to experience a reduction in tumor size of at least 30%. If the future clinical 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 In 2021, we licensed from Allist the right to develop and commercialize firmonertinib worldwide, with the exception of greater China, which includes mainland China, Hong Kong, Macau and Taiwan.</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w:t>
      </w:r>
    </w:p>
    <w:p>
      <w:pPr>
        <w:spacing w:after="0" w:line="6" w:lineRule="exact"/>
        <w:rPr>
          <w:sz w:val="20"/>
          <w:szCs w:val="20"/>
          <w:color w:val="auto"/>
        </w:rPr>
      </w:pPr>
    </w:p>
    <w:p>
      <w:pPr>
        <w:jc w:val="both"/>
        <w:ind w:left="60" w:right="119"/>
        <w:spacing w:after="0" w:line="290" w:lineRule="auto"/>
        <w:rPr>
          <w:sz w:val="20"/>
          <w:szCs w:val="20"/>
          <w:color w:val="auto"/>
        </w:rPr>
      </w:pPr>
      <w:r>
        <w:rPr>
          <w:rFonts w:ascii="Times New Roman" w:cs="Times New Roman" w:eastAsia="Times New Roman" w:hAnsi="Times New Roman"/>
          <w:sz w:val="17"/>
          <w:szCs w:val="17"/>
          <w:color w:val="auto"/>
        </w:rPr>
        <w:t>15.2 month median duration of response (DOR). Interim results may not be indicative of final results; however, we believe these interim clinical results underscore firmonertinib’s potential in patients whose tumors contain an uncommon EGFRm.</w:t>
      </w:r>
    </w:p>
    <w:p>
      <w:pPr>
        <w:spacing w:after="0" w:line="15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three months ended March 31, 2024 and 2023, no clinical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9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our initial public offering in January 2024.</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we completed the closing of our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We received net proceeds of $183.2 million, after deducting underwriting discounts and commissions and other estimated offering expenses. In addition, as a result of the closing of our initial public offering, our convertible preferred stock converted into 19,567,306 shares of common stock in January 2024.</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$17.4 million and $12.2 million for the three months ended March 31, 2024 and 2023, respectively. As of March 31, 2024, we had an accumulated deficit of $175.3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339" w:firstLine="324"/>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related services associated with maintaining compliance with exchange listing and SEC requirements, director and officer insurance premiums and investor relations costs associated with operating as a public company.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three months ended March 31, 2024 and 2023:</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Firmonertinib</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Discovery-stage programs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$17.0 million and $10.2 million for the three months ended March 31, 2024 and 2023, respectively. The increase of $6.7 million was primarily due to an increase of $5.9 million related to our lead product candidate, firmonertinib, an increase of $0.7 million in personnel-related costs due to increased headcount and $0.2 million in preclinical discovery work. Costs related to firmonertinib increased as a result of increased costs related to our FURVENT Phase 3 clinical trial of $5.2 million, a $0.7 million increase in other general firmonertinib costs, and a $0.3 million increase in costs related to our FURTHER Phase 1 clinical trial due to additional patients added to the studies in the second half of 2023, partially offset by a decrease in costs related to our FAVOUR trial.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$3.7 million and $1.9 million for the three months ended March 31, 2024 and 2023, respectively. The increase of $1.8 million was due primarily to increases of $0.7 million in professional services and $0.7 million in personnel-related expenses.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$3.3 million for the three months ended March 31, 2024 and consisted of interest earned on our cash equivalents. For the three months ended March 31, 2023, we did not earn any interest income.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jc w:val="both"/>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and our initial public offering of common stock. To date, we have raised gross proceeds of $305.0 million from the issuance of convertible preferred stock. Additionally, in the first quarter of 2024, we completed our initial public offering of</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11,180,555 shares of our common stock at a price to the public of $18.00 per share, including the exercise in full by the underwriters of their option to purchase 1,458,333 additional shares of our common stock for aggregate proceeds of $183.2 million, net of underwriting discounts, commissions and other estimated offering expenses. As of March 31, 2024, we had cash and cash equivalents of $317.4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March 31, 2024 will be sufficient to meet our anticipated cash requirements into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200" w:type="dxa"/>
            <w:vAlign w:val="bottom"/>
          </w:tcPr>
          <w:p>
            <w:pPr>
              <w:spacing w:after="0"/>
              <w:rPr>
                <w:sz w:val="18"/>
                <w:szCs w:val="18"/>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Net cash used in operating activities was $18.6 million for the three months ended March 31, 2024 reflecting our net loss of $17.4 million and a $1.8 million net change in our operating assets and liabilities attributable to the timing in which we pay our vendors for research and development activities offset, in part, by $0.6 million in stock-based compensation.</w:t>
      </w:r>
    </w:p>
    <w:p>
      <w:pPr>
        <w:spacing w:after="0" w:line="131"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Net cash used in operating activities was $16.9 million for the three months ended March 31, 2023 reflecting our net loss of $12.2 million and a $4.9 million net change in our operating assets and liabilities attributable to the timing in which we pay our vendors for research and development activities offset, in part, by $0.2 million in stock-based compensation.</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net cash was provided by investing activities for each of the three months ended March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$185.6 million for the three months ended March 31, 2024, due to the net proceeds from our initial public offering.</w:t>
      </w:r>
    </w:p>
    <w:p>
      <w:pPr>
        <w:spacing w:after="0" w:line="14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$45.0 million for the three months ended March 31, 2023, primarily due to the $44.9 million of net proceeds from the issuance of Series B convertible preferred stock.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60" w:right="8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2024 and the effects that such obligations are expected to have on our liquidity and cash flows in future periods: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40"/>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8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226"/>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99"/>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7"/>
        </w:trPr>
        <w:tc>
          <w:tcPr>
            <w:tcW w:w="4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0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 other than as disclosed in Note 3 to our accompanying financial statements appearing elsewhere in this Quarterly Report on Form 10-Q.</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0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 (Sarbanes-Oxley).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p>
    <w:p>
      <w:pPr>
        <w:spacing w:after="0" w:line="175"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16"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2"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2024. As of March 31, 2024, our disclosure controls and procedures were not effective as a result of our material weaknesses in our internal control over financial reporting.</w:t>
      </w:r>
    </w:p>
    <w:p>
      <w:pPr>
        <w:spacing w:after="0" w:line="16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our Chief Financial Officer, has concluded that, notwithstanding the identified material weaknesses in our internal control over financial reporting, the financial statements in this Quarterly Report on Form 10-Q fairly present, in all material respects, our financial position, results of operations and cash flows for the periods presented in conformity with U.S. GAAP.</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than the material weakness remediation activities described below, there were no changes in our internal control over financial reporting, as identified in connection with evaluation required by Rules 13a-15(e) and 15d-15(e) under the Exchange Act, that occurred during the three months ended March 31, 2024 that have materially affected, or are reasonably likely to materially affect, our internal control over financial reporting.</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we have taken steps of implementing our remediation plans with respect to the material weaknesses identified in our internal control over financial reporting. Specifically, with the oversight of senior management and our audit committee, we have hired our Chief Financial Officer, and begun implementing processes and controls to address the material weaknesses. We have increased the number of resources (internal and third-party) dedicated to our accounting and finance team, including personnel with additional knowledge, experience, and training, to ensure we have adequate staff, to segregate key duties, and to comply with company policies and procedures. We also plan to engage a third-party provider to help us assess and improve our internal controls in preparation for compliance with Sarbanes-Oxley. Additionally, we continue to make progress on implementing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p>
    <w:p>
      <w:pPr>
        <w:spacing w:after="0" w:line="19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in accordance with U.S. GAAP and SEC reporting requirements, the implementation of these measures is ongoing and will require validation and testing of the design and operating effectiveness of internal controls over a sustained period of financial reporting cycles. The material weaknesses will not be considered remediated until our management designs and implements effective controls that operate for a sufficient period of time and our management has concluded through testing that these controls are effective. We cannot assure you that the measures we have taken to date, and are continuing to implement, will be sufficient to establish and maintain effective internal control over financial reporting.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material changes to the risk factors disclosed in Part I, Item 1A of our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estimated offering expenses. None of the expenses associated with our initial public offering were paid to directors, officers, persons owning 10% or more of any class of equity securities, or to our affiliates.</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on January 26,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ind w:left="60" w:right="119" w:firstLine="441"/>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40" w:right="539" w:hanging="884"/>
        <w:spacing w:after="0" w:line="298" w:lineRule="auto"/>
        <w:tabs>
          <w:tab w:leader="none" w:pos="153" w:val="left"/>
        </w:tabs>
        <w:numPr>
          <w:ilvl w:val="0"/>
          <w:numId w:val="1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hyperlink r:id="rId36">
        <w:r>
          <w:rPr>
            <w:rFonts w:ascii="Times New Roman" w:cs="Times New Roman" w:eastAsia="Times New Roman" w:hAnsi="Times New Roman"/>
            <w:sz w:val="17"/>
            <w:szCs w:val="17"/>
            <w:u w:val="single" w:color="auto"/>
            <w:color w:val="0000EE"/>
          </w:rPr>
          <w:t>Amended and Restated Certificate of Incorporation (incorporated by reference to Exhibit 3.1 of the</w:t>
        </w:r>
      </w:hyperlink>
      <w:r>
        <w:rPr>
          <w:rFonts w:ascii="Times New Roman" w:cs="Times New Roman" w:eastAsia="Times New Roman" w:hAnsi="Times New Roman"/>
          <w:sz w:val="17"/>
          <w:szCs w:val="17"/>
          <w:u w:val="single" w:color="auto"/>
          <w:color w:val="0000EE"/>
        </w:rPr>
        <w:t xml:space="preserve"> </w:t>
      </w:r>
      <w:hyperlink r:id="rId36">
        <w:r>
          <w:rPr>
            <w:rFonts w:ascii="Times New Roman" w:cs="Times New Roman" w:eastAsia="Times New Roman" w:hAnsi="Times New Roman"/>
            <w:sz w:val="17"/>
            <w:szCs w:val="17"/>
            <w:u w:val="single" w:color="auto"/>
            <w:color w:val="0000EE"/>
          </w:rPr>
          <w:t>Registrant’s Current Report on Form 8-K (File No. 001-41929) filed with the SEC on January 30, 2024).</w:t>
        </w:r>
      </w:hyperlink>
    </w:p>
    <w:p>
      <w:pPr>
        <w:ind w:left="940" w:right="139" w:hanging="884"/>
        <w:spacing w:after="0" w:line="281" w:lineRule="auto"/>
        <w:tabs>
          <w:tab w:leader="none" w:pos="153"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37">
        <w:r>
          <w:rPr>
            <w:rFonts w:ascii="Times New Roman" w:cs="Times New Roman" w:eastAsia="Times New Roman" w:hAnsi="Times New Roman"/>
            <w:sz w:val="18"/>
            <w:szCs w:val="18"/>
            <w:u w:val="single" w:color="auto"/>
            <w:color w:val="0000EE"/>
          </w:rPr>
          <w:t>Amended and Restated Bylaws (incorporated by reference to Exhibit 3.2 of the Registrant’s Current Report on</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Form 8-K (File No. 001-41929) filed with the SEC on January 30,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39370</wp:posOffset>
            </wp:positionH>
            <wp:positionV relativeFrom="paragraph">
              <wp:posOffset>-612775</wp:posOffset>
            </wp:positionV>
            <wp:extent cx="5648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7920" w:type="dxa"/>
            <w:vAlign w:val="bottom"/>
            <w:gridSpan w:val="17"/>
          </w:tcPr>
          <w:p>
            <w:pPr>
              <w:spacing w:after="0" w:line="195"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2021 Employee, Director and Consultant Equity Incentive Plan, as amended and form of stock option</w:t>
              </w:r>
            </w:hyperlink>
          </w:p>
        </w:tc>
      </w:tr>
      <w:tr>
        <w:trPr>
          <w:trHeight w:val="20"/>
        </w:trPr>
        <w:tc>
          <w:tcPr>
            <w:tcW w:w="8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920" w:type="dxa"/>
            <w:vAlign w:val="bottom"/>
            <w:gridSpan w:val="17"/>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agreement thereunder (incorporated by reference to Exhibit 10.2 of the Registrant’s Registration Statement on</w:t>
              </w:r>
            </w:hyperlink>
          </w:p>
        </w:tc>
      </w:tr>
      <w:tr>
        <w:trPr>
          <w:trHeight w:val="196"/>
        </w:trPr>
        <w:tc>
          <w:tcPr>
            <w:tcW w:w="88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S-1 (File No. 333-276397) filed on January 5, 2024)</w:t>
              </w:r>
            </w:hyperlink>
          </w:p>
        </w:tc>
        <w:tc>
          <w:tcPr>
            <w:tcW w:w="370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920" w:type="dxa"/>
            <w:vAlign w:val="bottom"/>
            <w:gridSpan w:val="1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2024 Employee, Director and Consultant Equity Incentive Plan, form of stock option agreement and form of</w:t>
              </w:r>
            </w:hyperlink>
          </w:p>
        </w:tc>
      </w:tr>
      <w:tr>
        <w:trPr>
          <w:trHeight w:val="196"/>
        </w:trPr>
        <w:tc>
          <w:tcPr>
            <w:tcW w:w="88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restricted stock agreement thereunder (incorporated by reference to Exhibit 10.3 of the Registrant’s</w:t>
              </w:r>
            </w:hyperlink>
          </w:p>
        </w:tc>
        <w:tc>
          <w:tcPr>
            <w:tcW w:w="660" w:type="dxa"/>
            <w:vAlign w:val="bottom"/>
            <w:tcBorders>
              <w:top w:val="single" w:sz="8" w:color="0000EE"/>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920" w:type="dxa"/>
            <w:vAlign w:val="bottom"/>
            <w:gridSpan w:val="1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Registration Statement on Form S-1/A (File No. 333-276397) filed on January 22, 2024).</w:t>
              </w:r>
            </w:hyperlink>
          </w:p>
        </w:tc>
      </w:tr>
      <w:tr>
        <w:trPr>
          <w:trHeight w:val="20"/>
        </w:trPr>
        <w:tc>
          <w:tcPr>
            <w:tcW w:w="8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Non-Employee Director Compensation Policy (incorporated by reference to Exhibit 10.5 of the Registrant’s</w:t>
              </w:r>
            </w:hyperlink>
          </w:p>
        </w:tc>
        <w:tc>
          <w:tcPr>
            <w:tcW w:w="140" w:type="dxa"/>
            <w:vAlign w:val="bottom"/>
            <w:gridSpan w:val="3"/>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Registration Statement on Form S-1 (File No. 333-276397) filed on January 5, 2024).</w:t>
              </w:r>
            </w:hyperlink>
          </w:p>
        </w:tc>
        <w:tc>
          <w:tcPr>
            <w:tcW w:w="1760" w:type="dxa"/>
            <w:vAlign w:val="bottom"/>
            <w:gridSpan w:val="13"/>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Offer Letter Agreement, by and between the Registrant and Winston Kung, MBA, dated January 3, 2024</w:t>
              </w:r>
            </w:hyperlink>
          </w:p>
        </w:tc>
        <w:tc>
          <w:tcPr>
            <w:tcW w:w="380" w:type="dxa"/>
            <w:vAlign w:val="bottom"/>
            <w:gridSpan w:val="8"/>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7920" w:type="dxa"/>
            <w:vAlign w:val="bottom"/>
            <w:gridSpan w:val="1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10.11 of the Registrant’s Registration Statement on Form S-1 (File No.</w:t>
              </w:r>
            </w:hyperlink>
          </w:p>
        </w:tc>
      </w:tr>
      <w:tr>
        <w:trPr>
          <w:trHeight w:val="196"/>
        </w:trPr>
        <w:tc>
          <w:tcPr>
            <w:tcW w:w="880" w:type="dxa"/>
            <w:vAlign w:val="bottom"/>
          </w:tcPr>
          <w:p>
            <w:pPr>
              <w:spacing w:after="0"/>
              <w:rPr>
                <w:sz w:val="17"/>
                <w:szCs w:val="17"/>
                <w:color w:val="auto"/>
              </w:rPr>
            </w:pPr>
          </w:p>
        </w:tc>
        <w:tc>
          <w:tcPr>
            <w:tcW w:w="2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333-276397) filed on January 5, 2024).</w:t>
              </w:r>
            </w:hyperlink>
          </w:p>
        </w:tc>
        <w:tc>
          <w:tcPr>
            <w:tcW w:w="4980" w:type="dxa"/>
            <w:vAlign w:val="bottom"/>
            <w:tcBorders>
              <w:top w:val="single" w:sz="8" w:color="0000EE"/>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13a-15(e) or Rule 15d-15(e) under the Securities</w:t>
            </w:r>
          </w:p>
        </w:tc>
      </w:tr>
      <w:tr>
        <w:trPr>
          <w:trHeight w:val="196"/>
        </w:trPr>
        <w:tc>
          <w:tcPr>
            <w:tcW w:w="8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780" w:type="dxa"/>
            <w:vAlign w:val="bottom"/>
            <w:tcBorders>
              <w:top w:val="single" w:sz="8" w:color="0000EE"/>
            </w:tcBorders>
            <w:gridSpan w:val="5"/>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13a-15(e) or Rule 15d-15(e) under the Securities</w:t>
            </w:r>
          </w:p>
        </w:tc>
        <w:tc>
          <w:tcPr>
            <w:tcW w:w="300" w:type="dxa"/>
            <w:vAlign w:val="bottom"/>
            <w:gridSpan w:val="7"/>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1040" w:type="dxa"/>
            <w:vAlign w:val="bottom"/>
            <w:gridSpan w:val="11"/>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7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160" w:type="dxa"/>
            <w:vAlign w:val="bottom"/>
            <w:gridSpan w:val="4"/>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00" w:type="dxa"/>
            <w:vAlign w:val="bottom"/>
            <w:gridSpan w:val="14"/>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380" w:type="dxa"/>
            <w:vAlign w:val="bottom"/>
            <w:tcBorders>
              <w:top w:val="single" w:sz="8" w:color="0000EE"/>
            </w:tcBorders>
            <w:gridSpan w:val="9"/>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w:t>
            </w:r>
          </w:p>
        </w:tc>
      </w:tr>
      <w:tr>
        <w:trPr>
          <w:trHeight w:val="234"/>
        </w:trPr>
        <w:tc>
          <w:tcPr>
            <w:tcW w:w="880" w:type="dxa"/>
            <w:vAlign w:val="bottom"/>
          </w:tcPr>
          <w:p>
            <w:pPr>
              <w:spacing w:after="0"/>
              <w:rPr>
                <w:sz w:val="20"/>
                <w:szCs w:val="20"/>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36" w:lineRule="exact"/>
        <w:rPr>
          <w:sz w:val="20"/>
          <w:szCs w:val="20"/>
          <w:color w:val="auto"/>
        </w:rPr>
      </w:pPr>
    </w:p>
    <w:p>
      <w:pPr>
        <w:ind w:left="940" w:right="199" w:hanging="884"/>
        <w:spacing w:after="0" w:line="282" w:lineRule="auto"/>
        <w:tabs>
          <w:tab w:leader="none" w:pos="9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16"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compensation plan or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2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c>
          <w:tcPr>
            <w:tcW w:w="2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Winston Kung, MBA</w:t>
            </w:r>
          </w:p>
        </w:tc>
      </w:tr>
      <w:tr>
        <w:trPr>
          <w:trHeight w:val="191"/>
        </w:trPr>
        <w:tc>
          <w:tcPr>
            <w:tcW w:w="2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Winston Kung, MBA</w:t>
            </w:r>
          </w:p>
        </w:tc>
        <w:tc>
          <w:tcPr>
            <w:tcW w:w="2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r>
        <w:trPr>
          <w:trHeight w:val="216"/>
        </w:trPr>
        <w:tc>
          <w:tcPr>
            <w:tcW w:w="2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r>
      <w:tr>
        <w:trPr>
          <w:trHeight w:val="234"/>
        </w:trPr>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891"/>
        </w:trPr>
        <w:tc>
          <w:tcPr>
            <w:tcW w:w="2860" w:type="dxa"/>
            <w:vAlign w:val="bottom"/>
          </w:tcPr>
          <w:p>
            <w:pPr>
              <w:spacing w:after="0"/>
              <w:rPr>
                <w:sz w:val="24"/>
                <w:szCs w:val="24"/>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Winston Kung</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March 31, 2024,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March 31, 2024,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
      <w:numFmt w:val="bullet"/>
      <w:start w:val="1"/>
    </w:lvl>
    <w:lvl w:ilvl="1">
      <w:lvlJc w:val="left"/>
      <w:lvlText w:val="%2"/>
      <w:numFmt w:val="decimal"/>
      <w:start w:val="104"/>
    </w:lvl>
  </w:abstractNum>
  <w:abstractNum w:abstractNumId="13">
    <w:nsid w:val="4E6AFB66"/>
    <w:multiLevelType w:val="hybridMultilevel"/>
    <w:lvl w:ilvl="0">
      <w:lvlJc w:val="left"/>
      <w:lvlText w:val="**"/>
      <w:numFmt w:val="bullet"/>
      <w:start w:val="1"/>
    </w:lvl>
    <w:lvl w:ilvl="1">
      <w:lvlJc w:val="left"/>
      <w:lvlText w:val="%2"/>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36" Type="http://schemas.openxmlformats.org/officeDocument/2006/relationships/hyperlink" Target="https://www.sec.gov/Archives/edgar/data/1868279/000110465924008228/tm2321853d25_ex3-1.htm" TargetMode="External"/><Relationship Id="rId37" Type="http://schemas.openxmlformats.org/officeDocument/2006/relationships/hyperlink" Target="https://www.sec.gov/Archives/edgar/data/1868279/000110465924008228/tm2321853d25_ex3-2.htm" TargetMode="External"/><Relationship Id="rId39" Type="http://schemas.openxmlformats.org/officeDocument/2006/relationships/hyperlink" Target="https://www.sec.gov/Archives/edgar/data/1868279/000110465924001804/tm2321853d13_ex10-2.htm" TargetMode="External"/><Relationship Id="rId40" Type="http://schemas.openxmlformats.org/officeDocument/2006/relationships/hyperlink" Target="https://www.sec.gov/Archives/edgar/data/1868279/000110465924005364/tm2321853d16_ex10-3.htm" TargetMode="External"/><Relationship Id="rId41" Type="http://schemas.openxmlformats.org/officeDocument/2006/relationships/hyperlink" Target="https://www.sec.gov/Archives/edgar/data/1868279/000110465924001804/tm2321853d13_ex10-5.htm" TargetMode="External"/><Relationship Id="rId42" Type="http://schemas.openxmlformats.org/officeDocument/2006/relationships/hyperlink" Target="https://www.sec.gov/Archives/edgar/data/1868279/000110465924001804/tm2321853d13_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2024-05-08T07:12:39Z</dcterms:created>
  <dcterms:modified xsi:type="dcterms:W3CDTF">2024-05-08T07:12:39Z</dcterms:modified>
</cp:coreProperties>
</file>