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bp-20260630x10q.htm"/>
        <w:bookmarkStart w:id="1" w:name="ksavbp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35ad104_3bb7_4866_9d74_b116fa7ee664"/>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5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50"/>
        <w:ind w:left="0" w:right="0" w:hanging="0"/>
        <w:jc w:val="center"/>
        <w:rPr>
          <w:rFonts w:ascii="Times New Roman;Times;serif" w:hAnsi="Times New Roman;Times;serif"/>
          <w:b/>
          <w:sz w:val="24"/>
        </w:rPr>
      </w:pPr>
      <w:r>
        <w:rPr>
          <w:rFonts w:ascii="Times New Roman;Times;serif" w:hAnsi="Times New Roman;Times;serif"/>
          <w:b/>
          <w:sz w:val="24"/>
        </w:rPr>
        <w:t>FORM 10-Q</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50"/>
              <w:jc w:val="left"/>
              <w:rPr/>
            </w:pPr>
            <w:r>
              <w:rPr/>
              <w:t>☒</w:t>
            </w:r>
          </w:p>
        </w:tc>
        <w:tc>
          <w:tcPr>
            <w:tcW w:w="9421" w:type="dxa"/>
            <w:tcBorders/>
            <w:vAlign w:val="center"/>
          </w:tcPr>
          <w:p>
            <w:pPr>
              <w:pStyle w:val="TableContents"/>
              <w:bidi w:val="0"/>
              <w:spacing w:before="0" w:after="5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50"/>
              <w:jc w:val="left"/>
              <w:rPr/>
            </w:pPr>
            <w:r>
              <w:rPr/>
              <w:t>☐</w:t>
            </w:r>
          </w:p>
        </w:tc>
        <w:tc>
          <w:tcPr>
            <w:tcW w:w="9421" w:type="dxa"/>
            <w:tcBorders/>
            <w:vAlign w:val="center"/>
          </w:tcPr>
          <w:p>
            <w:pPr>
              <w:pStyle w:val="TableContents"/>
              <w:bidi w:val="0"/>
              <w:spacing w:before="0" w:after="5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For The Transition Period FromTo</w:t>
      </w:r>
    </w:p>
    <w:p>
      <w:pPr>
        <w:pStyle w:val="TextBody"/>
        <w:bidi w:val="0"/>
        <w:spacing w:before="0" w:after="50"/>
        <w:ind w:left="0" w:right="0" w:hanging="0"/>
        <w:jc w:val="center"/>
        <w:rPr>
          <w:rFonts w:ascii="Times New Roman;Times;serif" w:hAnsi="Times New Roman;Times;serif"/>
          <w:b/>
          <w:sz w:val="18"/>
        </w:rPr>
      </w:pPr>
      <w:r>
        <w:rPr>
          <w:rFonts w:ascii="Times New Roman;Times;serif" w:hAnsi="Times New Roman;Times;serif"/>
          <w:b/>
          <w:sz w:val="18"/>
        </w:rPr>
        <w:t>Commission file number: 001-41929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ARRIVENT BIOPHARMA, INC.</w:t>
      </w:r>
    </w:p>
    <w:p>
      <w:pPr>
        <w:pStyle w:val="TextBody"/>
        <w:bidi w:val="0"/>
        <w:spacing w:before="0" w:after="5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MbBkLsQE4UqjWe3FFiJVmw_6_1"/>
      <w:bookmarkStart w:id="4" w:name="Tc_dAaLPIqvr0yoDmsvxUVAYA_6_0"/>
      <w:bookmarkStart w:id="5" w:name="Tc_TdVyW-H4E0e1Fdh6ygksUQ_5_0"/>
      <w:bookmarkStart w:id="6" w:name="Tc_VS5RT4tQNU6oXSjXA1qsGg_3_1"/>
      <w:bookmarkStart w:id="7" w:name="Tc_fhb7Zp5Tb0qRokCZKu5mxQ_3_0"/>
      <w:bookmarkStart w:id="8" w:name="_ff097738_0a2a_4617_819d_8184a0fe1e15"/>
      <w:bookmarkStart w:id="9" w:name="Tc_MbBkLsQE4UqjWe3FFiJVmw_6_1"/>
      <w:bookmarkStart w:id="10" w:name="Tc_dAaLPIqvr0yoDmsvxUVAYA_6_0"/>
      <w:bookmarkStart w:id="11" w:name="Tc_TdVyW-H4E0e1Fdh6ygksUQ_5_0"/>
      <w:bookmarkStart w:id="12" w:name="Tc_VS5RT4tQNU6oXSjXA1qsGg_3_1"/>
      <w:bookmarkStart w:id="13" w:name="Tc_fhb7Zp5Tb0qRokCZKu5mxQ_3_0"/>
      <w:bookmarkStart w:id="14" w:name="_ff097738_0a2a_4617_819d_8184a0fe1e15"/>
      <w:bookmarkEnd w:id="9"/>
      <w:bookmarkEnd w:id="10"/>
      <w:bookmarkEnd w:id="11"/>
      <w:bookmarkEnd w:id="12"/>
      <w:bookmarkEnd w:id="13"/>
      <w:bookmarkEnd w:id="14"/>
    </w:p>
    <w:tbl>
      <w:tblPr>
        <w:tblW w:w="7157" w:type="dxa"/>
        <w:jc w:val="left"/>
        <w:tblInd w:w="0" w:type="dxa"/>
        <w:tblLayout w:type="fixed"/>
        <w:tblCellMar>
          <w:top w:w="0" w:type="dxa"/>
          <w:left w:w="0" w:type="dxa"/>
          <w:bottom w:w="0" w:type="dxa"/>
          <w:right w:w="0" w:type="dxa"/>
        </w:tblCellMar>
      </w:tblPr>
      <w:tblGrid>
        <w:gridCol w:w="4441"/>
        <w:gridCol w:w="2716"/>
      </w:tblGrid>
      <w:tr>
        <w:trPr/>
        <w:tc>
          <w:tcPr>
            <w:tcW w:w="4441"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lineRule="atLeast" w:line="142" w:before="0" w:after="0"/>
              <w:ind w:left="0" w:right="0" w:hanging="0"/>
              <w:jc w:val="left"/>
              <w:rPr/>
            </w:pPr>
            <w:r>
              <w:rPr/>
              <w:t>​</w:t>
            </w:r>
          </w:p>
        </w:tc>
        <w:tc>
          <w:tcPr>
            <w:tcW w:w="2716" w:type="dxa"/>
            <w:tcBorders/>
            <w:vAlign w:val="center"/>
          </w:tcPr>
          <w:p>
            <w:pPr>
              <w:pStyle w:val="TableContents"/>
              <w:bidi w:val="0"/>
              <w:spacing w:lineRule="atLeast" w:line="142"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86-3336099</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of Other Jurisdiction of incorporation or Organization)</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4441"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240"/>
              <w:ind w:left="0" w:right="0" w:hanging="0"/>
              <w:jc w:val="center"/>
              <w:rPr/>
            </w:pPr>
            <w:r>
              <w:rPr/>
              <w:t>​</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18 Campus Boulevard Suite 100, Newtown Square, PA</w:t>
            </w:r>
            <w:r>
              <w:rPr>
                <w:rFonts w:ascii="Times New Roman;Times;serif" w:hAnsi="Times New Roman;Times;serif"/>
                <w:sz w:val="20"/>
              </w:rPr>
              <w:t xml:space="preserve">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19073</w:t>
            </w:r>
          </w:p>
        </w:tc>
      </w:tr>
      <w:tr>
        <w:trPr/>
        <w:tc>
          <w:tcPr>
            <w:tcW w:w="4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(628) 277-4836</w:t>
      </w:r>
    </w:p>
    <w:p>
      <w:pPr>
        <w:pStyle w:val="TextBody"/>
        <w:bidi w:val="0"/>
        <w:spacing w:before="0" w:after="5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5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Normal"/>
        <w:bidi w:val="0"/>
        <w:spacing w:before="0" w:after="0"/>
        <w:jc w:val="left"/>
        <w:rPr>
          <w:sz w:val="4"/>
          <w:szCs w:val="4"/>
        </w:rPr>
      </w:pPr>
      <w:r>
        <w:rPr>
          <w:sz w:val="4"/>
          <w:szCs w:val="4"/>
        </w:rPr>
      </w:r>
      <w:bookmarkStart w:id="15" w:name="Tc_-WmwpMpRu064tmlPQbKAXQ_2_2"/>
      <w:bookmarkStart w:id="16" w:name="Tc_aDQ4BbFhoES3slM8oz6D9w_2_1"/>
      <w:bookmarkStart w:id="17" w:name="Tc_LM2M8Pyau0W4jEGsHQuzog_2_0"/>
      <w:bookmarkStart w:id="18" w:name="Tc_MRJV1ABb30G5rAX-4GAgoQ_1_2"/>
      <w:bookmarkStart w:id="19" w:name="_58d52233_f51f_4c9d_89a2_8e9508b6633f"/>
      <w:bookmarkStart w:id="20" w:name="Tc_-WmwpMpRu064tmlPQbKAXQ_2_2"/>
      <w:bookmarkStart w:id="21" w:name="Tc_aDQ4BbFhoES3slM8oz6D9w_2_1"/>
      <w:bookmarkStart w:id="22" w:name="Tc_LM2M8Pyau0W4jEGsHQuzog_2_0"/>
      <w:bookmarkStart w:id="23" w:name="Tc_MRJV1ABb30G5rAX-4GAgoQ_1_2"/>
      <w:bookmarkStart w:id="24" w:name="_58d52233_f51f_4c9d_89a2_8e9508b6633f"/>
      <w:bookmarkEnd w:id="20"/>
      <w:bookmarkEnd w:id="21"/>
      <w:bookmarkEnd w:id="22"/>
      <w:bookmarkEnd w:id="23"/>
      <w:bookmarkEnd w:id="24"/>
    </w:p>
    <w:tbl>
      <w:tblPr>
        <w:tblW w:w="7428" w:type="dxa"/>
        <w:jc w:val="left"/>
        <w:tblInd w:w="0" w:type="dxa"/>
        <w:tblLayout w:type="fixed"/>
        <w:tblCellMar>
          <w:top w:w="0" w:type="dxa"/>
          <w:left w:w="0" w:type="dxa"/>
          <w:bottom w:w="0" w:type="dxa"/>
          <w:right w:w="0" w:type="dxa"/>
        </w:tblCellMar>
      </w:tblPr>
      <w:tblGrid>
        <w:gridCol w:w="3601"/>
        <w:gridCol w:w="1561"/>
        <w:gridCol w:w="2266"/>
      </w:tblGrid>
      <w:tr>
        <w:trPr/>
        <w:tc>
          <w:tcPr>
            <w:tcW w:w="3601" w:type="dxa"/>
            <w:tcBorders/>
            <w:vAlign w:val="center"/>
          </w:tcPr>
          <w:p>
            <w:pPr>
              <w:pStyle w:val="TableContents"/>
              <w:bidi w:val="0"/>
              <w:spacing w:lineRule="atLeast" w:line="142" w:before="0" w:after="240"/>
              <w:ind w:left="0" w:right="0" w:hanging="0"/>
              <w:jc w:val="left"/>
              <w:rPr/>
            </w:pPr>
            <w:r>
              <w:rPr/>
              <w:t>​</w:t>
            </w:r>
          </w:p>
        </w:tc>
        <w:tc>
          <w:tcPr>
            <w:tcW w:w="1561" w:type="dxa"/>
            <w:tcBorders/>
            <w:vAlign w:val="center"/>
          </w:tcPr>
          <w:p>
            <w:pPr>
              <w:pStyle w:val="TableContents"/>
              <w:bidi w:val="0"/>
              <w:spacing w:lineRule="atLeast" w:line="142" w:before="0" w:after="240"/>
              <w:ind w:left="0" w:right="0" w:hanging="0"/>
              <w:jc w:val="left"/>
              <w:rPr/>
            </w:pPr>
            <w:r>
              <w:rPr/>
              <w:t>​</w:t>
            </w:r>
          </w:p>
        </w:tc>
        <w:tc>
          <w:tcPr>
            <w:tcW w:w="2266" w:type="dxa"/>
            <w:tcBorders/>
            <w:vAlign w:val="center"/>
          </w:tcPr>
          <w:p>
            <w:pPr>
              <w:pStyle w:val="TableContents"/>
              <w:bidi w:val="0"/>
              <w:spacing w:lineRule="atLeast" w:line="142" w:before="0" w:after="240"/>
              <w:ind w:left="0" w:right="0" w:hanging="0"/>
              <w:jc w:val="left"/>
              <w:rPr/>
            </w:pPr>
            <w:r>
              <w:rPr/>
              <w:t>​</w:t>
            </w:r>
          </w:p>
        </w:tc>
      </w:tr>
      <w:tr>
        <w:trPr/>
        <w:tc>
          <w:tcPr>
            <w:tcW w:w="3601" w:type="dxa"/>
            <w:tcBorders/>
            <w:vAlign w:val="center"/>
          </w:tcPr>
          <w:p>
            <w:pPr>
              <w:pStyle w:val="TableContents"/>
              <w:bidi w:val="0"/>
              <w:spacing w:before="0" w:after="240"/>
              <w:ind w:left="0" w:right="0" w:hanging="0"/>
              <w:jc w:val="center"/>
              <w:rPr/>
            </w:pPr>
            <w:r>
              <w:rPr/>
              <w:t>​</w:t>
            </w:r>
          </w:p>
        </w:tc>
        <w:tc>
          <w:tcPr>
            <w:tcW w:w="1561" w:type="dxa"/>
            <w:tcBorders/>
            <w:vAlign w:val="center"/>
          </w:tcPr>
          <w:p>
            <w:pPr>
              <w:pStyle w:val="TableContents"/>
              <w:bidi w:val="0"/>
              <w:spacing w:before="0" w:after="240"/>
              <w:ind w:left="0" w:right="0" w:hanging="0"/>
              <w:jc w:val="center"/>
              <w:rPr/>
            </w:pPr>
            <w:r>
              <w:rPr/>
              <w:t>​</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On Which Registered</w:t>
            </w:r>
          </w:p>
        </w:tc>
      </w:tr>
      <w:tr>
        <w:trPr/>
        <w:tc>
          <w:tcPr>
            <w:tcW w:w="36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$0.0001 Par Value per Share</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AVBP</w:t>
            </w:r>
          </w:p>
        </w:tc>
        <w:tc>
          <w:tcPr>
            <w:tcW w:w="22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Global Market</w:t>
            </w:r>
          </w:p>
        </w:tc>
      </w:tr>
    </w:tbl>
    <w:p>
      <w:pPr>
        <w:pStyle w:val="TextBody"/>
        <w:bidi w:val="0"/>
        <w:spacing w:before="0" w:after="240"/>
        <w:ind w:left="0" w:right="0" w:hanging="0"/>
        <w:jc w:val="left"/>
        <w:rPr/>
      </w:pPr>
      <w:r>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5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5" w:name="Tc_MpKdEUGN7k6ar6P0UO5J-A_3_4"/>
      <w:bookmarkStart w:id="26" w:name="Tc_0c9DnWYfjU6GcwmK_-m-kQ_2_4"/>
      <w:bookmarkStart w:id="27" w:name="Tc_JoLy_GUqNUKTQ5laUjpivA_2_2"/>
      <w:bookmarkStart w:id="28" w:name="Tc__amlFDIDt0yT8sn24Mo2yA_1_6"/>
      <w:bookmarkStart w:id="29" w:name="Tc_wQb7VDREhEOKrxpqQ_laPA_1_4"/>
      <w:bookmarkStart w:id="30" w:name="Tc_HrpiVVO8vkKRlYMzrZqS-A_1_2"/>
      <w:bookmarkStart w:id="31" w:name="Tc_KBanwIu6ZUynLr7OBMgAHA_1_0"/>
      <w:bookmarkStart w:id="32" w:name="_3db37758_868e_4992_bccd_202aed30929b"/>
      <w:bookmarkStart w:id="33" w:name="Tc_MpKdEUGN7k6ar6P0UO5J-A_3_4"/>
      <w:bookmarkStart w:id="34" w:name="Tc_0c9DnWYfjU6GcwmK_-m-kQ_2_4"/>
      <w:bookmarkStart w:id="35" w:name="Tc_JoLy_GUqNUKTQ5laUjpivA_2_2"/>
      <w:bookmarkStart w:id="36" w:name="Tc__amlFDIDt0yT8sn24Mo2yA_1_6"/>
      <w:bookmarkStart w:id="37" w:name="Tc_wQb7VDREhEOKrxpqQ_laPA_1_4"/>
      <w:bookmarkStart w:id="38" w:name="Tc_HrpiVVO8vkKRlYMzrZqS-A_1_2"/>
      <w:bookmarkStart w:id="39" w:name="Tc_KBanwIu6ZUynLr7OBMgAHA_1_0"/>
      <w:bookmarkStart w:id="40" w:name="_3db37758_868e_4992_bccd_202aed30929b"/>
      <w:bookmarkEnd w:id="33"/>
      <w:bookmarkEnd w:id="34"/>
      <w:bookmarkEnd w:id="35"/>
      <w:bookmarkEnd w:id="36"/>
      <w:bookmarkEnd w:id="37"/>
      <w:bookmarkEnd w:id="38"/>
      <w:bookmarkEnd w:id="39"/>
      <w:bookmarkEnd w:id="40"/>
    </w:p>
    <w:tbl>
      <w:tblPr>
        <w:tblW w:w="4711" w:type="dxa"/>
        <w:jc w:val="left"/>
        <w:tblInd w:w="0" w:type="dxa"/>
        <w:tblLayout w:type="fixed"/>
        <w:tblCellMar>
          <w:top w:w="0" w:type="dxa"/>
          <w:left w:w="0" w:type="dxa"/>
          <w:bottom w:w="0" w:type="dxa"/>
          <w:right w:w="0" w:type="dxa"/>
        </w:tblCellMar>
      </w:tblPr>
      <w:tblGrid>
        <w:gridCol w:w="1666"/>
        <w:gridCol w:w="109"/>
        <w:gridCol w:w="316"/>
        <w:gridCol w:w="109"/>
        <w:gridCol w:w="2041"/>
        <w:gridCol w:w="109"/>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5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The number of outstanding shares of the registrant’s common stock as of August 10, 2026 was 49,307,729.</w:t>
      </w:r>
    </w:p>
    <w:p>
      <w:pPr>
        <w:pStyle w:val="TextBody"/>
        <w:bidi w:val="0"/>
        <w:spacing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shd w:fill="FFFFFF" w:val="clear"/>
        <w:bidi w:val="0"/>
        <w:spacing w:before="0" w:after="0"/>
        <w:ind w:left="0" w:right="0" w:hanging="0"/>
        <w:jc w:val="center"/>
        <w:rPr>
          <w:rFonts w:ascii="Times New Roman;Times;serif" w:hAnsi="Times New Roman;Times;serif"/>
          <w:b/>
          <w:sz w:val="20"/>
        </w:rPr>
      </w:pPr>
      <w:bookmarkStart w:id="41" w:name="_439a16e7_267f_41b1_a484_da18225b2258"/>
      <w:bookmarkEnd w:id="41"/>
      <w:r>
        <w:rPr>
          <w:rFonts w:ascii="Times New Roman;Times;serif" w:hAnsi="Times New Roman;Times;serif"/>
          <w:b/>
          <w:sz w:val="20"/>
        </w:rPr>
        <w:t>SPECIAL NOTE REGARDING FORWARD-LOOKING STATEMENTS</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400"/>
        <w:jc w:val="left"/>
        <w:rPr/>
      </w:pPr>
      <w:r>
        <w:rPr/>
        <w:t>​</w:t>
      </w:r>
    </w:p>
    <w:p>
      <w:pPr>
        <w:pStyle w:val="TextBody"/>
        <w:bidi w:val="0"/>
        <w:spacing w:before="0" w:after="0"/>
        <w:ind w:left="0" w:right="0" w:firstLine="400"/>
        <w:jc w:val="left"/>
        <w:rPr>
          <w:rFonts w:ascii="Times New Roman;Times;serif" w:hAnsi="Times New Roman;Times;serif"/>
          <w:sz w:val="20"/>
        </w:rPr>
      </w:pPr>
      <w:r>
        <w:rPr>
          <w:rFonts w:ascii="Times New Roman;Times;serif" w:hAnsi="Times New Roman;Times;serif"/>
          <w:sz w:val="20"/>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preclinical studies and clinical trials for our product candidates, including our product development plans and strategies;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addressable market, market growth, future revenue, key performance indicators, expenses, capital requirements and our needs for additional financing;</w:t>
            </w:r>
          </w:p>
        </w:tc>
      </w:tr>
    </w:tbl>
    <w:p>
      <w:pPr>
        <w:pStyle w:val="TextBody"/>
        <w:bidi w:val="0"/>
        <w:spacing w:before="0" w:after="0"/>
        <w:ind w:left="0" w:right="0" w:hanging="0"/>
        <w:jc w:val="left"/>
        <w:rPr/>
      </w:pPr>
      <w:r>
        <w:rPr/>
        <w:t>​</w:t>
      </w:r>
    </w:p>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the continued service of our key professionals and to identify, hire and retain additional qualified professionals;</w:t>
            </w:r>
          </w:p>
        </w:tc>
      </w:tr>
    </w:tbl>
    <w:p>
      <w:pPr>
        <w:pStyle w:val="TextBody"/>
        <w:bidi w:val="0"/>
        <w:spacing w:before="0" w:after="0"/>
        <w:ind w:left="0" w:right="0" w:hanging="0"/>
        <w:jc w:val="left"/>
        <w:rPr/>
      </w:pPr>
      <w:r>
        <w:rPr/>
        <w:t>​</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product candidates into, and successfully complete, clinical trials;</w:t>
            </w:r>
          </w:p>
        </w:tc>
      </w:tr>
    </w:tbl>
    <w:p>
      <w:pPr>
        <w:pStyle w:val="TextBody"/>
        <w:bidi w:val="0"/>
        <w:spacing w:before="0" w:after="0"/>
        <w:ind w:left="0" w:right="0" w:hanging="0"/>
        <w:jc w:val="left"/>
        <w:rPr/>
      </w:pPr>
      <w:r>
        <w:rPr/>
        <w:t>​</w:t>
      </w:r>
    </w:p>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filings and approvals;</w:t>
            </w:r>
          </w:p>
        </w:tc>
      </w:tr>
    </w:tbl>
    <w:p>
      <w:pPr>
        <w:pStyle w:val="TextBody"/>
        <w:bidi w:val="0"/>
        <w:spacing w:before="0" w:after="0"/>
        <w:ind w:left="0" w:right="0" w:hanging="0"/>
        <w:jc w:val="left"/>
        <w:rPr/>
      </w:pPr>
      <w:r>
        <w:rPr/>
        <w:t>​</w:t>
      </w:r>
    </w:p>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of our product candidates, if approved;</w:t>
            </w:r>
          </w:p>
        </w:tc>
      </w:tr>
    </w:tbl>
    <w:p>
      <w:pPr>
        <w:pStyle w:val="TextBody"/>
        <w:bidi w:val="0"/>
        <w:spacing w:before="0" w:after="0"/>
        <w:ind w:left="0" w:right="0" w:hanging="0"/>
        <w:jc w:val="left"/>
        <w:rPr/>
      </w:pPr>
      <w:r>
        <w:rPr/>
        <w:t>​</w:t>
      </w:r>
    </w:p>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our product candidates, if approved;</w:t>
            </w:r>
          </w:p>
        </w:tc>
      </w:tr>
    </w:tbl>
    <w:p>
      <w:pPr>
        <w:pStyle w:val="TextBody"/>
        <w:bidi w:val="0"/>
        <w:spacing w:before="0" w:after="0"/>
        <w:ind w:left="0" w:right="0" w:hanging="0"/>
        <w:jc w:val="left"/>
        <w:rPr/>
      </w:pPr>
      <w:r>
        <w:rPr/>
        <w:t>​</w:t>
      </w:r>
    </w:p>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strategic plans for our business, product candidates and technology;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product candidates and technology;</w:t>
            </w:r>
          </w:p>
        </w:tc>
      </w:tr>
    </w:tbl>
    <w:p>
      <w:pPr>
        <w:pStyle w:val="TextBody"/>
        <w:bidi w:val="0"/>
        <w:spacing w:before="0" w:after="0"/>
        <w:ind w:left="0" w:right="0" w:hanging="0"/>
        <w:jc w:val="left"/>
        <w:rPr/>
      </w:pPr>
      <w:r>
        <w:rPr/>
        <w:t>​</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p>
      <w:pPr>
        <w:pStyle w:val="TextBody"/>
        <w:bidi w:val="0"/>
        <w:spacing w:before="0" w:after="0"/>
        <w:ind w:left="0" w:right="0" w:hanging="0"/>
        <w:jc w:val="left"/>
        <w:rPr/>
      </w:pPr>
      <w:r>
        <w:rPr/>
        <w:t>​</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capital requirements and needs for additional financing;</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sufficient clinical product for our clinical trials and, if our product candidates are approved and commercialized, commercial product;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tariffs and changes in economic policies, volatility in inflation, volatility in interest rates, or market disruptions on our business; and</w:t>
            </w:r>
          </w:p>
        </w:tc>
      </w:tr>
    </w:tbl>
    <w:p>
      <w:pPr>
        <w:pStyle w:val="TextBody"/>
        <w:bidi w:val="0"/>
        <w:spacing w:before="0" w:after="0"/>
        <w:ind w:left="720" w:right="0" w:hanging="0"/>
        <w:jc w:val="left"/>
        <w:rPr/>
      </w:pPr>
      <w:r>
        <w:rPr/>
        <w:t>​</w:t>
      </w:r>
    </w:p>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42" w:name="_AEIOULastRenderedPageBreakAEIOU4"/>
      <w:bookmarkEnd w:id="42"/>
      <w:r>
        <w:rPr>
          <w:rFonts w:ascii="Times New Roman;Times;serif" w:hAnsi="Times New Roman;Times;serif"/>
          <w:sz w:val="20"/>
        </w:rPr>
        <w:t>These forward-looking statements are subject to a number of risks, uncertainties and assumptions, including those described in the “Risk Factors” section contained in our Annual Report on Form 10-K for the fiscal year ended December 31, 2025, filed with the Securities and Exchange Commission (SEC) on March 5, 2026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and have filed with the SEC as exhibits to this Quarterly Report with the understanding that our actual future results, levels of activity, performance, and events and circumstances may be materially different from what we expect.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center"/>
        <w:rPr>
          <w:rFonts w:ascii="Times New Roman;Times;serif" w:hAnsi="Times New Roman;Times;serif"/>
          <w:b/>
          <w:sz w:val="20"/>
        </w:rPr>
      </w:pPr>
      <w:bookmarkStart w:id="43" w:name="TOC"/>
      <w:bookmarkStart w:id="44" w:name="_13cbba32_207f_4c82_abe4_b0161af22d6d"/>
      <w:bookmarkEnd w:id="43"/>
      <w:bookmarkEnd w:id="44"/>
      <w:r>
        <w:rPr>
          <w:rFonts w:ascii="Times New Roman;Times;serif" w:hAnsi="Times New Roman;Times;serif"/>
          <w:b/>
          <w:sz w:val="20"/>
        </w:rPr>
        <w:t>TABLE OF CONTENTS</w:t>
      </w:r>
    </w:p>
    <w:tbl>
      <w:tblPr>
        <w:tblW w:w="9094" w:type="dxa"/>
        <w:jc w:val="left"/>
        <w:tblInd w:w="0" w:type="dxa"/>
        <w:tblLayout w:type="fixed"/>
        <w:tblCellMar>
          <w:top w:w="0" w:type="dxa"/>
          <w:left w:w="0" w:type="dxa"/>
          <w:bottom w:w="0" w:type="dxa"/>
          <w:right w:w="0" w:type="dxa"/>
        </w:tblCellMar>
      </w:tblPr>
      <w:tblGrid>
        <w:gridCol w:w="811"/>
        <w:gridCol w:w="7366"/>
        <w:gridCol w:w="346"/>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175260"/>
                      <wp:effectExtent l="0" t="0" r="0" b="0"/>
                      <wp:wrapNone/>
                      <wp:docPr id="2"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3" name="Frame3"/>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center"/>
              <w:rPr/>
            </w:pPr>
            <w:hyperlink w:anchor="PARTIFINANCIALINFORMATION_219672">
              <w:r>
                <w:rPr>
                  <w:rStyle w:val="InternetLink"/>
                  <w:rFonts w:ascii="Times New Roman;Times;serif" w:hAnsi="Times New Roman;Times;serif"/>
                  <w:b/>
                  <w:i w:val="false"/>
                  <w:caps w:val="false"/>
                  <w:smallCaps w:val="false"/>
                  <w:sz w:val="20"/>
                </w:rPr>
                <w:t>PART I — FINANCIAL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ConsolidatedFinancialStatements_30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FinancialStatements_301">
              <w:r>
                <w:rPr>
                  <w:rStyle w:val="InternetLink"/>
                  <w:rFonts w:ascii="Times New Roman;Times;serif" w:hAnsi="Times New Roman;Times;serif"/>
                  <w:b w:val="false"/>
                  <w:i w:val="false"/>
                  <w:caps w:val="false"/>
                  <w:smallCaps w:val="false"/>
                  <w:sz w:val="20"/>
                </w:rPr>
                <w:t>Condensed 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BALANCESHEETS_711145">
              <w:r>
                <w:rPr>
                  <w:rStyle w:val="InternetLink"/>
                  <w:rFonts w:ascii="Times New Roman;Times;serif" w:hAnsi="Times New Roman;Times;serif"/>
                  <w:b w:val="false"/>
                  <w:i w:val="false"/>
                  <w:caps w:val="false"/>
                  <w:smallCaps w:val="false"/>
                  <w:sz w:val="20"/>
                </w:rPr>
                <w:t>Condensed Balance Sheets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OPERATIONS_861034">
              <w:r>
                <w:rPr>
                  <w:rStyle w:val="InternetLink"/>
                  <w:rFonts w:ascii="Times New Roman;Times;serif" w:hAnsi="Times New Roman;Times;serif"/>
                  <w:b w:val="false"/>
                  <w:i w:val="false"/>
                  <w:caps w:val="false"/>
                  <w:smallCaps w:val="false"/>
                  <w:sz w:val="20"/>
                </w:rPr>
                <w:t>Condensed Statements of Operations and Comprehensive Loss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CONVERTIBLEPREFERREDSTOCKAND">
              <w:r>
                <w:rPr>
                  <w:rStyle w:val="InternetLink"/>
                  <w:rFonts w:ascii="Times New Roman;Times;serif" w:hAnsi="Times New Roman;Times;serif"/>
                  <w:b w:val="false"/>
                  <w:i w:val="false"/>
                  <w:caps w:val="false"/>
                  <w:smallCaps w:val="false"/>
                  <w:sz w:val="20"/>
                </w:rPr>
                <w:t>Condensed Statements of Stockholders’ Equity (Deficit</w:t>
              </w:r>
            </w:hyperlink>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CASHFLOWS_405281">
              <w:r>
                <w:rPr>
                  <w:rStyle w:val="InternetLink"/>
                  <w:rFonts w:ascii="Times New Roman;Times;serif" w:hAnsi="Times New Roman;Times;serif"/>
                  <w:b w:val="false"/>
                  <w:i w:val="false"/>
                  <w:caps w:val="false"/>
                  <w:smallCaps w:val="false"/>
                  <w:sz w:val="20"/>
                </w:rPr>
                <w:t>Condensed Statements of Cash Flows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THEFINANCIALSTATEMENTS_790744">
              <w:r>
                <w:rPr>
                  <w:rStyle w:val="InternetLink"/>
                  <w:rFonts w:ascii="Times New Roman;Times;serif" w:hAnsi="Times New Roman;Times;serif"/>
                  <w:b w:val="false"/>
                  <w:i w:val="false"/>
                  <w:caps w:val="false"/>
                  <w:smallCaps w:val="false"/>
                  <w:sz w:val="20"/>
                </w:rPr>
                <w:t>Notes to Unaudited Condensed Financial Statements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4ControlsandProcedures_47514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75141">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center"/>
              <w:rPr/>
            </w:pPr>
            <w:hyperlink w:anchor="PARTIIOTHERINFORMATION_731202">
              <w:r>
                <w:rPr>
                  <w:rStyle w:val="InternetLink"/>
                  <w:rFonts w:ascii="Times New Roman;Times;serif" w:hAnsi="Times New Roman;Times;serif"/>
                  <w:b/>
                  <w:i w:val="false"/>
                  <w:caps w:val="false"/>
                  <w:smallCaps w:val="false"/>
                  <w:sz w:val="20"/>
                </w:rPr>
                <w:t>PART II — 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11916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119164">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1ARiskFactors_548768">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548768">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3DefaultsonSeniorSecurities_401766">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onSeniorSecurities_401766">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4MineSafetyDisclosures_35112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351125">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5OtherInformation_470852">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470852">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6ExhibitsandFinancialStatementSchedu">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andFinancialStatementSchedu">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5" w:name="PARTIFINANCIALINFORMATION_219672"/>
      <w:bookmarkStart w:id="46" w:name="_cc295e0d_3e6d_48dd_b69b_29bd97c77541"/>
      <w:bookmarkEnd w:id="45"/>
      <w:bookmarkEnd w:id="46"/>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7" w:name="Item1ConsolidatedFinancialStatements_301"/>
      <w:bookmarkEnd w:id="47"/>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48" w:name="BALANCESHEETS_711145"/>
      <w:bookmarkEnd w:id="48"/>
      <w:r>
        <w:rPr>
          <w:rFonts w:ascii="Times New Roman;Times;serif" w:hAnsi="Times New Roman;Times;serif"/>
          <w:b/>
          <w:sz w:val="20"/>
        </w:rPr>
        <w:t>CONDENSED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 w:name="Tc_CvmX7ajNQ0SjUvzL7qF2eg_32_5"/>
      <w:bookmarkStart w:id="50" w:name="Tc_7uzlm5ttSUOaqcW_ImA9xw_32_2"/>
      <w:bookmarkStart w:id="51" w:name="Tc_PoR_0_8kdkWMH7mRxUHElg_32_0"/>
      <w:bookmarkStart w:id="52" w:name="Tc_ChHqRFuAg0itXyL3JxkHUg_31_0"/>
      <w:bookmarkStart w:id="53" w:name="Tc_RXzf-exOU0GagrUpN0s2TA_30_0"/>
      <w:bookmarkStart w:id="54" w:name="Tc_tdMH6I63rUWBHfmrdWIikQ_29_0"/>
      <w:bookmarkStart w:id="55" w:name="Tc_cbbn000ojEaF5fXH-uYU5w_28_0"/>
      <w:bookmarkStart w:id="56" w:name="Tc_Utu_SDvUukOfHjrvyfbzSw_27_0"/>
      <w:bookmarkStart w:id="57" w:name="Tc_4cNMWYsuA0i-dguZvLuZdA_26_0"/>
      <w:bookmarkStart w:id="58" w:name="Tc_DQR8-OpjB0e1jf1kDIO2tA_25_0"/>
      <w:bookmarkStart w:id="59" w:name="Tc_8N7zHHHvRUuvwnoHWv02LQ_23_0"/>
      <w:bookmarkStart w:id="60" w:name="Tc_lh-GqQwXZ0KJ6yWsr-253A_21_0"/>
      <w:bookmarkStart w:id="61" w:name="Tc_tY6T2wTK40-0KUxGx1U-Sw_20_6"/>
      <w:bookmarkStart w:id="62" w:name="Tc_A5mF0BRZYUuJXtI4k1hIAQ_20_0"/>
      <w:bookmarkStart w:id="63" w:name="Tc_-LxYD9bm8UmFtQCo2ntSTw_19_0"/>
      <w:bookmarkStart w:id="64" w:name="Tc_CS7d9rFN_EKHjnslCAiDvQ_18_0"/>
      <w:bookmarkStart w:id="65" w:name="Tc_GAOgoA3fpUS6EDWReyDQtA_17_0"/>
      <w:bookmarkStart w:id="66" w:name="Tc_UIak6hF7OEec8c27RKnDpg_16_5"/>
      <w:bookmarkStart w:id="67" w:name="Tc_WVze_Nq_uEe_f4EOOPp0bA_16_2"/>
      <w:bookmarkStart w:id="68" w:name="Tc_d4dJJ6BHuECVJNAOgo_8cQ_16_0"/>
      <w:bookmarkStart w:id="69" w:name="Tc_Ks3bA6SyRkaqV1U_gWM5PQ_15_0"/>
      <w:bookmarkStart w:id="70" w:name="Tc_Y2Rn0foYmEKVFLJG7XMmYQ_14_0"/>
      <w:bookmarkStart w:id="71" w:name="Tc_jyNxJR6zcUS3gflT8pG-dg_12_5"/>
      <w:bookmarkStart w:id="72" w:name="Tc_M3qhoqBFKEWuGcz3asfODQ_12_2"/>
      <w:bookmarkStart w:id="73" w:name="Tc_BjjtTYfOiECcpGvEEe6_YA_12_0"/>
      <w:bookmarkStart w:id="74" w:name="Tc_ykc8fgGiaESvp4VZwSGCPw_11_0"/>
      <w:bookmarkStart w:id="75" w:name="Tc_W--HVrfp6k6tiFqoxzxuXg_10_0"/>
      <w:bookmarkStart w:id="76" w:name="Tc_X0PIg3yg80GrIjkGsvrTCA_9_0"/>
      <w:bookmarkStart w:id="77" w:name="Tc_fxB8i7giV0uO7GVOyD5WWw_8_0"/>
      <w:bookmarkStart w:id="78" w:name="Tc_kuAoi3SQUUmVd3m5xNEoKg_7_0"/>
      <w:bookmarkStart w:id="79" w:name="Tc_Bz1zly-ZDUaiPkJ0sh786Q_6_0"/>
      <w:bookmarkStart w:id="80" w:name="Tc_2mXLMKDeDk-0xuLu2BN4PQ_5_5"/>
      <w:bookmarkStart w:id="81" w:name="Tc_GgBxbaVwrUaIvxOwswJcrQ_5_2"/>
      <w:bookmarkStart w:id="82" w:name="Tc_S-2I2OyQZk2nUW76GVCkpw_5_0"/>
      <w:bookmarkStart w:id="83" w:name="Tc_2s-LW924cEWTTKAuD_ipgw_4_0"/>
      <w:bookmarkStart w:id="84" w:name="Tc_L6Uintj9RUCB33sNsQZtQw_3_0"/>
      <w:bookmarkStart w:id="85" w:name="Tc__b26oxns_UeZvyD3oJgZ1Q_2_5"/>
      <w:bookmarkStart w:id="86" w:name="Tc_njDzflRlsEa9ucWeBzyXfA_2_2"/>
      <w:bookmarkStart w:id="87" w:name="Tc_prFh_FKYXEWmG7CWK-yOWw_1_5"/>
      <w:bookmarkStart w:id="88" w:name="Tc_dUz-24IAQEyiN_kQJnDNDA_1_2"/>
      <w:bookmarkStart w:id="89" w:name="_5c42cfd6_6ab8_48ee_8439_e644719f52d6"/>
      <w:bookmarkStart w:id="90" w:name="Tc_CvmX7ajNQ0SjUvzL7qF2eg_32_5"/>
      <w:bookmarkStart w:id="91" w:name="Tc_7uzlm5ttSUOaqcW_ImA9xw_32_2"/>
      <w:bookmarkStart w:id="92" w:name="Tc_PoR_0_8kdkWMH7mRxUHElg_32_0"/>
      <w:bookmarkStart w:id="93" w:name="Tc_ChHqRFuAg0itXyL3JxkHUg_31_0"/>
      <w:bookmarkStart w:id="94" w:name="Tc_RXzf-exOU0GagrUpN0s2TA_30_0"/>
      <w:bookmarkStart w:id="95" w:name="Tc_tdMH6I63rUWBHfmrdWIikQ_29_0"/>
      <w:bookmarkStart w:id="96" w:name="Tc_cbbn000ojEaF5fXH-uYU5w_28_0"/>
      <w:bookmarkStart w:id="97" w:name="Tc_Utu_SDvUukOfHjrvyfbzSw_27_0"/>
      <w:bookmarkStart w:id="98" w:name="Tc_4cNMWYsuA0i-dguZvLuZdA_26_0"/>
      <w:bookmarkStart w:id="99" w:name="Tc_DQR8-OpjB0e1jf1kDIO2tA_25_0"/>
      <w:bookmarkStart w:id="100" w:name="Tc_8N7zHHHvRUuvwnoHWv02LQ_23_0"/>
      <w:bookmarkStart w:id="101" w:name="Tc_lh-GqQwXZ0KJ6yWsr-253A_21_0"/>
      <w:bookmarkStart w:id="102" w:name="Tc_tY6T2wTK40-0KUxGx1U-Sw_20_6"/>
      <w:bookmarkStart w:id="103" w:name="Tc_A5mF0BRZYUuJXtI4k1hIAQ_20_0"/>
      <w:bookmarkStart w:id="104" w:name="Tc_-LxYD9bm8UmFtQCo2ntSTw_19_0"/>
      <w:bookmarkStart w:id="105" w:name="Tc_CS7d9rFN_EKHjnslCAiDvQ_18_0"/>
      <w:bookmarkStart w:id="106" w:name="Tc_GAOgoA3fpUS6EDWReyDQtA_17_0"/>
      <w:bookmarkStart w:id="107" w:name="Tc_UIak6hF7OEec8c27RKnDpg_16_5"/>
      <w:bookmarkStart w:id="108" w:name="Tc_WVze_Nq_uEe_f4EOOPp0bA_16_2"/>
      <w:bookmarkStart w:id="109" w:name="Tc_d4dJJ6BHuECVJNAOgo_8cQ_16_0"/>
      <w:bookmarkStart w:id="110" w:name="Tc_Ks3bA6SyRkaqV1U_gWM5PQ_15_0"/>
      <w:bookmarkStart w:id="111" w:name="Tc_Y2Rn0foYmEKVFLJG7XMmYQ_14_0"/>
      <w:bookmarkStart w:id="112" w:name="Tc_jyNxJR6zcUS3gflT8pG-dg_12_5"/>
      <w:bookmarkStart w:id="113" w:name="Tc_M3qhoqBFKEWuGcz3asfODQ_12_2"/>
      <w:bookmarkStart w:id="114" w:name="Tc_BjjtTYfOiECcpGvEEe6_YA_12_0"/>
      <w:bookmarkStart w:id="115" w:name="Tc_ykc8fgGiaESvp4VZwSGCPw_11_0"/>
      <w:bookmarkStart w:id="116" w:name="Tc_W--HVrfp6k6tiFqoxzxuXg_10_0"/>
      <w:bookmarkStart w:id="117" w:name="Tc_X0PIg3yg80GrIjkGsvrTCA_9_0"/>
      <w:bookmarkStart w:id="118" w:name="Tc_fxB8i7giV0uO7GVOyD5WWw_8_0"/>
      <w:bookmarkStart w:id="119" w:name="Tc_kuAoi3SQUUmVd3m5xNEoKg_7_0"/>
      <w:bookmarkStart w:id="120" w:name="Tc_Bz1zly-ZDUaiPkJ0sh786Q_6_0"/>
      <w:bookmarkStart w:id="121" w:name="Tc_2mXLMKDeDk-0xuLu2BN4PQ_5_5"/>
      <w:bookmarkStart w:id="122" w:name="Tc_GgBxbaVwrUaIvxOwswJcrQ_5_2"/>
      <w:bookmarkStart w:id="123" w:name="Tc_S-2I2OyQZk2nUW76GVCkpw_5_0"/>
      <w:bookmarkStart w:id="124" w:name="Tc_2s-LW924cEWTTKAuD_ipgw_4_0"/>
      <w:bookmarkStart w:id="125" w:name="Tc_L6Uintj9RUCB33sNsQZtQw_3_0"/>
      <w:bookmarkStart w:id="126" w:name="Tc__b26oxns_UeZvyD3oJgZ1Q_2_5"/>
      <w:bookmarkStart w:id="127" w:name="Tc_njDzflRlsEa9ucWeBzyXfA_2_2"/>
      <w:bookmarkStart w:id="128" w:name="Tc_prFh_FKYXEWmG7CWK-yOWw_1_5"/>
      <w:bookmarkStart w:id="129" w:name="Tc_dUz-24IAQEyiN_kQJnDNDA_1_2"/>
      <w:bookmarkStart w:id="130" w:name="_5c42cfd6_6ab8_48ee_8439_e644719f52d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10205" w:type="dxa"/>
        <w:jc w:val="left"/>
        <w:tblInd w:w="0" w:type="dxa"/>
        <w:tblLayout w:type="fixed"/>
        <w:tblCellMar>
          <w:top w:w="0" w:type="dxa"/>
          <w:left w:w="0" w:type="dxa"/>
          <w:bottom w:w="0" w:type="dxa"/>
          <w:right w:w="0" w:type="dxa"/>
        </w:tblCellMar>
      </w:tblPr>
      <w:tblGrid>
        <w:gridCol w:w="7297"/>
        <w:gridCol w:w="346"/>
        <w:gridCol w:w="211"/>
        <w:gridCol w:w="867"/>
        <w:gridCol w:w="346"/>
        <w:gridCol w:w="213"/>
        <w:gridCol w:w="925"/>
      </w:tblGrid>
      <w:tr>
        <w:trPr/>
        <w:tc>
          <w:tcPr>
            <w:tcW w:w="72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50545" cy="175260"/>
                      <wp:effectExtent l="0" t="0" r="0" b="0"/>
                      <wp:wrapNone/>
                      <wp:docPr id="6" name="Frame6"/>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5255" cy="175260"/>
                      <wp:effectExtent l="0" t="0" r="0" b="0"/>
                      <wp:wrapNone/>
                      <wp:docPr id="8" name="Frame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87375" cy="175260"/>
                      <wp:effectExtent l="0" t="0" r="0" b="0"/>
                      <wp:wrapNone/>
                      <wp:docPr id="9" name="Frame9"/>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1078"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138" w:type="dxa"/>
            <w:gridSpan w:val="2"/>
            <w:tcBorders/>
            <w:shd w:fill="CCEEFF" w:val="clear"/>
            <w:vAlign w:val="center"/>
          </w:tcPr>
          <w:p>
            <w:pPr>
              <w:pStyle w:val="TableContents"/>
              <w:bidi w:val="0"/>
              <w:spacing w:before="0" w:after="0"/>
              <w:ind w:left="0" w:right="0" w:hanging="0"/>
              <w:jc w:val="center"/>
              <w:rPr/>
            </w:pPr>
            <w:r>
              <w:rPr/>
              <w:t>​</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  ​</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154,682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45,540</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218,437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267,281</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20,076</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394,173</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332,897</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assets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394,718</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333,169</w:t>
            </w:r>
          </w:p>
        </w:tc>
      </w:tr>
      <w:tr>
        <w:trPr/>
        <w:tc>
          <w:tcPr>
            <w:tcW w:w="729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  ​</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pPr>
            <w:r>
              <w:rPr/>
              <w:t>  ​</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25,309</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19,997</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25,945</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amount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25,945</w:t>
            </w:r>
          </w:p>
        </w:tc>
      </w:tr>
      <w:tr>
        <w:trPr/>
        <w:tc>
          <w:tcPr>
            <w:tcW w:w="72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10,000,000 shares authorized; no shares issued and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200,000,000 shares authorized; 48,319,591 and 42,452,251 shares issued and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864,957</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711,847</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(497,854)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(404,641)</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366,841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307,224</w:t>
            </w:r>
          </w:p>
        </w:tc>
      </w:tr>
      <w:tr>
        <w:trPr/>
        <w:tc>
          <w:tcPr>
            <w:tcW w:w="7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394,718</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333,169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131" w:name="_b1b265c9_7167_416e_b058_ebc9c16754b5"/>
      <w:bookmarkEnd w:id="131"/>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132" w:name="STATEMENTSOFOPERATIONS_861034"/>
      <w:bookmarkEnd w:id="132"/>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3" w:name="Tc_u3YsZC1jPEWxcWfFgxWshw_17_0"/>
      <w:bookmarkStart w:id="134" w:name="Tc_xznK6g_fvEK6h2357ZoxNw_16_11"/>
      <w:bookmarkStart w:id="135" w:name="Tc_zP0oHAdfUkexWZfnYzhdfw_16_8"/>
      <w:bookmarkStart w:id="136" w:name="Tc_kJmh0o044UG-3JX0IlbIUQ_16_5"/>
      <w:bookmarkStart w:id="137" w:name="Tc_y6cqohdTvE6chHauaSJtPw_16_2"/>
      <w:bookmarkStart w:id="138" w:name="Tc_DdeqXtQUWEOLDTKL-UWcRA_16_0"/>
      <w:bookmarkStart w:id="139" w:name="Tc_Syy-c_gTxUO4wJWV-BbhKQ_15_0"/>
      <w:bookmarkStart w:id="140" w:name="Tc_AgGqrZHfGU6mjME9EGv5HQ_13_11"/>
      <w:bookmarkStart w:id="141" w:name="Tc_jp3hyJKgEkGHVspvLS6sRw_13_8"/>
      <w:bookmarkStart w:id="142" w:name="Tc_1xYyst8G-EW8ZsS3-m3-nQ_13_5"/>
      <w:bookmarkStart w:id="143" w:name="Tc_D-72yPUzN0uwGfwsq66lBg_13_2"/>
      <w:bookmarkStart w:id="144" w:name="Tc_PBr-gyOK2ESZveE_uBZCqg_13_0"/>
      <w:bookmarkStart w:id="145" w:name="Tc_KT8Bq-7GyEyUitM1wyCSOQ_12_0"/>
      <w:bookmarkStart w:id="146" w:name="Tc_PqWXCj2C-0ecguBVlpKbiQ_11_0"/>
      <w:bookmarkStart w:id="147" w:name="Tc_OsRi163VoEan8iMphG7DQQ_10_0"/>
      <w:bookmarkStart w:id="148" w:name="Tc_OblGtAEnMkWSN5l0dyCOmQ_9_0"/>
      <w:bookmarkStart w:id="149" w:name="Tc_PRx-DZVhB0egNI9i03oR4Q_8_0"/>
      <w:bookmarkStart w:id="150" w:name="Tc_fPr0VE5nkEaKAh-XczKfgA_7_0"/>
      <w:bookmarkStart w:id="151" w:name="Tc_jGp1rnkdA0e-eoME-Tk6iw_6_0"/>
      <w:bookmarkStart w:id="152" w:name="Tc_x9YqTO2HbEmSuiBav5ozqg_5_11"/>
      <w:bookmarkStart w:id="153" w:name="Tc_F5Is9xRJAEG6X3q968s6HA_5_8"/>
      <w:bookmarkStart w:id="154" w:name="Tc_NbEqe67HPEqOlvv3Fts1pA_5_5"/>
      <w:bookmarkStart w:id="155" w:name="Tc_Y_MS7Hc32EuOZGKKlxQ_4A_5_2"/>
      <w:bookmarkStart w:id="156" w:name="Tc_XQKsJOrJQUmi4tZzHf1Myw_5_0"/>
      <w:bookmarkStart w:id="157" w:name="Tc_tpao9hAd-Eqs_3K5WDzgDA_4_0"/>
      <w:bookmarkStart w:id="158" w:name="Tc_kneWgpdId02SWBNFFuDQwQ_3_11"/>
      <w:bookmarkStart w:id="159" w:name="Tc_dUm5yHe4REexdxZ9CpOLcg_3_8"/>
      <w:bookmarkStart w:id="160" w:name="Tc_e15ofLrgqESzUgv4juXhtg_3_5"/>
      <w:bookmarkStart w:id="161" w:name="Tc_8JxzQUSwk0qPyaHJsRGI3w_3_2"/>
      <w:bookmarkStart w:id="162" w:name="Tc_Sl7VKXvDCk24Mtfx65MA9A_2_8"/>
      <w:bookmarkStart w:id="163" w:name="Tc_bYdAKeZ810CKdCA4Sm_g4g_2_2"/>
      <w:bookmarkStart w:id="164" w:name="Tc_y5z5MV6ykkG6iBbx2859VQ_1_9"/>
      <w:bookmarkStart w:id="165" w:name="Tc_lTg1vJDFZEeEglLSmklHdQ_1_2"/>
      <w:bookmarkStart w:id="166" w:name="_0147db39_2544_49bf_b27b_57becfb15f5c"/>
      <w:bookmarkStart w:id="167" w:name="_9030b5fe_033b_452c_a03a_0b302da502c8"/>
      <w:bookmarkStart w:id="168" w:name="Tc_u3YsZC1jPEWxcWfFgxWshw_17_0"/>
      <w:bookmarkStart w:id="169" w:name="Tc_xznK6g_fvEK6h2357ZoxNw_16_11"/>
      <w:bookmarkStart w:id="170" w:name="Tc_zP0oHAdfUkexWZfnYzhdfw_16_8"/>
      <w:bookmarkStart w:id="171" w:name="Tc_kJmh0o044UG-3JX0IlbIUQ_16_5"/>
      <w:bookmarkStart w:id="172" w:name="Tc_y6cqohdTvE6chHauaSJtPw_16_2"/>
      <w:bookmarkStart w:id="173" w:name="Tc_DdeqXtQUWEOLDTKL-UWcRA_16_0"/>
      <w:bookmarkStart w:id="174" w:name="Tc_Syy-c_gTxUO4wJWV-BbhKQ_15_0"/>
      <w:bookmarkStart w:id="175" w:name="Tc_AgGqrZHfGU6mjME9EGv5HQ_13_11"/>
      <w:bookmarkStart w:id="176" w:name="Tc_jp3hyJKgEkGHVspvLS6sRw_13_8"/>
      <w:bookmarkStart w:id="177" w:name="Tc_1xYyst8G-EW8ZsS3-m3-nQ_13_5"/>
      <w:bookmarkStart w:id="178" w:name="Tc_D-72yPUzN0uwGfwsq66lBg_13_2"/>
      <w:bookmarkStart w:id="179" w:name="Tc_PBr-gyOK2ESZveE_uBZCqg_13_0"/>
      <w:bookmarkStart w:id="180" w:name="Tc_KT8Bq-7GyEyUitM1wyCSOQ_12_0"/>
      <w:bookmarkStart w:id="181" w:name="Tc_PqWXCj2C-0ecguBVlpKbiQ_11_0"/>
      <w:bookmarkStart w:id="182" w:name="Tc_OsRi163VoEan8iMphG7DQQ_10_0"/>
      <w:bookmarkStart w:id="183" w:name="Tc_OblGtAEnMkWSN5l0dyCOmQ_9_0"/>
      <w:bookmarkStart w:id="184" w:name="Tc_PRx-DZVhB0egNI9i03oR4Q_8_0"/>
      <w:bookmarkStart w:id="185" w:name="Tc_fPr0VE5nkEaKAh-XczKfgA_7_0"/>
      <w:bookmarkStart w:id="186" w:name="Tc_jGp1rnkdA0e-eoME-Tk6iw_6_0"/>
      <w:bookmarkStart w:id="187" w:name="Tc_x9YqTO2HbEmSuiBav5ozqg_5_11"/>
      <w:bookmarkStart w:id="188" w:name="Tc_F5Is9xRJAEG6X3q968s6HA_5_8"/>
      <w:bookmarkStart w:id="189" w:name="Tc_NbEqe67HPEqOlvv3Fts1pA_5_5"/>
      <w:bookmarkStart w:id="190" w:name="Tc_Y_MS7Hc32EuOZGKKlxQ_4A_5_2"/>
      <w:bookmarkStart w:id="191" w:name="Tc_XQKsJOrJQUmi4tZzHf1Myw_5_0"/>
      <w:bookmarkStart w:id="192" w:name="Tc_tpao9hAd-Eqs_3K5WDzgDA_4_0"/>
      <w:bookmarkStart w:id="193" w:name="Tc_kneWgpdId02SWBNFFuDQwQ_3_11"/>
      <w:bookmarkStart w:id="194" w:name="Tc_dUm5yHe4REexdxZ9CpOLcg_3_8"/>
      <w:bookmarkStart w:id="195" w:name="Tc_e15ofLrgqESzUgv4juXhtg_3_5"/>
      <w:bookmarkStart w:id="196" w:name="Tc_8JxzQUSwk0qPyaHJsRGI3w_3_2"/>
      <w:bookmarkStart w:id="197" w:name="Tc_Sl7VKXvDCk24Mtfx65MA9A_2_8"/>
      <w:bookmarkStart w:id="198" w:name="Tc_bYdAKeZ810CKdCA4Sm_g4g_2_2"/>
      <w:bookmarkStart w:id="199" w:name="Tc_y5z5MV6ykkG6iBbx2859VQ_1_9"/>
      <w:bookmarkStart w:id="200" w:name="Tc_lTg1vJDFZEeEglLSmklHdQ_1_2"/>
      <w:bookmarkStart w:id="201" w:name="_0147db39_2544_49bf_b27b_57becfb15f5c"/>
      <w:bookmarkStart w:id="202" w:name="_9030b5fe_033b_452c_a03a_0b302da502c8"/>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tbl>
      <w:tblPr>
        <w:tblW w:w="10205" w:type="dxa"/>
        <w:jc w:val="left"/>
        <w:tblInd w:w="0" w:type="dxa"/>
        <w:tblLayout w:type="fixed"/>
        <w:tblCellMar>
          <w:top w:w="0" w:type="dxa"/>
          <w:left w:w="0" w:type="dxa"/>
          <w:bottom w:w="0" w:type="dxa"/>
          <w:right w:w="0" w:type="dxa"/>
        </w:tblCellMar>
      </w:tblPr>
      <w:tblGrid>
        <w:gridCol w:w="3679"/>
        <w:gridCol w:w="346"/>
        <w:gridCol w:w="211"/>
        <w:gridCol w:w="1036"/>
        <w:gridCol w:w="346"/>
        <w:gridCol w:w="211"/>
        <w:gridCol w:w="1036"/>
        <w:gridCol w:w="346"/>
        <w:gridCol w:w="211"/>
        <w:gridCol w:w="1036"/>
        <w:gridCol w:w="346"/>
        <w:gridCol w:w="211"/>
        <w:gridCol w:w="1036"/>
        <w:gridCol w:w="154"/>
      </w:tblGrid>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790" cy="175260"/>
                      <wp:effectExtent l="0" t="0" r="0" b="0"/>
                      <wp:wrapNone/>
                      <wp:docPr id="22" name="Frame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62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center"/>
              <w:rPr/>
            </w:pPr>
            <w:r>
              <w:rPr/>
              <w:t>​</w:t>
            </w:r>
          </w:p>
        </w:tc>
      </w:tr>
      <w:tr>
        <w:trPr/>
        <w:tc>
          <w:tcPr>
            <w:tcW w:w="36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89,009</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98,801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100,395</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(98,801)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and investment income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(95,786)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(95,593)</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right"/>
              <w:rPr/>
            </w:pPr>
            <w:r>
              <w:rPr/>
              <w:t>​</w:t>
            </w:r>
          </w:p>
        </w:tc>
      </w:tr>
      <w:tr>
        <w:trPr/>
        <w:tc>
          <w:tcPr>
            <w:tcW w:w="3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47,606,857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35,006,114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46,351,614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34,455,585</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interim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3" w:name="_8a886116_976f_4989_ab31_63e964f39a27"/>
      <w:bookmarkEnd w:id="203"/>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204" w:name="STATEMENTSOFCONVERTIBLEPREFERREDSTOCKAND"/>
      <w:bookmarkEnd w:id="204"/>
      <w:r>
        <w:rPr>
          <w:rFonts w:ascii="Times New Roman;Times;serif" w:hAnsi="Times New Roman;Times;serif"/>
          <w:b/>
          <w:sz w:val="20"/>
        </w:rPr>
        <w:t>CONDENSED STATEMENTS OF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05" w:name="Tc_DWmjoGLfM0KNKm9jH7SQ-g_18_17"/>
      <w:bookmarkStart w:id="206" w:name="Tc_M04ZbrhyLUWTtHkWUpmKiQ_18_14"/>
      <w:bookmarkStart w:id="207" w:name="Tc_TrZuRZmdf0es1U4BTInX0Q_18_11"/>
      <w:bookmarkStart w:id="208" w:name="Tc_chzGHdKb3kG_CVmuFsWxUg_18_8"/>
      <w:bookmarkStart w:id="209" w:name="Tc_Fe0M3Ma2t0-n79TIZxeDbg_18_5"/>
      <w:bookmarkStart w:id="210" w:name="Tc_4i8VEp1HRkiSSOBCTKbfoQ_18_0"/>
      <w:bookmarkStart w:id="211" w:name="Tc_7IaZYF1FtkyDtiwy-QAvBg_17_12"/>
      <w:bookmarkStart w:id="212" w:name="Tc_cfvT8zaaQ0e61GKuhq0pAA_17_9"/>
      <w:bookmarkStart w:id="213" w:name="Tc_81YyuYdHjU2LBRPjZ2_MkA_17_6"/>
      <w:bookmarkStart w:id="214" w:name="Tc_AhBlsm867kGZipx-oeXeUA_17_3"/>
      <w:bookmarkStart w:id="215" w:name="Tc_ThWO52QspU68RmUzFKDQKg_17_0"/>
      <w:bookmarkStart w:id="216" w:name="Tc_Vqb1ruOLgkWpfYWHWf3sBw_16_15"/>
      <w:bookmarkStart w:id="217" w:name="Tc_crwM0dHIa0WudeyYb9t4MQ_16_9"/>
      <w:bookmarkStart w:id="218" w:name="Tc_YF0-eAnw5EWR9Kvxipsm0A_16_6"/>
      <w:bookmarkStart w:id="219" w:name="Tc_Bm-uC1XCmEGmXlhmOofamQ_16_3"/>
      <w:bookmarkStart w:id="220" w:name="Tc_GuTTMp1c9E-cBbDOW84ksQ_16_0"/>
      <w:bookmarkStart w:id="221" w:name="Tc_-yBJGwtTNUK5x31-Ag_oRQ_15_15"/>
      <w:bookmarkStart w:id="222" w:name="Tc_5s3I07zMo0SBDXcY82P5fg_15_12"/>
      <w:bookmarkStart w:id="223" w:name="Tc_rVNcCZXWf0C2MKsLzmVyYQ_15_6"/>
      <w:bookmarkStart w:id="224" w:name="Tc_qwtnYxkhEU-sWOXoRX_U-w_15_3"/>
      <w:bookmarkStart w:id="225" w:name="Tc_rxVtPBOWyEWNQtj2h8m2Gw_15_0"/>
      <w:bookmarkStart w:id="226" w:name="Tc_3rnCnI7mvUy2p0OXX_nI4A_14_15"/>
      <w:bookmarkStart w:id="227" w:name="Tc_elwS1LK7_EesYdKH2KDfpw_14_12"/>
      <w:bookmarkStart w:id="228" w:name="Tc_mHEh5DNGVUuHEYGDwq8w_w_14_6"/>
      <w:bookmarkStart w:id="229" w:name="Tc_DCcI-MHfzUi-JRvipGzhbA_14_0"/>
      <w:bookmarkStart w:id="230" w:name="Tc_WfttC5sC70GsPrQL9zLnUg_13_15"/>
      <w:bookmarkStart w:id="231" w:name="Tc_713FcLvymUyNcnj5ggDXCg_13_12"/>
      <w:bookmarkStart w:id="232" w:name="Tc_C1iXEMCHdEyZdeuzOnLEzw_13_6"/>
      <w:bookmarkStart w:id="233" w:name="Tc_EYf1wQHkhkmqUUZoXdtTow_13_0"/>
      <w:bookmarkStart w:id="234" w:name="Tc_xJGcDzTX1k-y2pq_ZZYAhQ_12_0"/>
      <w:bookmarkStart w:id="235" w:name="Tc_P5tDNdRTuESXG00FiGbgVw_11_12"/>
      <w:bookmarkStart w:id="236" w:name="Tc_lUNlRkSY8UGMVqdXa2rVpQ_11_9"/>
      <w:bookmarkStart w:id="237" w:name="Tc_3f9LrX2pekmSikEzixwqlg_11_6"/>
      <w:bookmarkStart w:id="238" w:name="Tc_ahc9zPBIQkiBR_S_Ky6sSw_11_3"/>
      <w:bookmarkStart w:id="239" w:name="Tc_H6IjNOhezEOaqlWhapK9Aw_11_0"/>
      <w:bookmarkStart w:id="240" w:name="Tc_9ni2RcWLP0iG0N5tuJfChA_10_15"/>
      <w:bookmarkStart w:id="241" w:name="Tc_FL3PNOLXSUi4KSw-s2sLVg_10_9"/>
      <w:bookmarkStart w:id="242" w:name="Tc_SBefMKNkS06l_AH_BdyVYA_10_6"/>
      <w:bookmarkStart w:id="243" w:name="Tc_7FxRNTW3CU6sRsYsvL0sIg_10_3"/>
      <w:bookmarkStart w:id="244" w:name="Tc_vp_XTu5GYU2U7l0d8-Y08A_10_0"/>
      <w:bookmarkStart w:id="245" w:name="Tc_xq6hYAhKg0SJHbCWMB6pnw_9_15"/>
      <w:bookmarkStart w:id="246" w:name="Tc_QKc2BStC10y5C0N-I9CnvQ_9_12"/>
      <w:bookmarkStart w:id="247" w:name="Tc_njj39IKeeEuNzne9z_b96A_9_6"/>
      <w:bookmarkStart w:id="248" w:name="Tc_MvrAYLkjBUSS8mdJOyt_SA_9_3"/>
      <w:bookmarkStart w:id="249" w:name="Tc_ZA16v1pQf0i2JdKNf0HjbA_9_0"/>
      <w:bookmarkStart w:id="250" w:name="Tc_cKa1MHj1R0af6sSvUsULyw_8_18"/>
      <w:bookmarkStart w:id="251" w:name="Tc_i45faLDql0yZZDzaOSqgtQ_8_15"/>
      <w:bookmarkStart w:id="252" w:name="Tc_Egb_uOnsdEqcClnsaXDwag_8_12"/>
      <w:bookmarkStart w:id="253" w:name="Tc_e33mS06z-0u5Iu4XwryCeA_8_9"/>
      <w:bookmarkStart w:id="254" w:name="Tc_1o0VDp6-7E66h3LrJmyGSQ_8_6"/>
      <w:bookmarkStart w:id="255" w:name="Tc_ut7UNoL-b0OYoViQ-7MdLg_8_0"/>
      <w:bookmarkStart w:id="256" w:name="Tc_UTy_BdV8G0e6C3PAfhMrMg_7_15"/>
      <w:bookmarkStart w:id="257" w:name="Tc_pfm3SJeweUO5I90VQdWZxA_7_12"/>
      <w:bookmarkStart w:id="258" w:name="Tc_MjDmqI20NEefdL6eNX_0Ew_7_6"/>
      <w:bookmarkStart w:id="259" w:name="Tc_KNJm9bn7SkuqAUl3dNyZWg_7_0"/>
      <w:bookmarkStart w:id="260" w:name="Tc_p6Dn_v2olkKmriQ1oDibjA_6_15"/>
      <w:bookmarkStart w:id="261" w:name="Tc_8rFdTHDzj0StbuMNeQWR7g_6_12"/>
      <w:bookmarkStart w:id="262" w:name="Tc_ysW0CV4f6EasjxkCENbdPg_6_0"/>
      <w:bookmarkStart w:id="263" w:name="Tc_DJBbxtWyRECFh0cH4EW5vg_5_17"/>
      <w:bookmarkStart w:id="264" w:name="Tc_pMuQqbm4LUKkor7m4tofvQ_5_14"/>
      <w:bookmarkStart w:id="265" w:name="Tc_p_zt726uz0S8DEoZAKFO4Q_5_11"/>
      <w:bookmarkStart w:id="266" w:name="Tc_Ib9oFa23Ikilpe-5ZgHEWg_5_8"/>
      <w:bookmarkStart w:id="267" w:name="Tc_we8K2qM8WUu_HuDD8nsavQ_5_5"/>
      <w:bookmarkStart w:id="268" w:name="Tc_2sf3XnD2oEGlKqs0s-9CHg_5_0"/>
      <w:bookmarkStart w:id="269" w:name="Tc_e-TKDvZE1EKnvB9coXPMaQ_4_17"/>
      <w:bookmarkStart w:id="270" w:name="Tc_TFsn8g_dO0-MMCMk2i15iQ_4_14"/>
      <w:bookmarkStart w:id="271" w:name="Tc_tMDyfQLV80-v1cuFMCwsag_4_11"/>
      <w:bookmarkStart w:id="272" w:name="Tc_jgWJYRFrAUS5MyY-hqHrMA_4_8"/>
      <w:bookmarkStart w:id="273" w:name="Tc_sw69UkIzNUGqdxSeD7uw_w_4_5"/>
      <w:bookmarkStart w:id="274" w:name="Tc_QLLDiuUUfUOVIQ15sezEeA_4_3"/>
      <w:bookmarkStart w:id="275" w:name="Tc_Nh0M0Vd8BEKbgPCOpNjUSg_3_14"/>
      <w:bookmarkStart w:id="276" w:name="Tc_FkKdr_MdjUKbksS_CWDfgw_3_11"/>
      <w:bookmarkStart w:id="277" w:name="Tc_mUd5p1reh02GxrHHT6W-jw_3_8"/>
      <w:bookmarkStart w:id="278" w:name="Tc_lgZ27y3DcUWxVmYhbIzpHA_3_3"/>
      <w:bookmarkStart w:id="279" w:name="Tc_6-ByOQ6Eb0ue8VbrghkX0A_2_11"/>
      <w:bookmarkStart w:id="280" w:name="Tc_USWEKQvPlU6c2aKRTZYzkw_2_8"/>
      <w:bookmarkStart w:id="281" w:name="Tc_R_mASvDRUkWPm1uO-A_nFw_1_11"/>
      <w:bookmarkStart w:id="282" w:name="_42e13e3f_e848_4a5d_9376_837502dc7056"/>
      <w:bookmarkStart w:id="283" w:name="Tc_DWmjoGLfM0KNKm9jH7SQ-g_18_17"/>
      <w:bookmarkStart w:id="284" w:name="Tc_M04ZbrhyLUWTtHkWUpmKiQ_18_14"/>
      <w:bookmarkStart w:id="285" w:name="Tc_TrZuRZmdf0es1U4BTInX0Q_18_11"/>
      <w:bookmarkStart w:id="286" w:name="Tc_chzGHdKb3kG_CVmuFsWxUg_18_8"/>
      <w:bookmarkStart w:id="287" w:name="Tc_Fe0M3Ma2t0-n79TIZxeDbg_18_5"/>
      <w:bookmarkStart w:id="288" w:name="Tc_4i8VEp1HRkiSSOBCTKbfoQ_18_0"/>
      <w:bookmarkStart w:id="289" w:name="Tc_7IaZYF1FtkyDtiwy-QAvBg_17_12"/>
      <w:bookmarkStart w:id="290" w:name="Tc_cfvT8zaaQ0e61GKuhq0pAA_17_9"/>
      <w:bookmarkStart w:id="291" w:name="Tc_81YyuYdHjU2LBRPjZ2_MkA_17_6"/>
      <w:bookmarkStart w:id="292" w:name="Tc_AhBlsm867kGZipx-oeXeUA_17_3"/>
      <w:bookmarkStart w:id="293" w:name="Tc_ThWO52QspU68RmUzFKDQKg_17_0"/>
      <w:bookmarkStart w:id="294" w:name="Tc_Vqb1ruOLgkWpfYWHWf3sBw_16_15"/>
      <w:bookmarkStart w:id="295" w:name="Tc_crwM0dHIa0WudeyYb9t4MQ_16_9"/>
      <w:bookmarkStart w:id="296" w:name="Tc_YF0-eAnw5EWR9Kvxipsm0A_16_6"/>
      <w:bookmarkStart w:id="297" w:name="Tc_Bm-uC1XCmEGmXlhmOofamQ_16_3"/>
      <w:bookmarkStart w:id="298" w:name="Tc_GuTTMp1c9E-cBbDOW84ksQ_16_0"/>
      <w:bookmarkStart w:id="299" w:name="Tc_-yBJGwtTNUK5x31-Ag_oRQ_15_15"/>
      <w:bookmarkStart w:id="300" w:name="Tc_5s3I07zMo0SBDXcY82P5fg_15_12"/>
      <w:bookmarkStart w:id="301" w:name="Tc_rVNcCZXWf0C2MKsLzmVyYQ_15_6"/>
      <w:bookmarkStart w:id="302" w:name="Tc_qwtnYxkhEU-sWOXoRX_U-w_15_3"/>
      <w:bookmarkStart w:id="303" w:name="Tc_rxVtPBOWyEWNQtj2h8m2Gw_15_0"/>
      <w:bookmarkStart w:id="304" w:name="Tc_3rnCnI7mvUy2p0OXX_nI4A_14_15"/>
      <w:bookmarkStart w:id="305" w:name="Tc_elwS1LK7_EesYdKH2KDfpw_14_12"/>
      <w:bookmarkStart w:id="306" w:name="Tc_mHEh5DNGVUuHEYGDwq8w_w_14_6"/>
      <w:bookmarkStart w:id="307" w:name="Tc_DCcI-MHfzUi-JRvipGzhbA_14_0"/>
      <w:bookmarkStart w:id="308" w:name="Tc_WfttC5sC70GsPrQL9zLnUg_13_15"/>
      <w:bookmarkStart w:id="309" w:name="Tc_713FcLvymUyNcnj5ggDXCg_13_12"/>
      <w:bookmarkStart w:id="310" w:name="Tc_C1iXEMCHdEyZdeuzOnLEzw_13_6"/>
      <w:bookmarkStart w:id="311" w:name="Tc_EYf1wQHkhkmqUUZoXdtTow_13_0"/>
      <w:bookmarkStart w:id="312" w:name="Tc_xJGcDzTX1k-y2pq_ZZYAhQ_12_0"/>
      <w:bookmarkStart w:id="313" w:name="Tc_P5tDNdRTuESXG00FiGbgVw_11_12"/>
      <w:bookmarkStart w:id="314" w:name="Tc_lUNlRkSY8UGMVqdXa2rVpQ_11_9"/>
      <w:bookmarkStart w:id="315" w:name="Tc_3f9LrX2pekmSikEzixwqlg_11_6"/>
      <w:bookmarkStart w:id="316" w:name="Tc_ahc9zPBIQkiBR_S_Ky6sSw_11_3"/>
      <w:bookmarkStart w:id="317" w:name="Tc_H6IjNOhezEOaqlWhapK9Aw_11_0"/>
      <w:bookmarkStart w:id="318" w:name="Tc_9ni2RcWLP0iG0N5tuJfChA_10_15"/>
      <w:bookmarkStart w:id="319" w:name="Tc_FL3PNOLXSUi4KSw-s2sLVg_10_9"/>
      <w:bookmarkStart w:id="320" w:name="Tc_SBefMKNkS06l_AH_BdyVYA_10_6"/>
      <w:bookmarkStart w:id="321" w:name="Tc_7FxRNTW3CU6sRsYsvL0sIg_10_3"/>
      <w:bookmarkStart w:id="322" w:name="Tc_vp_XTu5GYU2U7l0d8-Y08A_10_0"/>
      <w:bookmarkStart w:id="323" w:name="Tc_xq6hYAhKg0SJHbCWMB6pnw_9_15"/>
      <w:bookmarkStart w:id="324" w:name="Tc_QKc2BStC10y5C0N-I9CnvQ_9_12"/>
      <w:bookmarkStart w:id="325" w:name="Tc_njj39IKeeEuNzne9z_b96A_9_6"/>
      <w:bookmarkStart w:id="326" w:name="Tc_MvrAYLkjBUSS8mdJOyt_SA_9_3"/>
      <w:bookmarkStart w:id="327" w:name="Tc_ZA16v1pQf0i2JdKNf0HjbA_9_0"/>
      <w:bookmarkStart w:id="328" w:name="Tc_cKa1MHj1R0af6sSvUsULyw_8_18"/>
      <w:bookmarkStart w:id="329" w:name="Tc_i45faLDql0yZZDzaOSqgtQ_8_15"/>
      <w:bookmarkStart w:id="330" w:name="Tc_Egb_uOnsdEqcClnsaXDwag_8_12"/>
      <w:bookmarkStart w:id="331" w:name="Tc_e33mS06z-0u5Iu4XwryCeA_8_9"/>
      <w:bookmarkStart w:id="332" w:name="Tc_1o0VDp6-7E66h3LrJmyGSQ_8_6"/>
      <w:bookmarkStart w:id="333" w:name="Tc_ut7UNoL-b0OYoViQ-7MdLg_8_0"/>
      <w:bookmarkStart w:id="334" w:name="Tc_UTy_BdV8G0e6C3PAfhMrMg_7_15"/>
      <w:bookmarkStart w:id="335" w:name="Tc_pfm3SJeweUO5I90VQdWZxA_7_12"/>
      <w:bookmarkStart w:id="336" w:name="Tc_MjDmqI20NEefdL6eNX_0Ew_7_6"/>
      <w:bookmarkStart w:id="337" w:name="Tc_KNJm9bn7SkuqAUl3dNyZWg_7_0"/>
      <w:bookmarkStart w:id="338" w:name="Tc_p6Dn_v2olkKmriQ1oDibjA_6_15"/>
      <w:bookmarkStart w:id="339" w:name="Tc_8rFdTHDzj0StbuMNeQWR7g_6_12"/>
      <w:bookmarkStart w:id="340" w:name="Tc_ysW0CV4f6EasjxkCENbdPg_6_0"/>
      <w:bookmarkStart w:id="341" w:name="Tc_DJBbxtWyRECFh0cH4EW5vg_5_17"/>
      <w:bookmarkStart w:id="342" w:name="Tc_pMuQqbm4LUKkor7m4tofvQ_5_14"/>
      <w:bookmarkStart w:id="343" w:name="Tc_p_zt726uz0S8DEoZAKFO4Q_5_11"/>
      <w:bookmarkStart w:id="344" w:name="Tc_Ib9oFa23Ikilpe-5ZgHEWg_5_8"/>
      <w:bookmarkStart w:id="345" w:name="Tc_we8K2qM8WUu_HuDD8nsavQ_5_5"/>
      <w:bookmarkStart w:id="346" w:name="Tc_2sf3XnD2oEGlKqs0s-9CHg_5_0"/>
      <w:bookmarkStart w:id="347" w:name="Tc_e-TKDvZE1EKnvB9coXPMaQ_4_17"/>
      <w:bookmarkStart w:id="348" w:name="Tc_TFsn8g_dO0-MMCMk2i15iQ_4_14"/>
      <w:bookmarkStart w:id="349" w:name="Tc_tMDyfQLV80-v1cuFMCwsag_4_11"/>
      <w:bookmarkStart w:id="350" w:name="Tc_jgWJYRFrAUS5MyY-hqHrMA_4_8"/>
      <w:bookmarkStart w:id="351" w:name="Tc_sw69UkIzNUGqdxSeD7uw_w_4_5"/>
      <w:bookmarkStart w:id="352" w:name="Tc_QLLDiuUUfUOVIQ15sezEeA_4_3"/>
      <w:bookmarkStart w:id="353" w:name="Tc_Nh0M0Vd8BEKbgPCOpNjUSg_3_14"/>
      <w:bookmarkStart w:id="354" w:name="Tc_FkKdr_MdjUKbksS_CWDfgw_3_11"/>
      <w:bookmarkStart w:id="355" w:name="Tc_mUd5p1reh02GxrHHT6W-jw_3_8"/>
      <w:bookmarkStart w:id="356" w:name="Tc_lgZ27y3DcUWxVmYhbIzpHA_3_3"/>
      <w:bookmarkStart w:id="357" w:name="Tc_6-ByOQ6Eb0ue8VbrghkX0A_2_11"/>
      <w:bookmarkStart w:id="358" w:name="Tc_USWEKQvPlU6c2aKRTZYzkw_2_8"/>
      <w:bookmarkStart w:id="359" w:name="Tc_R_mASvDRUkWPm1uO-A_nFw_1_11"/>
      <w:bookmarkStart w:id="360" w:name="_42e13e3f_e848_4a5d_9376_837502dc7056"/>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tbl>
      <w:tblPr>
        <w:tblW w:w="10205" w:type="dxa"/>
        <w:jc w:val="left"/>
        <w:tblInd w:w="0" w:type="dxa"/>
        <w:tblLayout w:type="fixed"/>
        <w:tblCellMar>
          <w:top w:w="0" w:type="dxa"/>
          <w:left w:w="0" w:type="dxa"/>
          <w:bottom w:w="0" w:type="dxa"/>
          <w:right w:w="0" w:type="dxa"/>
        </w:tblCellMar>
      </w:tblPr>
      <w:tblGrid>
        <w:gridCol w:w="2230"/>
        <w:gridCol w:w="346"/>
        <w:gridCol w:w="146"/>
        <w:gridCol w:w="916"/>
        <w:gridCol w:w="346"/>
        <w:gridCol w:w="249"/>
        <w:gridCol w:w="442"/>
        <w:gridCol w:w="346"/>
        <w:gridCol w:w="196"/>
        <w:gridCol w:w="691"/>
        <w:gridCol w:w="346"/>
        <w:gridCol w:w="376"/>
        <w:gridCol w:w="840"/>
        <w:gridCol w:w="346"/>
        <w:gridCol w:w="217"/>
        <w:gridCol w:w="834"/>
        <w:gridCol w:w="346"/>
        <w:gridCol w:w="196"/>
        <w:gridCol w:w="796"/>
      </w:tblGrid>
      <w:tr>
        <w:trPr/>
        <w:tc>
          <w:tcPr>
            <w:tcW w:w="2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16050" cy="175260"/>
                      <wp:effectExtent l="0" t="0" r="0" b="0"/>
                      <wp:wrapNone/>
                      <wp:docPr id="23" name="Frame23"/>
                      <a:graphic xmlns:a="http://schemas.openxmlformats.org/drawingml/2006/main">
                        <a:graphicData uri="http://schemas.microsoft.com/office/word/2010/wordprocessingShape">
                          <wps:wsp>
                            <wps:cNvSpPr txBox="1"/>
                            <wps:spPr>
                              <a:xfrm>
                                <a:off x="0" y="0"/>
                                <a:ext cx="141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2710" cy="175260"/>
                      <wp:effectExtent l="0" t="0" r="0" b="0"/>
                      <wp:wrapNone/>
                      <wp:docPr id="25" name="Frame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1660" cy="175260"/>
                      <wp:effectExtent l="0" t="0" r="0" b="0"/>
                      <wp:wrapNone/>
                      <wp:docPr id="26" name="Frame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8115" cy="175260"/>
                      <wp:effectExtent l="0" t="0" r="0" b="0"/>
                      <wp:wrapNone/>
                      <wp:docPr id="28" name="Frame2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0670" cy="175260"/>
                      <wp:effectExtent l="0" t="0" r="0" b="0"/>
                      <wp:wrapNone/>
                      <wp:docPr id="29" name="Frame2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785" cy="175260"/>
                      <wp:effectExtent l="0" t="0" r="0" b="0"/>
                      <wp:wrapNone/>
                      <wp:docPr id="32" name="Frame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8760" cy="175260"/>
                      <wp:effectExtent l="0" t="0" r="0" b="0"/>
                      <wp:wrapNone/>
                      <wp:docPr id="34" name="Frame3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33400" cy="175260"/>
                      <wp:effectExtent l="0" t="0" r="0" b="0"/>
                      <wp:wrapNone/>
                      <wp:docPr id="35" name="Frame3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7795" cy="175260"/>
                      <wp:effectExtent l="0" t="0" r="0" b="0"/>
                      <wp:wrapNone/>
                      <wp:docPr id="37" name="Frame3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29590" cy="175260"/>
                      <wp:effectExtent l="0" t="0" r="0" b="0"/>
                      <wp:wrapNone/>
                      <wp:docPr id="38" name="Frame3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5460" cy="175260"/>
                      <wp:effectExtent l="0" t="0" r="0" b="0"/>
                      <wp:wrapNone/>
                      <wp:docPr id="41"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42,452,251</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711,847</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(404,641)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307,224</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$2,418</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2,425,495</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54,724</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54,725</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31,195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pre-funded warrants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5,485</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5,485</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investments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4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(43,320)</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45,308,941</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772,206</w:t>
            </w:r>
          </w:p>
        </w:tc>
        <w:tc>
          <w:tcPr>
            <w:tcW w:w="346" w:type="dxa"/>
            <w:tcBorders/>
            <w:vAlign w:val="center"/>
          </w:tcPr>
          <w:p>
            <w:pPr>
              <w:pStyle w:val="TableContents"/>
              <w:bidi w:val="0"/>
              <w:spacing w:before="0" w:after="1"/>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(447,961)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323,980</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$2,509</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2,932,823</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85,234</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85,234</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77,827</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righ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6,665</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6,665</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(49,893)</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48,319,591</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864,957</w:t>
            </w:r>
          </w:p>
        </w:tc>
        <w:tc>
          <w:tcPr>
            <w:tcW w:w="346" w:type="dxa"/>
            <w:tcBorders/>
            <w:vAlign w:val="center"/>
          </w:tcPr>
          <w:p>
            <w:pPr>
              <w:pStyle w:val="TableContents"/>
              <w:bidi w:val="0"/>
              <w:spacing w:before="0" w:after="1"/>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(497,854)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366,841</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 unaudited interim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61" w:name="Tc_uPfPT3iSE0u5WTpGSBOVDw_17_17"/>
      <w:bookmarkStart w:id="362" w:name="Tc_aofTF_6QR0KJhF0M7Ra8fA_17_14"/>
      <w:bookmarkStart w:id="363" w:name="Tc_pySP-xBeJk-rCWx3h_cwqg_17_11"/>
      <w:bookmarkStart w:id="364" w:name="Tc_3vEKOynpt0O8A4Gq_SEAIA_17_8"/>
      <w:bookmarkStart w:id="365" w:name="Tc_FugfYoE-hUebZVTkNjqAkQ_17_5"/>
      <w:bookmarkStart w:id="366" w:name="Tc_JysdxhxmhkOzn7fa32j_hQ_17_0"/>
      <w:bookmarkStart w:id="367" w:name="Tc_k79AE0H190-e3R6wr7uKsA_16_12"/>
      <w:bookmarkStart w:id="368" w:name="Tc_be_vs1r_q0KO9wrwDpOe-w_16_9"/>
      <w:bookmarkStart w:id="369" w:name="Tc_aBl4S7yB30qHMdgxSh4CkQ_16_6"/>
      <w:bookmarkStart w:id="370" w:name="Tc_9sIMhuBlRkKqB5W4KiNCgA_16_3"/>
      <w:bookmarkStart w:id="371" w:name="Tc_NQe46qVPQEafvwwfovIS0w_16_0"/>
      <w:bookmarkStart w:id="372" w:name="Tc_icTlJ5jwy0qzr-WtHWOkWg_15_15"/>
      <w:bookmarkStart w:id="373" w:name="Tc_qDA7-JeaK0qCMN3qWsF4Uw_15_9"/>
      <w:bookmarkStart w:id="374" w:name="Tc_-RI767Wax0ii-FrxsC_cAg_15_6"/>
      <w:bookmarkStart w:id="375" w:name="Tc_5NcKrlWdtUGEsWlVDNEevQ_15_3"/>
      <w:bookmarkStart w:id="376" w:name="Tc_AR3sDEUC-kGm8aad6pUt3Q_15_0"/>
      <w:bookmarkStart w:id="377" w:name="Tc_DJGCw-s6C0uiuc1PZ1Np_g_14_15"/>
      <w:bookmarkStart w:id="378" w:name="Tc_n_M1O3EQAkqJnEAFPnIQVg_14_12"/>
      <w:bookmarkStart w:id="379" w:name="Tc_vgv54Vytu0CzVm_wlr-9sA_14_6"/>
      <w:bookmarkStart w:id="380" w:name="Tc_Nv0VvZGE1kymKpCKrBjysw_14_3"/>
      <w:bookmarkStart w:id="381" w:name="Tc_C8KZ4t-y3kyejI7027tp6Q_14_0"/>
      <w:bookmarkStart w:id="382" w:name="Tc__zFDZj2fZU-TByJr0st9zA_13_15"/>
      <w:bookmarkStart w:id="383" w:name="Tc_89Ii3Fq_dkuZzpzhbV0b_w_13_12"/>
      <w:bookmarkStart w:id="384" w:name="Tc_BUEiOQPWf0CUwBAf0qTdtw_13_6"/>
      <w:bookmarkStart w:id="385" w:name="Tc_-Y8Qpl0lbEW5tRzh7qg5pA_13_0"/>
      <w:bookmarkStart w:id="386" w:name="Tc_HQc7bXHpkUa4-fK0WrtcsQ_12_15"/>
      <w:bookmarkStart w:id="387" w:name="Tc_XM9oYmu7Vk6QMEzuDQzVQw_12_12"/>
      <w:bookmarkStart w:id="388" w:name="Tc_NM1HSao190yqMmpjQQfrMQ_12_6"/>
      <w:bookmarkStart w:id="389" w:name="Tc_ImtJY68LHE-2YfJem2_zLA_12_0"/>
      <w:bookmarkStart w:id="390" w:name="Tc_jLIA0chfbk-EUNIhTFSyMg_11_0"/>
      <w:bookmarkStart w:id="391" w:name="Tc_cwfSJlwdVkyaxXA0syQZ9Q_10_12"/>
      <w:bookmarkStart w:id="392" w:name="Tc_zhjp5VbJMkWhDfoiWdUYZQ_10_9"/>
      <w:bookmarkStart w:id="393" w:name="Tc_XzLhiwO4mkaZ13qHU37DOw_10_6"/>
      <w:bookmarkStart w:id="394" w:name="Tc_hU8O-lTWuE65UHBt6fwjQw_10_3"/>
      <w:bookmarkStart w:id="395" w:name="Tc_1lI9imedak-TNzhvv-Ytkg_10_0"/>
      <w:bookmarkStart w:id="396" w:name="Tc_f5RbJEE0tEuVQplZjM7ZSw_9_15"/>
      <w:bookmarkStart w:id="397" w:name="Tc_Ozyl7z0Ej0e3EIAnziVYVQ_9_9"/>
      <w:bookmarkStart w:id="398" w:name="Tc_9UEqlRfhjUC4Qcwdu0cgwQ_9_6"/>
      <w:bookmarkStart w:id="399" w:name="Tc_2EVfG7_bCkmMO1ONwFU4sA_9_3"/>
      <w:bookmarkStart w:id="400" w:name="Tc_slVgWBgacUS5AmX4ebINkQ_9_0"/>
      <w:bookmarkStart w:id="401" w:name="Tc_SRubM97VV0meH8eLBv1vlA_8_15"/>
      <w:bookmarkStart w:id="402" w:name="Tc_aiJJkTwI5E6ETwXwizveAA_8_12"/>
      <w:bookmarkStart w:id="403" w:name="Tc_55zZCseGS0uyuNME0XBe7A_8_6"/>
      <w:bookmarkStart w:id="404" w:name="Tc_jhM-I8O_MkumhJIHXnGmYA_8_3"/>
      <w:bookmarkStart w:id="405" w:name="Tc_6a1pkMCm5k-BdC4veFqCDw_8_0"/>
      <w:bookmarkStart w:id="406" w:name="Tc_9kqOCh6KjkG5K5447UtbZg_7_15"/>
      <w:bookmarkStart w:id="407" w:name="Tc_F05LXG5mG0GmaGXnfbsmzA_7_12"/>
      <w:bookmarkStart w:id="408" w:name="Tc_UwR5C-1Bi02aMPpxWEJ_Xg_7_6"/>
      <w:bookmarkStart w:id="409" w:name="Tc_aMIl7puu8kiNEFGIUsMscw_7_0"/>
      <w:bookmarkStart w:id="410" w:name="Tc_hqkTI6nVAE-NS1k8ybtcqg_6_15"/>
      <w:bookmarkStart w:id="411" w:name="Tc_04xwcnLf1k-KCJuVPK7Jqg_6_12"/>
      <w:bookmarkStart w:id="412" w:name="Tc_uJsWaRSFYUOrHIPa-Wjdfw_6_0"/>
      <w:bookmarkStart w:id="413" w:name="Tc_6gdBvD7l3kaCSS0TKDe-mw_5_17"/>
      <w:bookmarkStart w:id="414" w:name="Tc_Zns6z_R7CU2xo14UrVGjeA_5_14"/>
      <w:bookmarkStart w:id="415" w:name="Tc_aJeDWzu0Z0qjXjIxqeTyfQ_5_11"/>
      <w:bookmarkStart w:id="416" w:name="Tc_eS9i7BYcbUWvz-6_MADKWQ_5_8"/>
      <w:bookmarkStart w:id="417" w:name="Tc_i8go10WQZUOMt1TRl9T2Og_5_5"/>
      <w:bookmarkStart w:id="418" w:name="Tc_8G9IljdUPEK-65SXy0dQZA_5_0"/>
      <w:bookmarkStart w:id="419" w:name="Tc_yePEdx1nv0iY_TQr_xx02A_4_17"/>
      <w:bookmarkStart w:id="420" w:name="Tc_SwS6aB_PmUafykM62Xotig_4_14"/>
      <w:bookmarkStart w:id="421" w:name="Tc_0CXnY3Vz90Gy1jjItLOwlQ_4_11"/>
      <w:bookmarkStart w:id="422" w:name="Tc_9aoK5c_pu0i8MyR8I9fIkA_4_8"/>
      <w:bookmarkStart w:id="423" w:name="Tc_KH7q_rqXBkiDtfXUzMt3Hg_4_5"/>
      <w:bookmarkStart w:id="424" w:name="Tc_KEftGvlgq0CRZ9_msIveyA_4_3"/>
      <w:bookmarkStart w:id="425" w:name="Tc_z7MU2yGLv062RRDrlaEYgA_3_14"/>
      <w:bookmarkStart w:id="426" w:name="Tc_jtoygW28ekOkLZ1QK6Kixg_3_11"/>
      <w:bookmarkStart w:id="427" w:name="Tc_Bw-0DjcPFk-_ECGzvrMb-Q_3_8"/>
      <w:bookmarkStart w:id="428" w:name="Tc_GTbeg8kDf0ygHCkyrGPv8g_3_3"/>
      <w:bookmarkStart w:id="429" w:name="Tc_Adib2Vcnrk-tCLOuWP-uCg_2_11"/>
      <w:bookmarkStart w:id="430" w:name="Tc_O8GL8pC6oUmwIURHDyZSEA_2_8"/>
      <w:bookmarkStart w:id="431" w:name="Tc_346bwW_7G0GyLFVevLIKfQ_1_11"/>
      <w:bookmarkStart w:id="432" w:name="_6f99561a_ed83_4106_b667_83fc24d797e4"/>
      <w:bookmarkStart w:id="433" w:name="Tc_uPfPT3iSE0u5WTpGSBOVDw_17_17"/>
      <w:bookmarkStart w:id="434" w:name="Tc_aofTF_6QR0KJhF0M7Ra8fA_17_14"/>
      <w:bookmarkStart w:id="435" w:name="Tc_pySP-xBeJk-rCWx3h_cwqg_17_11"/>
      <w:bookmarkStart w:id="436" w:name="Tc_3vEKOynpt0O8A4Gq_SEAIA_17_8"/>
      <w:bookmarkStart w:id="437" w:name="Tc_FugfYoE-hUebZVTkNjqAkQ_17_5"/>
      <w:bookmarkStart w:id="438" w:name="Tc_JysdxhxmhkOzn7fa32j_hQ_17_0"/>
      <w:bookmarkStart w:id="439" w:name="Tc_k79AE0H190-e3R6wr7uKsA_16_12"/>
      <w:bookmarkStart w:id="440" w:name="Tc_be_vs1r_q0KO9wrwDpOe-w_16_9"/>
      <w:bookmarkStart w:id="441" w:name="Tc_aBl4S7yB30qHMdgxSh4CkQ_16_6"/>
      <w:bookmarkStart w:id="442" w:name="Tc_9sIMhuBlRkKqB5W4KiNCgA_16_3"/>
      <w:bookmarkStart w:id="443" w:name="Tc_NQe46qVPQEafvwwfovIS0w_16_0"/>
      <w:bookmarkStart w:id="444" w:name="Tc_icTlJ5jwy0qzr-WtHWOkWg_15_15"/>
      <w:bookmarkStart w:id="445" w:name="Tc_qDA7-JeaK0qCMN3qWsF4Uw_15_9"/>
      <w:bookmarkStart w:id="446" w:name="Tc_-RI767Wax0ii-FrxsC_cAg_15_6"/>
      <w:bookmarkStart w:id="447" w:name="Tc_5NcKrlWdtUGEsWlVDNEevQ_15_3"/>
      <w:bookmarkStart w:id="448" w:name="Tc_AR3sDEUC-kGm8aad6pUt3Q_15_0"/>
      <w:bookmarkStart w:id="449" w:name="Tc_DJGCw-s6C0uiuc1PZ1Np_g_14_15"/>
      <w:bookmarkStart w:id="450" w:name="Tc_n_M1O3EQAkqJnEAFPnIQVg_14_12"/>
      <w:bookmarkStart w:id="451" w:name="Tc_vgv54Vytu0CzVm_wlr-9sA_14_6"/>
      <w:bookmarkStart w:id="452" w:name="Tc_Nv0VvZGE1kymKpCKrBjysw_14_3"/>
      <w:bookmarkStart w:id="453" w:name="Tc_C8KZ4t-y3kyejI7027tp6Q_14_0"/>
      <w:bookmarkStart w:id="454" w:name="Tc__zFDZj2fZU-TByJr0st9zA_13_15"/>
      <w:bookmarkStart w:id="455" w:name="Tc_89Ii3Fq_dkuZzpzhbV0b_w_13_12"/>
      <w:bookmarkStart w:id="456" w:name="Tc_BUEiOQPWf0CUwBAf0qTdtw_13_6"/>
      <w:bookmarkStart w:id="457" w:name="Tc_-Y8Qpl0lbEW5tRzh7qg5pA_13_0"/>
      <w:bookmarkStart w:id="458" w:name="Tc_HQc7bXHpkUa4-fK0WrtcsQ_12_15"/>
      <w:bookmarkStart w:id="459" w:name="Tc_XM9oYmu7Vk6QMEzuDQzVQw_12_12"/>
      <w:bookmarkStart w:id="460" w:name="Tc_NM1HSao190yqMmpjQQfrMQ_12_6"/>
      <w:bookmarkStart w:id="461" w:name="Tc_ImtJY68LHE-2YfJem2_zLA_12_0"/>
      <w:bookmarkStart w:id="462" w:name="Tc_jLIA0chfbk-EUNIhTFSyMg_11_0"/>
      <w:bookmarkStart w:id="463" w:name="Tc_cwfSJlwdVkyaxXA0syQZ9Q_10_12"/>
      <w:bookmarkStart w:id="464" w:name="Tc_zhjp5VbJMkWhDfoiWdUYZQ_10_9"/>
      <w:bookmarkStart w:id="465" w:name="Tc_XzLhiwO4mkaZ13qHU37DOw_10_6"/>
      <w:bookmarkStart w:id="466" w:name="Tc_hU8O-lTWuE65UHBt6fwjQw_10_3"/>
      <w:bookmarkStart w:id="467" w:name="Tc_1lI9imedak-TNzhvv-Ytkg_10_0"/>
      <w:bookmarkStart w:id="468" w:name="Tc_f5RbJEE0tEuVQplZjM7ZSw_9_15"/>
      <w:bookmarkStart w:id="469" w:name="Tc_Ozyl7z0Ej0e3EIAnziVYVQ_9_9"/>
      <w:bookmarkStart w:id="470" w:name="Tc_9UEqlRfhjUC4Qcwdu0cgwQ_9_6"/>
      <w:bookmarkStart w:id="471" w:name="Tc_2EVfG7_bCkmMO1ONwFU4sA_9_3"/>
      <w:bookmarkStart w:id="472" w:name="Tc_slVgWBgacUS5AmX4ebINkQ_9_0"/>
      <w:bookmarkStart w:id="473" w:name="Tc_SRubM97VV0meH8eLBv1vlA_8_15"/>
      <w:bookmarkStart w:id="474" w:name="Tc_aiJJkTwI5E6ETwXwizveAA_8_12"/>
      <w:bookmarkStart w:id="475" w:name="Tc_55zZCseGS0uyuNME0XBe7A_8_6"/>
      <w:bookmarkStart w:id="476" w:name="Tc_jhM-I8O_MkumhJIHXnGmYA_8_3"/>
      <w:bookmarkStart w:id="477" w:name="Tc_6a1pkMCm5k-BdC4veFqCDw_8_0"/>
      <w:bookmarkStart w:id="478" w:name="Tc_9kqOCh6KjkG5K5447UtbZg_7_15"/>
      <w:bookmarkStart w:id="479" w:name="Tc_F05LXG5mG0GmaGXnfbsmzA_7_12"/>
      <w:bookmarkStart w:id="480" w:name="Tc_UwR5C-1Bi02aMPpxWEJ_Xg_7_6"/>
      <w:bookmarkStart w:id="481" w:name="Tc_aMIl7puu8kiNEFGIUsMscw_7_0"/>
      <w:bookmarkStart w:id="482" w:name="Tc_hqkTI6nVAE-NS1k8ybtcqg_6_15"/>
      <w:bookmarkStart w:id="483" w:name="Tc_04xwcnLf1k-KCJuVPK7Jqg_6_12"/>
      <w:bookmarkStart w:id="484" w:name="Tc_uJsWaRSFYUOrHIPa-Wjdfw_6_0"/>
      <w:bookmarkStart w:id="485" w:name="Tc_6gdBvD7l3kaCSS0TKDe-mw_5_17"/>
      <w:bookmarkStart w:id="486" w:name="Tc_Zns6z_R7CU2xo14UrVGjeA_5_14"/>
      <w:bookmarkStart w:id="487" w:name="Tc_aJeDWzu0Z0qjXjIxqeTyfQ_5_11"/>
      <w:bookmarkStart w:id="488" w:name="Tc_eS9i7BYcbUWvz-6_MADKWQ_5_8"/>
      <w:bookmarkStart w:id="489" w:name="Tc_i8go10WQZUOMt1TRl9T2Og_5_5"/>
      <w:bookmarkStart w:id="490" w:name="Tc_8G9IljdUPEK-65SXy0dQZA_5_0"/>
      <w:bookmarkStart w:id="491" w:name="Tc_yePEdx1nv0iY_TQr_xx02A_4_17"/>
      <w:bookmarkStart w:id="492" w:name="Tc_SwS6aB_PmUafykM62Xotig_4_14"/>
      <w:bookmarkStart w:id="493" w:name="Tc_0CXnY3Vz90Gy1jjItLOwlQ_4_11"/>
      <w:bookmarkStart w:id="494" w:name="Tc_9aoK5c_pu0i8MyR8I9fIkA_4_8"/>
      <w:bookmarkStart w:id="495" w:name="Tc_KH7q_rqXBkiDtfXUzMt3Hg_4_5"/>
      <w:bookmarkStart w:id="496" w:name="Tc_KEftGvlgq0CRZ9_msIveyA_4_3"/>
      <w:bookmarkStart w:id="497" w:name="Tc_z7MU2yGLv062RRDrlaEYgA_3_14"/>
      <w:bookmarkStart w:id="498" w:name="Tc_jtoygW28ekOkLZ1QK6Kixg_3_11"/>
      <w:bookmarkStart w:id="499" w:name="Tc_Bw-0DjcPFk-_ECGzvrMb-Q_3_8"/>
      <w:bookmarkStart w:id="500" w:name="Tc_GTbeg8kDf0ygHCkyrGPv8g_3_3"/>
      <w:bookmarkStart w:id="501" w:name="Tc_Adib2Vcnrk-tCLOuWP-uCg_2_11"/>
      <w:bookmarkStart w:id="502" w:name="Tc_O8GL8pC6oUmwIURHDyZSEA_2_8"/>
      <w:bookmarkStart w:id="503" w:name="Tc_346bwW_7G0GyLFVevLIKfQ_1_11"/>
      <w:bookmarkStart w:id="504" w:name="_6f99561a_ed83_4106_b667_83fc24d797e4"/>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tbl>
      <w:tblPr>
        <w:tblW w:w="10205" w:type="dxa"/>
        <w:jc w:val="left"/>
        <w:tblInd w:w="0" w:type="dxa"/>
        <w:tblLayout w:type="fixed"/>
        <w:tblCellMar>
          <w:top w:w="0" w:type="dxa"/>
          <w:left w:w="0" w:type="dxa"/>
          <w:bottom w:w="0" w:type="dxa"/>
          <w:right w:w="0" w:type="dxa"/>
        </w:tblCellMar>
      </w:tblPr>
      <w:tblGrid>
        <w:gridCol w:w="2230"/>
        <w:gridCol w:w="346"/>
        <w:gridCol w:w="146"/>
        <w:gridCol w:w="916"/>
        <w:gridCol w:w="346"/>
        <w:gridCol w:w="249"/>
        <w:gridCol w:w="442"/>
        <w:gridCol w:w="346"/>
        <w:gridCol w:w="196"/>
        <w:gridCol w:w="691"/>
        <w:gridCol w:w="346"/>
        <w:gridCol w:w="376"/>
        <w:gridCol w:w="840"/>
        <w:gridCol w:w="346"/>
        <w:gridCol w:w="217"/>
        <w:gridCol w:w="834"/>
        <w:gridCol w:w="346"/>
        <w:gridCol w:w="196"/>
        <w:gridCol w:w="796"/>
      </w:tblGrid>
      <w:tr>
        <w:trPr/>
        <w:tc>
          <w:tcPr>
            <w:tcW w:w="2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16050" cy="175260"/>
                      <wp:effectExtent l="0" t="0" r="0" b="0"/>
                      <wp:wrapNone/>
                      <wp:docPr id="42" name="Frame42"/>
                      <a:graphic xmlns:a="http://schemas.openxmlformats.org/drawingml/2006/main">
                        <a:graphicData uri="http://schemas.microsoft.com/office/word/2010/wordprocessingShape">
                          <wps:wsp>
                            <wps:cNvSpPr txBox="1"/>
                            <wps:spPr>
                              <a:xfrm>
                                <a:off x="0" y="0"/>
                                <a:ext cx="141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2710" cy="175260"/>
                      <wp:effectExtent l="0" t="0" r="0" b="0"/>
                      <wp:wrapNone/>
                      <wp:docPr id="44" name="Frame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81660" cy="175260"/>
                      <wp:effectExtent l="0" t="0" r="0" b="0"/>
                      <wp:wrapNone/>
                      <wp:docPr id="45" name="Frame4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8115" cy="175260"/>
                      <wp:effectExtent l="0" t="0" r="0" b="0"/>
                      <wp:wrapNone/>
                      <wp:docPr id="47" name="Frame4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80670" cy="175260"/>
                      <wp:effectExtent l="0" t="0" r="0" b="0"/>
                      <wp:wrapNone/>
                      <wp:docPr id="48" name="Frame4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1" name="Frame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38760" cy="175260"/>
                      <wp:effectExtent l="0" t="0" r="0" b="0"/>
                      <wp:wrapNone/>
                      <wp:docPr id="53" name="Frame5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33400" cy="175260"/>
                      <wp:effectExtent l="0" t="0" r="0" b="0"/>
                      <wp:wrapNone/>
                      <wp:docPr id="54" name="Frame5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7795" cy="175260"/>
                      <wp:effectExtent l="0" t="0" r="0" b="0"/>
                      <wp:wrapNone/>
                      <wp:docPr id="56" name="Frame5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29590" cy="175260"/>
                      <wp:effectExtent l="0" t="0" r="0" b="0"/>
                      <wp:wrapNone/>
                      <wp:docPr id="57" name="Frame5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5460" cy="175260"/>
                      <wp:effectExtent l="0" t="0" r="0" b="0"/>
                      <wp:wrapNone/>
                      <wp:docPr id="60" name="Frame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r>
      <w:tr>
        <w:trPr/>
        <w:tc>
          <w:tcPr>
            <w:tcW w:w="22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33,706,765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496,195</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257,654</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$858</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264,458</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6,516</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6,517</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69,773</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(64,387)</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34,040,996</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505,275</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(302,720)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202,542</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net of issuance costs of $2,395</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3,428,766</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75,341</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righ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75,341</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20,677</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3,311</w:t>
            </w:r>
          </w:p>
        </w:tc>
        <w:tc>
          <w:tcPr>
            <w:tcW w:w="346" w:type="dxa"/>
            <w:tcBorders/>
            <w:vAlign w:val="center"/>
          </w:tcPr>
          <w:p>
            <w:pPr>
              <w:pStyle w:val="TableContents"/>
              <w:bidi w:val="0"/>
              <w:spacing w:before="0" w:after="1"/>
              <w:ind w:left="0" w:right="0" w:hanging="0"/>
              <w:jc w:val="right"/>
              <w:rPr/>
            </w:pPr>
            <w:r>
              <w:rPr/>
              <w:t>​</w:t>
            </w:r>
          </w:p>
        </w:tc>
        <w:tc>
          <w:tcPr>
            <w:tcW w:w="376" w:type="dxa"/>
            <w:tcBorders/>
            <w:vAlign w:val="center"/>
          </w:tcPr>
          <w:p>
            <w:pPr>
              <w:pStyle w:val="TableContents"/>
              <w:bidi w:val="0"/>
              <w:spacing w:before="0" w:after="1"/>
              <w:ind w:left="0" w:right="0" w:hanging="0"/>
              <w:jc w:val="righ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3,311</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shd w:fill="CCEEFF" w:val="clear"/>
            <w:vAlign w:val="center"/>
          </w:tcPr>
          <w:p>
            <w:pPr>
              <w:pStyle w:val="TableContents"/>
              <w:bidi w:val="0"/>
              <w:spacing w:before="0" w:after="1"/>
              <w:ind w:left="0" w:right="0" w:hanging="0"/>
              <w:jc w:val="righ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23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(31,399)</w:t>
            </w:r>
          </w:p>
        </w:tc>
      </w:tr>
      <w:tr>
        <w:trPr/>
        <w:tc>
          <w:tcPr>
            <w:tcW w:w="223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37,490,439</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584,003</w:t>
            </w:r>
          </w:p>
        </w:tc>
        <w:tc>
          <w:tcPr>
            <w:tcW w:w="346" w:type="dxa"/>
            <w:tcBorders/>
            <w:shd w:fill="CCEEFF" w:val="clear"/>
            <w:vAlign w:val="center"/>
          </w:tcPr>
          <w:p>
            <w:pPr>
              <w:pStyle w:val="TableContents"/>
              <w:bidi w:val="0"/>
              <w:spacing w:before="0" w:after="1"/>
              <w:ind w:left="0" w:right="0" w:hanging="0"/>
              <w:jc w:val="righ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(334,119)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249,870</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 unaudited interim financial statements.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5" w:name="_eb52464f_ff64_4589_aea1_96d788e9a82f"/>
      <w:bookmarkEnd w:id="505"/>
      <w:r>
        <w:rPr>
          <w:rFonts w:ascii="Times New Roman;Times;serif" w:hAnsi="Times New Roman;Times;serif"/>
          <w:b/>
          <w:sz w:val="20"/>
        </w:rPr>
        <w:t>ARRIVENT BIOPHARMA, INC.</w:t>
      </w:r>
    </w:p>
    <w:p>
      <w:pPr>
        <w:pStyle w:val="TextBody"/>
        <w:bidi w:val="0"/>
        <w:spacing w:before="0" w:after="0"/>
        <w:ind w:left="0" w:right="0" w:hanging="0"/>
        <w:jc w:val="center"/>
        <w:rPr>
          <w:rFonts w:ascii="Times New Roman;Times;serif" w:hAnsi="Times New Roman;Times;serif"/>
          <w:b/>
          <w:sz w:val="20"/>
        </w:rPr>
      </w:pPr>
      <w:bookmarkStart w:id="506" w:name="STATEMENTSOFCASHFLOWS_405281"/>
      <w:bookmarkEnd w:id="506"/>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7" w:name="Tc_uKdMVrjnWEapjYcgfo-ucQ_28_5"/>
      <w:bookmarkStart w:id="508" w:name="Tc_D_NwTiICB02omreE48O6IA_28_2"/>
      <w:bookmarkStart w:id="509" w:name="Tc_7W0ZNwAVp0GSfg-rBEUBmw_28_0"/>
      <w:bookmarkStart w:id="510" w:name="Tc_GQB3L6CeRk6-7rmJZFEWqw_27_0"/>
      <w:bookmarkStart w:id="511" w:name="Tc_mQCjXhSYa06hBcWOW2J-Gw_26_0"/>
      <w:bookmarkStart w:id="512" w:name="Tc_zQ9gdnaLCkKQQtfi8zr0XQ_24_0"/>
      <w:bookmarkStart w:id="513" w:name="Tc_fAvUez56T0OJvS-fChWBSg_23_3"/>
      <w:bookmarkStart w:id="514" w:name="Tc_dWMONRHEO0yp2-SY7HqCBg_23_0"/>
      <w:bookmarkStart w:id="515" w:name="Tc_k589ca1JPUWr-Z0f3nc4fA_22_0"/>
      <w:bookmarkStart w:id="516" w:name="Tc_aid9WoT6o0qNQs5dDayCBA_21_0"/>
      <w:bookmarkStart w:id="517" w:name="Tc_VIJIQ5K6kUuNDvlNNwCFjg_20_0"/>
      <w:bookmarkStart w:id="518" w:name="Tc_pTt5mifHZkePMSpoEb1Udg_19_0"/>
      <w:bookmarkStart w:id="519" w:name="Tc_cWoQBUQr2k20FZxQ9BpMlw_18_0"/>
      <w:bookmarkStart w:id="520" w:name="Tc_lX3xsG-xxka4f5tJhQbkyg_17_0"/>
      <w:bookmarkStart w:id="521" w:name="Tc_kyGRrJk-dEicFcSS0nGEPQ_16_0"/>
      <w:bookmarkStart w:id="522" w:name="Tc_YR2QLK_xDU-xfwUbN3EEiQ_15_0"/>
      <w:bookmarkStart w:id="523" w:name="Tc_zYUlLFOgdUmvNwpGKuweyg_14_0"/>
      <w:bookmarkStart w:id="524" w:name="Tc_ZCqglsVnfk-2W9lykamr3g_13_0"/>
      <w:bookmarkStart w:id="525" w:name="Tc_SL82aws3q0SwhRwXeZ6Uuw_12_0"/>
      <w:bookmarkStart w:id="526" w:name="Tc_JKuk3zDWOki-wJ1NwjFhCg_11_6"/>
      <w:bookmarkStart w:id="527" w:name="Tc_aFsw6o0QDEmKgQXqQqmnoA_11_0"/>
      <w:bookmarkStart w:id="528" w:name="Tc_k-C6XIjwAEWkAP2zaGpQMA_10_0"/>
      <w:bookmarkStart w:id="529" w:name="Tc_U420mQD0A0uXluzmqN_Wkw_9_0"/>
      <w:bookmarkStart w:id="530" w:name="Tc_rbamfLE-QUSHHOcK2wu4VA_8_6"/>
      <w:bookmarkStart w:id="531" w:name="Tc_C5PXW_DTnUeiLPuWhgY3Pg_8_0"/>
      <w:bookmarkStart w:id="532" w:name="Tc_1vcRFsqFfEa1VQnLqOzs0A_7_0"/>
      <w:bookmarkStart w:id="533" w:name="Tc_zF2krP_tqke_TS-anlrnnA_6_0"/>
      <w:bookmarkStart w:id="534" w:name="Tc_NQL-2yH9t0yygSb_TLUtQQ_5_5"/>
      <w:bookmarkStart w:id="535" w:name="Tc_NbYPJ4ZO8kKx91ILjF-PUA_5_2"/>
      <w:bookmarkStart w:id="536" w:name="Tc_xJjqzf2pEkOexDychPKSbA_5_0"/>
      <w:bookmarkStart w:id="537" w:name="Tc_qrf_opEmJ0W2_IixlVCcHA_4_0"/>
      <w:bookmarkStart w:id="538" w:name="Tc_Fp-DFeybcUmuAi0n3G-STg_3_5"/>
      <w:bookmarkStart w:id="539" w:name="Tc_-azLYKBEOkek7ohgER9DVg_3_2"/>
      <w:bookmarkStart w:id="540" w:name="Tc_v3-fFzCQV0qo8kPBG9a9SQ_2_2"/>
      <w:bookmarkStart w:id="541" w:name="Tc_m73aP3X--k-Pg9QKm7EZGg_1_2"/>
      <w:bookmarkStart w:id="542" w:name="_b3cb52d6_2e6f_49ab_a416_f8d17fc437d9"/>
      <w:bookmarkStart w:id="543" w:name="Tc_uKdMVrjnWEapjYcgfo-ucQ_28_5"/>
      <w:bookmarkStart w:id="544" w:name="Tc_D_NwTiICB02omreE48O6IA_28_2"/>
      <w:bookmarkStart w:id="545" w:name="Tc_7W0ZNwAVp0GSfg-rBEUBmw_28_0"/>
      <w:bookmarkStart w:id="546" w:name="Tc_GQB3L6CeRk6-7rmJZFEWqw_27_0"/>
      <w:bookmarkStart w:id="547" w:name="Tc_mQCjXhSYa06hBcWOW2J-Gw_26_0"/>
      <w:bookmarkStart w:id="548" w:name="Tc_zQ9gdnaLCkKQQtfi8zr0XQ_24_0"/>
      <w:bookmarkStart w:id="549" w:name="Tc_fAvUez56T0OJvS-fChWBSg_23_3"/>
      <w:bookmarkStart w:id="550" w:name="Tc_dWMONRHEO0yp2-SY7HqCBg_23_0"/>
      <w:bookmarkStart w:id="551" w:name="Tc_k589ca1JPUWr-Z0f3nc4fA_22_0"/>
      <w:bookmarkStart w:id="552" w:name="Tc_aid9WoT6o0qNQs5dDayCBA_21_0"/>
      <w:bookmarkStart w:id="553" w:name="Tc_VIJIQ5K6kUuNDvlNNwCFjg_20_0"/>
      <w:bookmarkStart w:id="554" w:name="Tc_pTt5mifHZkePMSpoEb1Udg_19_0"/>
      <w:bookmarkStart w:id="555" w:name="Tc_cWoQBUQr2k20FZxQ9BpMlw_18_0"/>
      <w:bookmarkStart w:id="556" w:name="Tc_lX3xsG-xxka4f5tJhQbkyg_17_0"/>
      <w:bookmarkStart w:id="557" w:name="Tc_kyGRrJk-dEicFcSS0nGEPQ_16_0"/>
      <w:bookmarkStart w:id="558" w:name="Tc_YR2QLK_xDU-xfwUbN3EEiQ_15_0"/>
      <w:bookmarkStart w:id="559" w:name="Tc_zYUlLFOgdUmvNwpGKuweyg_14_0"/>
      <w:bookmarkStart w:id="560" w:name="Tc_ZCqglsVnfk-2W9lykamr3g_13_0"/>
      <w:bookmarkStart w:id="561" w:name="Tc_SL82aws3q0SwhRwXeZ6Uuw_12_0"/>
      <w:bookmarkStart w:id="562" w:name="Tc_JKuk3zDWOki-wJ1NwjFhCg_11_6"/>
      <w:bookmarkStart w:id="563" w:name="Tc_aFsw6o0QDEmKgQXqQqmnoA_11_0"/>
      <w:bookmarkStart w:id="564" w:name="Tc_k-C6XIjwAEWkAP2zaGpQMA_10_0"/>
      <w:bookmarkStart w:id="565" w:name="Tc_U420mQD0A0uXluzmqN_Wkw_9_0"/>
      <w:bookmarkStart w:id="566" w:name="Tc_rbamfLE-QUSHHOcK2wu4VA_8_6"/>
      <w:bookmarkStart w:id="567" w:name="Tc_C5PXW_DTnUeiLPuWhgY3Pg_8_0"/>
      <w:bookmarkStart w:id="568" w:name="Tc_1vcRFsqFfEa1VQnLqOzs0A_7_0"/>
      <w:bookmarkStart w:id="569" w:name="Tc_zF2krP_tqke_TS-anlrnnA_6_0"/>
      <w:bookmarkStart w:id="570" w:name="Tc_NQL-2yH9t0yygSb_TLUtQQ_5_5"/>
      <w:bookmarkStart w:id="571" w:name="Tc_NbYPJ4ZO8kKx91ILjF-PUA_5_2"/>
      <w:bookmarkStart w:id="572" w:name="Tc_xJjqzf2pEkOexDychPKSbA_5_0"/>
      <w:bookmarkStart w:id="573" w:name="Tc_qrf_opEmJ0W2_IixlVCcHA_4_0"/>
      <w:bookmarkStart w:id="574" w:name="Tc_Fp-DFeybcUmuAi0n3G-STg_3_5"/>
      <w:bookmarkStart w:id="575" w:name="Tc_-azLYKBEOkek7ohgER9DVg_3_2"/>
      <w:bookmarkStart w:id="576" w:name="Tc_v3-fFzCQV0qo8kPBG9a9SQ_2_2"/>
      <w:bookmarkStart w:id="577" w:name="Tc_m73aP3X--k-Pg9QKm7EZGg_1_2"/>
      <w:bookmarkStart w:id="578" w:name="_b3cb52d6_2e6f_49ab_a416_f8d17fc437d9"/>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8707" w:type="dxa"/>
        <w:jc w:val="left"/>
        <w:tblInd w:w="0" w:type="dxa"/>
        <w:tblLayout w:type="fixed"/>
        <w:tblCellMar>
          <w:top w:w="0" w:type="dxa"/>
          <w:left w:w="0" w:type="dxa"/>
          <w:bottom w:w="0" w:type="dxa"/>
          <w:right w:w="0" w:type="dxa"/>
        </w:tblCellMar>
      </w:tblPr>
      <w:tblGrid>
        <w:gridCol w:w="5956"/>
        <w:gridCol w:w="346"/>
        <w:gridCol w:w="211"/>
        <w:gridCol w:w="796"/>
        <w:gridCol w:w="346"/>
        <w:gridCol w:w="211"/>
        <w:gridCol w:w="841"/>
      </w:tblGrid>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5460" cy="175260"/>
                      <wp:effectExtent l="0" t="0" r="0" b="0"/>
                      <wp:wrapNone/>
                      <wp:docPr id="63"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34035" cy="175260"/>
                      <wp:effectExtent l="0" t="0" r="0" b="0"/>
                      <wp:wrapNone/>
                      <wp:docPr id="66" name="Frame6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(95,786)</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(accretion) of bond premiums/discounts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(6,346)</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(94,132)</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(31,385)</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82,116</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50,731</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net of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81,857</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deferred financing costs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81,873</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38,472</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74,293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112,765</w:t>
            </w:r>
          </w:p>
        </w:tc>
      </w:tr>
      <w:tr>
        <w:trPr/>
        <w:tc>
          <w:tcPr>
            <w:tcW w:w="5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 unaudited interim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bookmarkStart w:id="579" w:name="NOTESTOTHEFINANCIALSTATEMENTS_790744"/>
      <w:bookmarkEnd w:id="579"/>
      <w:r>
        <w:rPr>
          <w:rFonts w:ascii="Times New Roman;Times;serif" w:hAnsi="Times New Roman;Times;serif"/>
          <w:b/>
          <w:sz w:val="20"/>
        </w:rPr>
        <w:t>NOTES TO THE UNAUDITED CONDENSED FINANCIAL STATEMENTS</w:t>
      </w:r>
    </w:p>
    <w:p>
      <w:pPr>
        <w:pStyle w:val="Normal"/>
        <w:bidi w:val="0"/>
        <w:spacing w:before="0" w:after="0"/>
        <w:jc w:val="left"/>
        <w:rPr>
          <w:sz w:val="4"/>
          <w:szCs w:val="4"/>
        </w:rPr>
      </w:pPr>
      <w:r>
        <w:rPr>
          <w:sz w:val="4"/>
          <w:szCs w:val="4"/>
        </w:rPr>
      </w:r>
      <w:bookmarkStart w:id="580" w:name="Notes"/>
      <w:bookmarkStart w:id="581" w:name="Notes"/>
      <w:bookmarkEnd w:id="581"/>
    </w:p>
    <w:tbl>
      <w:tblPr>
        <w:tblW w:w="1547" w:type="dxa"/>
        <w:jc w:val="left"/>
        <w:tblInd w:w="0" w:type="dxa"/>
        <w:tblLayout w:type="fixed"/>
        <w:tblCellMar>
          <w:top w:w="0" w:type="dxa"/>
          <w:left w:w="0" w:type="dxa"/>
          <w:bottom w:w="0" w:type="dxa"/>
          <w:right w:w="0" w:type="dxa"/>
        </w:tblCellMar>
      </w:tblPr>
      <w:tblGrid>
        <w:gridCol w:w="346"/>
        <w:gridCol w:w="120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12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Background</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(“Greater China”) (See Note 8). The Company’s lead development candidate, firmonertinib, is a third-generation tyrosine kinase inhibitor currently being evaluated in multiple clinical trials across a range of epidermal growth factor receptor mutations in non-small cell lung cancer, many for which there are limited treatment options.</w:t>
      </w:r>
    </w:p>
    <w:p>
      <w:pPr>
        <w:pStyle w:val="TextBody"/>
        <w:bidi w:val="0"/>
        <w:spacing w:before="0" w:after="0"/>
        <w:ind w:left="0" w:right="0" w:hanging="0"/>
        <w:jc w:val="left"/>
        <w:rPr/>
      </w:pPr>
      <w:r>
        <w:rPr/>
        <w:t>​</w:t>
      </w:r>
    </w:p>
    <w:tbl>
      <w:tblPr>
        <w:tblW w:w="3812" w:type="dxa"/>
        <w:jc w:val="left"/>
        <w:tblInd w:w="0" w:type="dxa"/>
        <w:tblLayout w:type="fixed"/>
        <w:tblCellMar>
          <w:top w:w="0" w:type="dxa"/>
          <w:left w:w="0" w:type="dxa"/>
          <w:bottom w:w="0" w:type="dxa"/>
          <w:right w:w="0" w:type="dxa"/>
        </w:tblCellMar>
      </w:tblPr>
      <w:tblGrid>
        <w:gridCol w:w="346"/>
        <w:gridCol w:w="34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4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Development Stage Risks and Liquidity</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incurred losses since inception and has an accumulated deficit of $497.9 million as of June 30, 2026. The Company has concluded that the aggregate balance of cash and cash equivalents and short-term investments of $373.1 million as of June 30, 2026 is sufficient to sustain planned operations through at least twelve months from the issuance date of these financial statements.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anticipates incurring additional losses until such time, if ever, that it can generate significant sales from its product candidates currently in development; as a result, additional capital will be needed to fund its future operating and capital requirements. There can be no assurance that the Company will be able to raise sufficient additional capital on acceptable terms, if at all. If such additional financing is not available on satisfactory terms, or is not available in sufficient amounts, the Company’s financial condition or results of operations may be materially adversely affected.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is subject to those risks associated with any specialty biotechnology company that has substantial expenditures for research and development. In addition, geopolitical tensions, volatility of capital markets, and other adverse macroeconomic events, including those due to inflationary pressures, changing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w:t>
      </w:r>
    </w:p>
    <w:p>
      <w:pPr>
        <w:pStyle w:val="TextBody"/>
        <w:bidi w:val="0"/>
        <w:spacing w:before="0" w:after="0"/>
        <w:ind w:left="0" w:right="0" w:hanging="0"/>
        <w:jc w:val="left"/>
        <w:rPr/>
      </w:pPr>
      <w:r>
        <w:rPr/>
        <w:t>​</w:t>
      </w:r>
    </w:p>
    <w:tbl>
      <w:tblPr>
        <w:tblW w:w="4217" w:type="dxa"/>
        <w:jc w:val="left"/>
        <w:tblInd w:w="0" w:type="dxa"/>
        <w:tblLayout w:type="fixed"/>
        <w:tblCellMar>
          <w:top w:w="0" w:type="dxa"/>
          <w:left w:w="0" w:type="dxa"/>
          <w:bottom w:w="0" w:type="dxa"/>
          <w:right w:w="0" w:type="dxa"/>
        </w:tblCellMar>
      </w:tblPr>
      <w:tblGrid>
        <w:gridCol w:w="346"/>
        <w:gridCol w:w="387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8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summary of significant accounting policies included in the Company’s Annual Report on Form 10-K for the year ended December 31, 2025, filed with the Securities and Exchange Commission on March 5, 2026 (the “Annual Report”) has not materially changed.</w:t>
      </w:r>
    </w:p>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w:t>
            </w:r>
          </w:p>
        </w:tc>
        <w:tc>
          <w:tcPr>
            <w:tcW w:w="258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Interim Financial Statements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opinion of the Company, the accompanying unaudited condensed financial statements contain all adjustments, consisting of only normal recurring adjustments, necessary for a fair statement of its financial position as of June 30, 2026, and its results of operations for the three and six months ended June 30, 2026 and 2025, and cash flows for the six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months ended June 30, 2026 and 2025. The condensed balance sheet at December 31, 2025, was derived from audited annual financial statements but does not contain all the footnote disclosures from the annual financial statements.</w:t>
      </w:r>
    </w:p>
    <w:p>
      <w:pPr>
        <w:pStyle w:val="TextBody"/>
        <w:bidi w:val="0"/>
        <w:spacing w:before="0" w:after="0"/>
        <w:ind w:left="0" w:right="0" w:firstLine="360"/>
        <w:jc w:val="left"/>
        <w:rPr/>
      </w:pPr>
      <w:r>
        <w:rPr/>
        <w:t>​</w:t>
      </w:r>
    </w:p>
    <w:tbl>
      <w:tblPr>
        <w:tblW w:w="1862" w:type="dxa"/>
        <w:jc w:val="left"/>
        <w:tblInd w:w="0" w:type="dxa"/>
        <w:tblLayout w:type="fixed"/>
        <w:tblCellMar>
          <w:top w:w="0" w:type="dxa"/>
          <w:left w:w="0" w:type="dxa"/>
          <w:bottom w:w="0" w:type="dxa"/>
          <w:right w:w="0" w:type="dxa"/>
        </w:tblCellMar>
      </w:tblPr>
      <w:tblGrid>
        <w:gridCol w:w="346"/>
        <w:gridCol w:w="151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w:t>
            </w:r>
          </w:p>
        </w:tc>
        <w:tc>
          <w:tcPr>
            <w:tcW w:w="151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Use of Estimates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areas that require the Company’s estimates include the fair value of the Company’s common stock prior to the completion of the Company’s initial public offering, and accrued research and development expenses.</w:t>
      </w:r>
    </w:p>
    <w:tbl>
      <w:tblPr>
        <w:tblW w:w="2642" w:type="dxa"/>
        <w:jc w:val="left"/>
        <w:tblInd w:w="0" w:type="dxa"/>
        <w:tblLayout w:type="fixed"/>
        <w:tblCellMar>
          <w:top w:w="0" w:type="dxa"/>
          <w:left w:w="0" w:type="dxa"/>
          <w:bottom w:w="0" w:type="dxa"/>
          <w:right w:w="0" w:type="dxa"/>
        </w:tblCellMar>
      </w:tblPr>
      <w:tblGrid>
        <w:gridCol w:w="331"/>
        <w:gridCol w:w="2311"/>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(c)</w:t>
            </w:r>
          </w:p>
        </w:tc>
        <w:tc>
          <w:tcPr>
            <w:tcW w:w="231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Unadjusted quoted prices in active markets for identical assets or liabilities accessible to the reporting entity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believes that the carrying amounts of the Company’s financial instruments, principally cash equivalents and accounts payable, approximate fair value due to the short-term nature of those instruments.</w:t>
      </w:r>
    </w:p>
    <w:tbl>
      <w:tblPr>
        <w:tblW w:w="2087" w:type="dxa"/>
        <w:jc w:val="left"/>
        <w:tblInd w:w="0" w:type="dxa"/>
        <w:tblLayout w:type="fixed"/>
        <w:tblCellMar>
          <w:top w:w="0" w:type="dxa"/>
          <w:left w:w="0" w:type="dxa"/>
          <w:bottom w:w="0" w:type="dxa"/>
          <w:right w:w="0" w:type="dxa"/>
        </w:tblCellMar>
      </w:tblPr>
      <w:tblGrid>
        <w:gridCol w:w="346"/>
        <w:gridCol w:w="1741"/>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(d)</w:t>
            </w:r>
          </w:p>
        </w:tc>
        <w:tc>
          <w:tcPr>
            <w:tcW w:w="174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 xml:space="preserve">Net Loss per Share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Basic net loss per share of common stock is computed by dividing net loss by the weighted-average number of shares of common stock outstanding during each period. Pre-funded warrants were included in the denominator as the exercise price is negligible and these warrants are fully vested and exercisable.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240"/>
        <w:ind w:left="0" w:right="0" w:firstLine="360"/>
        <w:jc w:val="left"/>
        <w:rPr>
          <w:rFonts w:ascii="Times New Roman;Times;serif" w:hAnsi="Times New Roman;Times;serif"/>
          <w:sz w:val="20"/>
        </w:rPr>
      </w:pPr>
      <w:bookmarkStart w:id="582" w:name="Tc_i00x9BHG00GtfHupp0adBg_11_11"/>
      <w:bookmarkStart w:id="583" w:name="Tc_k8SAUDz6tk2Ck5W5HzK1nw_11_8"/>
      <w:bookmarkStart w:id="584" w:name="Tc_-CpgaN1vpkqaCpV8uTsFLg_11_5"/>
      <w:bookmarkStart w:id="585" w:name="Tc_iGEo2VQR7EqJPzt0H51_xg_11_2"/>
      <w:bookmarkStart w:id="586" w:name="Tc_IfWRiAmPAk2DWp5rGsJosA_11_0"/>
      <w:bookmarkStart w:id="587" w:name="Tc_107OwuSzCU61sMk_6vB3UQ_9_0"/>
      <w:bookmarkStart w:id="588" w:name="Tc_eHYP9j3tP0qiusZjJ9JEUg_8_12"/>
      <w:bookmarkStart w:id="589" w:name="Tc_AJYfJKwPPk-bBKhGiCrw6w_8_6"/>
      <w:bookmarkStart w:id="590" w:name="Tc_2BjcD_I9Dk6v4BrNJXgPTw_8_0"/>
      <w:bookmarkStart w:id="591" w:name="Tc_DQpzt4-HjEuywbqWeez5qQ_7_0"/>
      <w:bookmarkStart w:id="592" w:name="Tc_A3Ii2wt_nkislr8ilu-hkA_6_0"/>
      <w:bookmarkStart w:id="593" w:name="Tc_jxoBHLOpn0aGZ5QGStAemw_5_11"/>
      <w:bookmarkStart w:id="594" w:name="Tc_ISkH2s1VXkCo94DnlnuXrw_5_8"/>
      <w:bookmarkStart w:id="595" w:name="Tc_2en0c73Ll0-F8LupCVHpsw_5_5"/>
      <w:bookmarkStart w:id="596" w:name="Tc_AcBkfgPR8EWyLjHNnWqDcQ_5_2"/>
      <w:bookmarkStart w:id="597" w:name="Tc_iXhu_JBhQEOCaNGthH1qwg_5_0"/>
      <w:bookmarkStart w:id="598" w:name="Tc_B7FU_kbDxUmtW2FEVqFHMw_4_0"/>
      <w:bookmarkStart w:id="599" w:name="Tc_S-BLcjNtMUOUX9SoyvHrrQ_3_11"/>
      <w:bookmarkStart w:id="600" w:name="Tc_vFlXYM27kkqOPQFEmQ9t3Q_3_8"/>
      <w:bookmarkStart w:id="601" w:name="Tc_E_Ovjji9FUqfhd0_i--tlw_3_5"/>
      <w:bookmarkStart w:id="602" w:name="Tc_9QK0rFetjkmvTAtqo2FOwA_3_2"/>
      <w:bookmarkStart w:id="603" w:name="Tc_GF20hhu_REiuU2WEc3pUUQ_2_8"/>
      <w:bookmarkStart w:id="604" w:name="Tc_8tbXb4FRxUmecERPOWLWkw_2_2"/>
      <w:bookmarkStart w:id="605" w:name="Tc_IFYRk5Ie-EiX-fUiUKRKbw_1_8"/>
      <w:bookmarkStart w:id="606" w:name="Tc_xYbiPkVi80SU3zRbSNKoRQ_1_2"/>
      <w:bookmarkStart w:id="607" w:name="_898b4a79_e14b_440f_9926_cf07981b0d86"/>
      <w:bookmarkStart w:id="608" w:name="_59ba489c_8483_4428_9883_aae123ad77d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ascii="Times New Roman;Times;serif" w:hAnsi="Times New Roman;Times;serif"/>
          <w:sz w:val="20"/>
        </w:rPr>
        <w:t>The following table sets forth the computation of net loss per share, basic and diluted (in thousands, except share and per share data):</w:t>
      </w:r>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57860" cy="175260"/>
                      <wp:effectExtent l="0" t="0" r="0" b="0"/>
                      <wp:wrapNone/>
                      <wp:docPr id="69" name="Frame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57860" cy="175260"/>
                      <wp:effectExtent l="0" t="0" r="0" b="0"/>
                      <wp:wrapNone/>
                      <wp:docPr id="72" name="Frame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57860" cy="175260"/>
                      <wp:effectExtent l="0" t="0" r="0" b="0"/>
                      <wp:wrapNone/>
                      <wp:docPr id="75" name="Frame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86435" cy="175260"/>
                      <wp:effectExtent l="0" t="0" r="0" b="0"/>
                      <wp:wrapNone/>
                      <wp:docPr id="78" name="Frame7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  ​</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(49,893)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(95,786)</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46,643,388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35,006,114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45,221,478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34,455,585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pre-funded warrants outstanding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47,606,857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35,006,114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46,351,614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34,455,585</w:t>
            </w:r>
          </w:p>
        </w:tc>
      </w:tr>
      <w:tr>
        <w:trPr/>
        <w:tc>
          <w:tcPr>
            <w:tcW w:w="37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bl>
    <w:p>
      <w:pPr>
        <w:pStyle w:val="TextBody"/>
        <w:bidi w:val="0"/>
        <w:spacing w:before="0" w:after="0"/>
        <w:ind w:left="3" w:right="0" w:hanging="0"/>
        <w:jc w:val="left"/>
        <w:rPr/>
      </w:pPr>
      <w:r>
        <w:rPr>
          <w:color w:val="0A0A0A"/>
        </w:rPr>
        <w:t>​</w:t>
      </w:r>
      <w:r>
        <w:rPr>
          <w:rFonts w:ascii="Times New Roman;Times;serif" w:hAnsi="Times New Roman;Times;serif"/>
          <w:color w:val="0A0A0A"/>
          <w:sz w:val="20"/>
        </w:rPr>
        <w:br/>
      </w:r>
      <w:r>
        <w:rPr>
          <w:rFonts w:ascii="Times New Roman;Times;serif" w:hAnsi="Times New Roman;Times;serif"/>
          <w:color w:val="0A0A0A"/>
          <w:sz w:val="18"/>
        </w:rPr>
        <w:t>(1)</w:t>
      </w:r>
      <w:r>
        <w:rPr>
          <w:rFonts w:ascii="Times New Roman;Times;serif" w:hAnsi="Times New Roman;Times;serif"/>
          <w:color w:val="0A0A0A"/>
          <w:sz w:val="18"/>
          <w:shd w:fill="FFFFFF" w:val="clear"/>
        </w:rPr>
        <w:t>Represents the weighted average number of common shares issuable upon the exercise of pre-funded warrants issued in 2025, which are considered to be outstanding for the purposes of the basic and diluted net loss per share calculation from the date of issuance due to their nominal exercise price ($0.0001).</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 options outstanding have been excluded from the computation of diluted weighted-average shares of common stock outstanding, as they would be anti-dilutive. Stock options outstanding at June 30, 2026 and 2025 were 7,301,993 and 4,325,617, respectively.</w:t>
      </w:r>
    </w:p>
    <w:tbl>
      <w:tblPr>
        <w:tblW w:w="4277" w:type="dxa"/>
        <w:jc w:val="left"/>
        <w:tblInd w:w="0" w:type="dxa"/>
        <w:tblLayout w:type="fixed"/>
        <w:tblCellMar>
          <w:top w:w="0" w:type="dxa"/>
          <w:left w:w="0" w:type="dxa"/>
          <w:bottom w:w="0" w:type="dxa"/>
          <w:right w:w="0" w:type="dxa"/>
        </w:tblCellMar>
      </w:tblPr>
      <w:tblGrid>
        <w:gridCol w:w="331"/>
        <w:gridCol w:w="3946"/>
      </w:tblGrid>
      <w:tr>
        <w:trPr/>
        <w:tc>
          <w:tcPr>
            <w:tcW w:w="331"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(e)</w:t>
            </w:r>
          </w:p>
        </w:tc>
        <w:tc>
          <w:tcPr>
            <w:tcW w:w="39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Accounting Pronouncements Not Yet Adopted</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Disaggregation of Income Statement Expenses</w:t>
      </w:r>
      <w:r>
        <w:rPr>
          <w:rFonts w:ascii="Times New Roman;Times;serif" w:hAnsi="Times New Roman;Times;serif"/>
          <w:sz w:val="20"/>
        </w:rPr>
        <w:t>. This standard requires the disclosure of more detailed information about the types of expenses in commonly presented expense captions, such as research and development, and general and administrative expenses. This standard will be effective for annual periods beginning after December 15, 2026 and interim periods beginning after December 15, 2027 and may be applied either prospectively or retrospectively. The Company is currently evaluating the impact that this standard may have on its financial statements.</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 License and Collaboration Agreements</w:t>
      </w:r>
    </w:p>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analyzes its license and collaborative agreements to assess whether they are within the scope of ASC 808, </w:t>
      </w:r>
      <w:r>
        <w:rPr>
          <w:rFonts w:ascii="Times New Roman;Times;serif" w:hAnsi="Times New Roman;Times;serif"/>
          <w:i/>
          <w:sz w:val="20"/>
        </w:rPr>
        <w:t>Collaborative Arrangements</w:t>
      </w:r>
      <w:r>
        <w:rPr>
          <w:rFonts w:ascii="Times New Roman;Times;serif" w:hAnsi="Times New Roman;Times;serif"/>
          <w:sz w:val="20"/>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Times;serif" w:hAnsi="Times New Roman;Times;serif"/>
          <w:i/>
          <w:sz w:val="20"/>
        </w:rPr>
        <w:t>Revenue from Contracts with Customers</w:t>
      </w:r>
      <w:r>
        <w:rPr>
          <w:rFonts w:ascii="Times New Roman;Times;serif" w:hAnsi="Times New Roman;Times;serif"/>
          <w:sz w:val="20"/>
        </w:rPr>
        <w:t>. None of the license and collaboration agreements discussed in Note 8 represent transactions with customers.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the Company concludes that some or all aspects of the arrangement are within the scope of ASC 808 and do not represent a transaction with a customer, it recognizes costs incurred as a component of research and development expense in the period incurred. The arrangements may also require the Company to make payments on achievement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milestones, including clinical, regulatory, and development milestones. Clinical, regulatory, and development milestones are recognized as research and development expense only when such milestones are deemed probable of being achieved. </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 Other Comprehensive Income (Loss)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Other comprehensive income (loss) (“OCI”) consists of expenses, gains, and losses that are excluded from net income under GAAP. The Company’s OCI includes, when applicable, unrealized gains and losses on available-for-sale debt securities.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Unrealized gains and losses on available-for-sale debt securities are recorded net of tax in accumulated other comprehensive income (loss) (“AOCI”), a component of stockholders’ equity, until realized. Upon realization, these amounts are reclassified from AOCI into earnings.</w:t>
      </w:r>
    </w:p>
    <w:p>
      <w:pPr>
        <w:pStyle w:val="TextBody"/>
        <w:bidi w:val="0"/>
        <w:spacing w:before="280" w:after="0"/>
        <w:ind w:left="0" w:right="0" w:hanging="0"/>
        <w:jc w:val="left"/>
        <w:rPr/>
      </w:pPr>
      <w:r>
        <w:rPr/>
        <w:t>​</w:t>
      </w:r>
    </w:p>
    <w:p>
      <w:pPr>
        <w:pStyle w:val="Normal"/>
        <w:bidi w:val="0"/>
        <w:spacing w:before="0" w:after="0"/>
        <w:jc w:val="left"/>
        <w:rPr>
          <w:sz w:val="4"/>
          <w:szCs w:val="4"/>
        </w:rPr>
      </w:pPr>
      <w:r>
        <w:rPr>
          <w:sz w:val="4"/>
          <w:szCs w:val="4"/>
        </w:rPr>
      </w:r>
      <w:bookmarkStart w:id="609" w:name="Tc_FNuy57gj70yMCKsvwHrDtA_7_20"/>
      <w:bookmarkStart w:id="610" w:name="Tc_26J3UzFTMkK5K8Pgibv8IQ_7_19"/>
      <w:bookmarkStart w:id="611" w:name="Tc_uxVtvRBe-UOAMG9GeZyI6g_7_16"/>
      <w:bookmarkStart w:id="612" w:name="Tc_9DT3zM_-n0aPjK4z0eJUhw_7_13"/>
      <w:bookmarkStart w:id="613" w:name="Tc_5HXc1EWvP0CdvSlt3d3MHw_7_10"/>
      <w:bookmarkStart w:id="614" w:name="Tc_LzVfQJ3k-EygGhJFMocwlg_7_1"/>
      <w:bookmarkStart w:id="615" w:name="Tc_DCePzqGeD0SVwzaNisJWYg_7_0"/>
      <w:bookmarkStart w:id="616" w:name="Tc_icBvdbECdk-UgovM-EamYQ_6_20"/>
      <w:bookmarkStart w:id="617" w:name="Tc_dCJp93XpU0S7-bUf1DcL2Q_6_14"/>
      <w:bookmarkStart w:id="618" w:name="Tc_dSJJK_Fwg0qoeS5_dvySyQ_6_0"/>
      <w:bookmarkStart w:id="619" w:name="Tc_u1VMx36MjUOYjQZYsJu-xw_5_20"/>
      <w:bookmarkStart w:id="620" w:name="Tc_tNX4av89J0ir54NjCA2yig_5_14"/>
      <w:bookmarkStart w:id="621" w:name="Tc_6bbPS9GHKUWsLB9qkcyUlA_5_0"/>
      <w:bookmarkStart w:id="622" w:name="Tc_WjlbVOH6ZUW60cb-DnzOUA_4_20"/>
      <w:bookmarkStart w:id="623" w:name="Tc_0MCnP0IVyEaNW_pXgxHGIw_4_19"/>
      <w:bookmarkStart w:id="624" w:name="Tc_F57xd23AwEG-0XSNb3y67g_4_17"/>
      <w:bookmarkStart w:id="625" w:name="Tc_OE5DeSbHW06xVYEVso-C2A_4_16"/>
      <w:bookmarkStart w:id="626" w:name="Tc_LVHSDhjmDUGgMw8NfJoVPQ_4_13"/>
      <w:bookmarkStart w:id="627" w:name="Tc_xdxgSd9PbUiS_ChEimjIdw_4_10"/>
      <w:bookmarkStart w:id="628" w:name="Tc_buiT2smqNESsEn5_HaVoxQ_4_8"/>
      <w:bookmarkStart w:id="629" w:name="Tc_GrfMRJMPj0GofzFdJxRtSQ_4_7"/>
      <w:bookmarkStart w:id="630" w:name="Tc_TJJv4QoFUEmrORnOd7CZVQ_4_5"/>
      <w:bookmarkStart w:id="631" w:name="Tc_9x7w4ne0o06NLCtco5oqQw_4_4"/>
      <w:bookmarkStart w:id="632" w:name="Tc_Mq3nrH3ypUqXL1GihXasgA_4_1"/>
      <w:bookmarkStart w:id="633" w:name="Tc_XJENF5kho0KzkJRY_isj5A_4_0"/>
      <w:bookmarkStart w:id="634" w:name="Tc_8qNDbfqQEU2kLahHcOXT2g_2_19"/>
      <w:bookmarkStart w:id="635" w:name="Tc_LmmyUfgpw0OXb2el43YQjQ_2_16"/>
      <w:bookmarkStart w:id="636" w:name="Tc_8GtQIhzOFEq2w_sIf2Gc-Q_2_13"/>
      <w:bookmarkStart w:id="637" w:name="Tc_nuTTYZ1JCEitTBEyGxEvEA_2_10"/>
      <w:bookmarkStart w:id="638" w:name="Tc_nAV7e6qYkkSD-30MRexhTg_2_7"/>
      <w:bookmarkStart w:id="639" w:name="Tc_KBcZg1c_ykCwUXWwuPtbzA_2_4"/>
      <w:bookmarkStart w:id="640" w:name="Tc_XJ-lKwvaHESTZ-tkeQZ10A_2_1"/>
      <w:bookmarkStart w:id="641" w:name="Tc_tOJ1JVINPUCwnO1X5WqvVw_1_1"/>
      <w:bookmarkStart w:id="642" w:name="_b31d20a8_987b_4d54_b4eb_fd9d74c3dd28"/>
      <w:bookmarkStart w:id="643" w:name="Tc_O6Ny1jIPXUWpkwtXjlYqCA_7_20"/>
      <w:bookmarkStart w:id="644" w:name="Tc_lFBzJ6CDKUi_Rcd8_VZj7Q_7_19"/>
      <w:bookmarkStart w:id="645" w:name="Tc_HbeGSJqMX0KGzP6YEdK38Q_7_16"/>
      <w:bookmarkStart w:id="646" w:name="Tc_dNTwFWMhi0S3NnSTiOS81A_7_13"/>
      <w:bookmarkStart w:id="647" w:name="Tc_GTEL16dCzECdTU7i2RkvSQ_7_10"/>
      <w:bookmarkStart w:id="648" w:name="Tc_t23jNNSEvkqnMrWtJm_XTA_7_7"/>
      <w:bookmarkStart w:id="649" w:name="Tc_zZGY_6G1fkGQo4vyzeAg-w_7_4"/>
      <w:bookmarkStart w:id="650" w:name="Tc_wtupvhUzk0iEONATvdrpvg_7_1"/>
      <w:bookmarkStart w:id="651" w:name="Tc_Kcb7og3-5UC7HfMgLjFB0w_7_0"/>
      <w:bookmarkStart w:id="652" w:name="Tc_F9CAA1RD306Qi4AY0FXtqQ_6_20"/>
      <w:bookmarkStart w:id="653" w:name="Tc_oHq71PXXxEm9Xac3fblN5g_6_14"/>
      <w:bookmarkStart w:id="654" w:name="Tc_uPxDENV4DkCOfhz9NwqYQw_6_0"/>
      <w:bookmarkStart w:id="655" w:name="Tc_C12IKObiF0CCeQ5pVJR4_Q_5_20"/>
      <w:bookmarkStart w:id="656" w:name="Tc_wRRHqskLikuFfGUpsErVuA_5_14"/>
      <w:bookmarkStart w:id="657" w:name="Tc_8TGr3C3NwkGzKRPqIlQAsg_5_0"/>
      <w:bookmarkStart w:id="658" w:name="Tc_spotiuJulkmZxkOYYFAz3Q_4_20"/>
      <w:bookmarkStart w:id="659" w:name="Tc_zr0qggiDBEyygQ7EB0ZuKA_4_19"/>
      <w:bookmarkStart w:id="660" w:name="Tc_zGQ5dFf8g0uLUIxzvvD-Zw_4_17"/>
      <w:bookmarkStart w:id="661" w:name="Tc_DZOddXa8Ska5MFW3sZC8ug_4_16"/>
      <w:bookmarkStart w:id="662" w:name="Tc_QTPaNxCvN0aJssACXCuc3Q_4_13"/>
      <w:bookmarkStart w:id="663" w:name="Tc_LFjrUvptuU-6W5ERr5Y6hw_4_10"/>
      <w:bookmarkStart w:id="664" w:name="Tc_f63RCgauwESxdFXbpAutdQ_4_8"/>
      <w:bookmarkStart w:id="665" w:name="Tc_6sqG03fIi0eOprg_qQyTKg_4_7"/>
      <w:bookmarkStart w:id="666" w:name="Tc_182ATCkJakacol47NyTLFA_4_5"/>
      <w:bookmarkStart w:id="667" w:name="Tc_lAGgrc9C9E2KYIn8BoGnTQ_4_4"/>
      <w:bookmarkStart w:id="668" w:name="Tc_czp8UlLIR0y1LIvs8mTEfA_4_1"/>
      <w:bookmarkStart w:id="669" w:name="Tc_X6BxgObAVkG5Y0Fg08-qeg_4_0"/>
      <w:bookmarkStart w:id="670" w:name="Tc_YbuuSkoeLU6FzayeZ0qp5Q_2_19"/>
      <w:bookmarkStart w:id="671" w:name="Tc_CDfZI9E_LESpFmLsTj8OgA_2_16"/>
      <w:bookmarkStart w:id="672" w:name="Tc_zJt4hgr8XEuX1OVaPkuMkg_2_13"/>
      <w:bookmarkStart w:id="673" w:name="Tc_T8moKprtU0CF4TNMcQHiQg_2_10"/>
      <w:bookmarkStart w:id="674" w:name="Tc_cOs-EUXSHESc4CuIDW8SoQ_2_7"/>
      <w:bookmarkStart w:id="675" w:name="Tc_ujGYCIbZXEqu2tKA5HLR7g_2_4"/>
      <w:bookmarkStart w:id="676" w:name="Tc_LJqv968F7EudtWx8bN9tog_2_1"/>
      <w:bookmarkStart w:id="677" w:name="Tc_gfXO-fny1ESbpBKnhfJBtg_1_1"/>
      <w:bookmarkStart w:id="678" w:name="_3cc941c0_3774_4ec3_a022_82da86494617"/>
      <w:bookmarkStart w:id="679" w:name="Tc_FNuy57gj70yMCKsvwHrDtA_7_20"/>
      <w:bookmarkStart w:id="680" w:name="Tc_26J3UzFTMkK5K8Pgibv8IQ_7_19"/>
      <w:bookmarkStart w:id="681" w:name="Tc_uxVtvRBe-UOAMG9GeZyI6g_7_16"/>
      <w:bookmarkStart w:id="682" w:name="Tc_9DT3zM_-n0aPjK4z0eJUhw_7_13"/>
      <w:bookmarkStart w:id="683" w:name="Tc_5HXc1EWvP0CdvSlt3d3MHw_7_10"/>
      <w:bookmarkStart w:id="684" w:name="Tc_LzVfQJ3k-EygGhJFMocwlg_7_1"/>
      <w:bookmarkStart w:id="685" w:name="Tc_DCePzqGeD0SVwzaNisJWYg_7_0"/>
      <w:bookmarkStart w:id="686" w:name="Tc_icBvdbECdk-UgovM-EamYQ_6_20"/>
      <w:bookmarkStart w:id="687" w:name="Tc_dCJp93XpU0S7-bUf1DcL2Q_6_14"/>
      <w:bookmarkStart w:id="688" w:name="Tc_dSJJK_Fwg0qoeS5_dvySyQ_6_0"/>
      <w:bookmarkStart w:id="689" w:name="Tc_u1VMx36MjUOYjQZYsJu-xw_5_20"/>
      <w:bookmarkStart w:id="690" w:name="Tc_tNX4av89J0ir54NjCA2yig_5_14"/>
      <w:bookmarkStart w:id="691" w:name="Tc_6bbPS9GHKUWsLB9qkcyUlA_5_0"/>
      <w:bookmarkStart w:id="692" w:name="Tc_WjlbVOH6ZUW60cb-DnzOUA_4_20"/>
      <w:bookmarkStart w:id="693" w:name="Tc_0MCnP0IVyEaNW_pXgxHGIw_4_19"/>
      <w:bookmarkStart w:id="694" w:name="Tc_F57xd23AwEG-0XSNb3y67g_4_17"/>
      <w:bookmarkStart w:id="695" w:name="Tc_OE5DeSbHW06xVYEVso-C2A_4_16"/>
      <w:bookmarkStart w:id="696" w:name="Tc_LVHSDhjmDUGgMw8NfJoVPQ_4_13"/>
      <w:bookmarkStart w:id="697" w:name="Tc_xdxgSd9PbUiS_ChEimjIdw_4_10"/>
      <w:bookmarkStart w:id="698" w:name="Tc_buiT2smqNESsEn5_HaVoxQ_4_8"/>
      <w:bookmarkStart w:id="699" w:name="Tc_GrfMRJMPj0GofzFdJxRtSQ_4_7"/>
      <w:bookmarkStart w:id="700" w:name="Tc_TJJv4QoFUEmrORnOd7CZVQ_4_5"/>
      <w:bookmarkStart w:id="701" w:name="Tc_9x7w4ne0o06NLCtco5oqQw_4_4"/>
      <w:bookmarkStart w:id="702" w:name="Tc_Mq3nrH3ypUqXL1GihXasgA_4_1"/>
      <w:bookmarkStart w:id="703" w:name="Tc_XJENF5kho0KzkJRY_isj5A_4_0"/>
      <w:bookmarkStart w:id="704" w:name="Tc_8qNDbfqQEU2kLahHcOXT2g_2_19"/>
      <w:bookmarkStart w:id="705" w:name="Tc_LmmyUfgpw0OXb2el43YQjQ_2_16"/>
      <w:bookmarkStart w:id="706" w:name="Tc_8GtQIhzOFEq2w_sIf2Gc-Q_2_13"/>
      <w:bookmarkStart w:id="707" w:name="Tc_nuTTYZ1JCEitTBEyGxEvEA_2_10"/>
      <w:bookmarkStart w:id="708" w:name="Tc_nAV7e6qYkkSD-30MRexhTg_2_7"/>
      <w:bookmarkStart w:id="709" w:name="Tc_KBcZg1c_ykCwUXWwuPtbzA_2_4"/>
      <w:bookmarkStart w:id="710" w:name="Tc_XJ-lKwvaHESTZ-tkeQZ10A_2_1"/>
      <w:bookmarkStart w:id="711" w:name="Tc_tOJ1JVINPUCwnO1X5WqvVw_1_1"/>
      <w:bookmarkStart w:id="712" w:name="_b31d20a8_987b_4d54_b4eb_fd9d74c3dd28"/>
      <w:bookmarkStart w:id="713" w:name="Tc_O6Ny1jIPXUWpkwtXjlYqCA_7_20"/>
      <w:bookmarkStart w:id="714" w:name="Tc_lFBzJ6CDKUi_Rcd8_VZj7Q_7_19"/>
      <w:bookmarkStart w:id="715" w:name="Tc_HbeGSJqMX0KGzP6YEdK38Q_7_16"/>
      <w:bookmarkStart w:id="716" w:name="Tc_dNTwFWMhi0S3NnSTiOS81A_7_13"/>
      <w:bookmarkStart w:id="717" w:name="Tc_GTEL16dCzECdTU7i2RkvSQ_7_10"/>
      <w:bookmarkStart w:id="718" w:name="Tc_t23jNNSEvkqnMrWtJm_XTA_7_7"/>
      <w:bookmarkStart w:id="719" w:name="Tc_zZGY_6G1fkGQo4vyzeAg-w_7_4"/>
      <w:bookmarkStart w:id="720" w:name="Tc_wtupvhUzk0iEONATvdrpvg_7_1"/>
      <w:bookmarkStart w:id="721" w:name="Tc_Kcb7og3-5UC7HfMgLjFB0w_7_0"/>
      <w:bookmarkStart w:id="722" w:name="Tc_F9CAA1RD306Qi4AY0FXtqQ_6_20"/>
      <w:bookmarkStart w:id="723" w:name="Tc_oHq71PXXxEm9Xac3fblN5g_6_14"/>
      <w:bookmarkStart w:id="724" w:name="Tc_uPxDENV4DkCOfhz9NwqYQw_6_0"/>
      <w:bookmarkStart w:id="725" w:name="Tc_C12IKObiF0CCeQ5pVJR4_Q_5_20"/>
      <w:bookmarkStart w:id="726" w:name="Tc_wRRHqskLikuFfGUpsErVuA_5_14"/>
      <w:bookmarkStart w:id="727" w:name="Tc_8TGr3C3NwkGzKRPqIlQAsg_5_0"/>
      <w:bookmarkStart w:id="728" w:name="Tc_spotiuJulkmZxkOYYFAz3Q_4_20"/>
      <w:bookmarkStart w:id="729" w:name="Tc_zr0qggiDBEyygQ7EB0ZuKA_4_19"/>
      <w:bookmarkStart w:id="730" w:name="Tc_zGQ5dFf8g0uLUIxzvvD-Zw_4_17"/>
      <w:bookmarkStart w:id="731" w:name="Tc_DZOddXa8Ska5MFW3sZC8ug_4_16"/>
      <w:bookmarkStart w:id="732" w:name="Tc_QTPaNxCvN0aJssACXCuc3Q_4_13"/>
      <w:bookmarkStart w:id="733" w:name="Tc_LFjrUvptuU-6W5ERr5Y6hw_4_10"/>
      <w:bookmarkStart w:id="734" w:name="Tc_f63RCgauwESxdFXbpAutdQ_4_8"/>
      <w:bookmarkStart w:id="735" w:name="Tc_6sqG03fIi0eOprg_qQyTKg_4_7"/>
      <w:bookmarkStart w:id="736" w:name="Tc_182ATCkJakacol47NyTLFA_4_5"/>
      <w:bookmarkStart w:id="737" w:name="Tc_lAGgrc9C9E2KYIn8BoGnTQ_4_4"/>
      <w:bookmarkStart w:id="738" w:name="Tc_czp8UlLIR0y1LIvs8mTEfA_4_1"/>
      <w:bookmarkStart w:id="739" w:name="Tc_X6BxgObAVkG5Y0Fg08-qeg_4_0"/>
      <w:bookmarkStart w:id="740" w:name="Tc_YbuuSkoeLU6FzayeZ0qp5Q_2_19"/>
      <w:bookmarkStart w:id="741" w:name="Tc_CDfZI9E_LESpFmLsTj8OgA_2_16"/>
      <w:bookmarkStart w:id="742" w:name="Tc_zJt4hgr8XEuX1OVaPkuMkg_2_13"/>
      <w:bookmarkStart w:id="743" w:name="Tc_T8moKprtU0CF4TNMcQHiQg_2_10"/>
      <w:bookmarkStart w:id="744" w:name="Tc_cOs-EUXSHESc4CuIDW8SoQ_2_7"/>
      <w:bookmarkStart w:id="745" w:name="Tc_ujGYCIbZXEqu2tKA5HLR7g_2_4"/>
      <w:bookmarkStart w:id="746" w:name="Tc_LJqv968F7EudtWx8bN9tog_2_1"/>
      <w:bookmarkStart w:id="747" w:name="Tc_gfXO-fny1ESbpBKnhfJBtg_1_1"/>
      <w:bookmarkStart w:id="748" w:name="_3cc941c0_3774_4ec3_a022_82da86494617"/>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show the Company’s cash equivalents and short-term investments’ carrying amounts, fair values, and fair value hierarchy (in thousands):</w:t>
      </w:r>
    </w:p>
    <w:tbl>
      <w:tblPr>
        <w:tblW w:w="10205" w:type="dxa"/>
        <w:jc w:val="left"/>
        <w:tblInd w:w="0" w:type="dxa"/>
        <w:tblLayout w:type="fixed"/>
        <w:tblCellMar>
          <w:top w:w="0" w:type="dxa"/>
          <w:left w:w="0" w:type="dxa"/>
          <w:bottom w:w="0" w:type="dxa"/>
          <w:right w:w="0" w:type="dxa"/>
        </w:tblCellMar>
      </w:tblPr>
      <w:tblGrid>
        <w:gridCol w:w="1864"/>
        <w:gridCol w:w="233"/>
        <w:gridCol w:w="864"/>
        <w:gridCol w:w="109"/>
        <w:gridCol w:w="482"/>
        <w:gridCol w:w="794"/>
        <w:gridCol w:w="109"/>
        <w:gridCol w:w="392"/>
        <w:gridCol w:w="896"/>
        <w:gridCol w:w="109"/>
        <w:gridCol w:w="211"/>
        <w:gridCol w:w="781"/>
        <w:gridCol w:w="109"/>
        <w:gridCol w:w="211"/>
        <w:gridCol w:w="676"/>
        <w:gridCol w:w="346"/>
        <w:gridCol w:w="211"/>
        <w:gridCol w:w="781"/>
        <w:gridCol w:w="346"/>
        <w:gridCol w:w="215"/>
        <w:gridCol w:w="466"/>
      </w:tblGrid>
      <w:tr>
        <w:trPr/>
        <w:tc>
          <w:tcPr>
            <w:tcW w:w="1864"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r>
        <w:trPr/>
        <w:tc>
          <w:tcPr>
            <w:tcW w:w="1864" w:type="dxa"/>
            <w:tcBorders/>
            <w:vAlign w:val="center"/>
          </w:tcPr>
          <w:p>
            <w:pPr>
              <w:pStyle w:val="TableContents"/>
              <w:bidi w:val="0"/>
              <w:spacing w:before="0" w:after="0"/>
              <w:ind w:left="0" w:right="0" w:hanging="0"/>
              <w:jc w:val="left"/>
              <w:rPr/>
            </w:pPr>
            <w:r>
              <w:rPr/>
              <w:t>​</w:t>
            </w:r>
          </w:p>
        </w:tc>
        <w:tc>
          <w:tcPr>
            <w:tcW w:w="8341"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864"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109"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Gains</w:t>
            </w:r>
          </w:p>
        </w:tc>
        <w:tc>
          <w:tcPr>
            <w:tcW w:w="109" w:type="dxa"/>
            <w:tcBorders/>
            <w:vAlign w:val="center"/>
          </w:tcPr>
          <w:p>
            <w:pPr>
              <w:pStyle w:val="TableContents"/>
              <w:bidi w:val="0"/>
              <w:spacing w:before="0" w:after="0"/>
              <w:ind w:left="0" w:right="0" w:hanging="0"/>
              <w:jc w:val="center"/>
              <w:rPr/>
            </w:pPr>
            <w:r>
              <w:rPr/>
              <w:t>​</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Losses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64"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84,299</w:t>
            </w:r>
          </w:p>
        </w:tc>
        <w:tc>
          <w:tcPr>
            <w:tcW w:w="109"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103,670</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103,567</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115,035</w:t>
            </w:r>
          </w:p>
        </w:tc>
        <w:tc>
          <w:tcPr>
            <w:tcW w:w="109"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114,870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114,870</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303,004</w:t>
            </w:r>
          </w:p>
        </w:tc>
        <w:tc>
          <w:tcPr>
            <w:tcW w:w="109" w:type="dxa"/>
            <w:tcBorders/>
            <w:shd w:fill="CCEEFF" w:val="clear"/>
            <w:vAlign w:val="center"/>
          </w:tcPr>
          <w:p>
            <w:pPr>
              <w:pStyle w:val="TableContents"/>
              <w:bidi w:val="0"/>
              <w:spacing w:before="0" w:after="0"/>
              <w:ind w:left="0" w:right="0" w:hanging="0"/>
              <w:jc w:val="left"/>
              <w:rPr/>
            </w:pPr>
            <w:r>
              <w:rPr/>
              <w:t>​</w:t>
            </w:r>
          </w:p>
        </w:tc>
        <w:tc>
          <w:tcPr>
            <w:tcW w:w="4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218,437</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64"/>
        <w:gridCol w:w="233"/>
        <w:gridCol w:w="864"/>
        <w:gridCol w:w="109"/>
        <w:gridCol w:w="425"/>
        <w:gridCol w:w="851"/>
        <w:gridCol w:w="109"/>
        <w:gridCol w:w="392"/>
        <w:gridCol w:w="896"/>
        <w:gridCol w:w="109"/>
        <w:gridCol w:w="211"/>
        <w:gridCol w:w="781"/>
        <w:gridCol w:w="109"/>
        <w:gridCol w:w="211"/>
        <w:gridCol w:w="676"/>
        <w:gridCol w:w="346"/>
        <w:gridCol w:w="211"/>
        <w:gridCol w:w="781"/>
        <w:gridCol w:w="346"/>
        <w:gridCol w:w="215"/>
        <w:gridCol w:w="466"/>
      </w:tblGrid>
      <w:tr>
        <w:trPr/>
        <w:tc>
          <w:tcPr>
            <w:tcW w:w="1864"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r>
        <w:trPr/>
        <w:tc>
          <w:tcPr>
            <w:tcW w:w="1864" w:type="dxa"/>
            <w:tcBorders/>
            <w:vAlign w:val="center"/>
          </w:tcPr>
          <w:p>
            <w:pPr>
              <w:pStyle w:val="TableContents"/>
              <w:bidi w:val="0"/>
              <w:spacing w:before="0" w:after="0"/>
              <w:ind w:left="0" w:right="0" w:hanging="0"/>
              <w:jc w:val="left"/>
              <w:rPr/>
            </w:pPr>
            <w:r>
              <w:rPr/>
              <w:t>​</w:t>
            </w:r>
          </w:p>
        </w:tc>
        <w:tc>
          <w:tcPr>
            <w:tcW w:w="8341"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64"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109"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Gains</w:t>
            </w:r>
          </w:p>
        </w:tc>
        <w:tc>
          <w:tcPr>
            <w:tcW w:w="109" w:type="dxa"/>
            <w:tcBorders/>
            <w:vAlign w:val="center"/>
          </w:tcPr>
          <w:p>
            <w:pPr>
              <w:pStyle w:val="TableContents"/>
              <w:bidi w:val="0"/>
              <w:spacing w:before="0" w:after="0"/>
              <w:ind w:left="0" w:right="0" w:hanging="0"/>
              <w:jc w:val="center"/>
              <w:rPr/>
            </w:pPr>
            <w:r>
              <w:rPr/>
              <w:t>​</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 Losses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64"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40,494</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233"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105,373</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105,426</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r>
      <w:tr>
        <w:trPr/>
        <w:tc>
          <w:tcPr>
            <w:tcW w:w="18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securities</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161,882</w:t>
            </w:r>
          </w:p>
        </w:tc>
        <w:tc>
          <w:tcPr>
            <w:tcW w:w="109"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161,855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161,855</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307,749</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267,281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December 31, 2025 disclosure was adjusted to reflect the classification of certain corporate securities as Level 2 of the fair value hierarchy.</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balances were $70.4 million and $5.0 million at June 30, 2026 and December 31, 2025, respectively. Money market funds are highly liquid investments. The pricing information on the Company’s money market fund is based on quoted prices in active markets. This approach results in a classification of these securities as Level 1 of the fair value hierarchy.</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investment portfolio includes many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pStyle w:val="TextBody"/>
        <w:bidi w:val="0"/>
        <w:spacing w:before="0" w:after="240"/>
        <w:ind w:left="0" w:right="0" w:firstLine="36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All short-term investments held as of June 30, 2026 and December 31, 2025 had contractual maturities of less than one year and are considered available-for-sale. No available-for-sale securities held as of the periods presented have been in a continuous material unrealized loss position for more than 12 months. To date, the Company recorded no allowances for credit losses on its investments.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49" w:name="Tc_-XLbldi210Cqfz0JV6qedw_7_5"/>
      <w:bookmarkStart w:id="750" w:name="Tc_Yv5yOynBZU6ixTJ_2SZctw_7_2"/>
      <w:bookmarkStart w:id="751" w:name="Tc_HJmKWeFKLE-ZuRVHfspX9Q_7_0"/>
      <w:bookmarkStart w:id="752" w:name="Tc_3e4d3B2t4E2y-7T-fTL1ug_6_0"/>
      <w:bookmarkStart w:id="753" w:name="Tc_GaMgBkoKp0aovIdeNFKe7g_5_0"/>
      <w:bookmarkStart w:id="754" w:name="Tc_GnCgwnri9Ue9oftaTD4pmw_4_0"/>
      <w:bookmarkStart w:id="755" w:name="Tc_dqdAqyEr4kOb_FaplFp1tA_3_5"/>
      <w:bookmarkStart w:id="756" w:name="Tc_ydt8TTHwuE2hgzQKAJPgww_3_2"/>
      <w:bookmarkStart w:id="757" w:name="Tc__YKmhboL6EqBsR-lHBGJjA_3_0"/>
      <w:bookmarkStart w:id="758" w:name="Tc__yIG7VAD-kap2aQp9yIMtA_2_5"/>
      <w:bookmarkStart w:id="759" w:name="Tc_5UvjIw3h6kWhel0Cgd_IeQ_2_2"/>
      <w:bookmarkStart w:id="760" w:name="Tc_mSsviYgKIEqnUya3hMz-rQ_1_5"/>
      <w:bookmarkStart w:id="761" w:name="Tc_9wiDJYdLqkGNxZsDM-Tcdg_1_2"/>
      <w:bookmarkStart w:id="762" w:name="_92f28aca_a605_4bd4_a97e_d936893c9f29"/>
      <w:bookmarkStart w:id="763" w:name="Tc_-XLbldi210Cqfz0JV6qedw_7_5"/>
      <w:bookmarkStart w:id="764" w:name="Tc_Yv5yOynBZU6ixTJ_2SZctw_7_2"/>
      <w:bookmarkStart w:id="765" w:name="Tc_HJmKWeFKLE-ZuRVHfspX9Q_7_0"/>
      <w:bookmarkStart w:id="766" w:name="Tc_3e4d3B2t4E2y-7T-fTL1ug_6_0"/>
      <w:bookmarkStart w:id="767" w:name="Tc_GaMgBkoKp0aovIdeNFKe7g_5_0"/>
      <w:bookmarkStart w:id="768" w:name="Tc_GnCgwnri9Ue9oftaTD4pmw_4_0"/>
      <w:bookmarkStart w:id="769" w:name="Tc_dqdAqyEr4kOb_FaplFp1tA_3_5"/>
      <w:bookmarkStart w:id="770" w:name="Tc_ydt8TTHwuE2hgzQKAJPgww_3_2"/>
      <w:bookmarkStart w:id="771" w:name="Tc__YKmhboL6EqBsR-lHBGJjA_3_0"/>
      <w:bookmarkStart w:id="772" w:name="Tc__yIG7VAD-kap2aQp9yIMtA_2_5"/>
      <w:bookmarkStart w:id="773" w:name="Tc_5UvjIw3h6kWhel0Cgd_IeQ_2_2"/>
      <w:bookmarkStart w:id="774" w:name="Tc_mSsviYgKIEqnUya3hMz-rQ_1_5"/>
      <w:bookmarkStart w:id="775" w:name="Tc_9wiDJYdLqkGNxZsDM-Tcdg_1_2"/>
      <w:bookmarkStart w:id="776" w:name="_92f28aca_a605_4bd4_a97e_d936893c9f29"/>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tbl>
      <w:tblPr>
        <w:tblW w:w="4172" w:type="dxa"/>
        <w:jc w:val="left"/>
        <w:tblInd w:w="0" w:type="dxa"/>
        <w:tblLayout w:type="fixed"/>
        <w:tblCellMar>
          <w:top w:w="0" w:type="dxa"/>
          <w:left w:w="0" w:type="dxa"/>
          <w:bottom w:w="0" w:type="dxa"/>
          <w:right w:w="0" w:type="dxa"/>
        </w:tblCellMar>
      </w:tblPr>
      <w:tblGrid>
        <w:gridCol w:w="346"/>
        <w:gridCol w:w="382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Prepaid expenses and other current assets consisted of the following (in thousands):</w:t>
      </w:r>
    </w:p>
    <w:tbl>
      <w:tblPr>
        <w:tblW w:w="6695" w:type="dxa"/>
        <w:jc w:val="left"/>
        <w:tblInd w:w="0" w:type="dxa"/>
        <w:tblLayout w:type="fixed"/>
        <w:tblCellMar>
          <w:top w:w="0" w:type="dxa"/>
          <w:left w:w="0" w:type="dxa"/>
          <w:bottom w:w="0" w:type="dxa"/>
          <w:right w:w="0" w:type="dxa"/>
        </w:tblCellMar>
      </w:tblPr>
      <w:tblGrid>
        <w:gridCol w:w="3931"/>
        <w:gridCol w:w="346"/>
        <w:gridCol w:w="211"/>
        <w:gridCol w:w="676"/>
        <w:gridCol w:w="346"/>
        <w:gridCol w:w="252"/>
        <w:gridCol w:w="933"/>
      </w:tblGrid>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29260" cy="175260"/>
                      <wp:effectExtent l="0" t="0" r="0" b="0"/>
                      <wp:wrapNone/>
                      <wp:docPr id="81" name="Frame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0020" cy="175260"/>
                      <wp:effectExtent l="0" t="0" r="0" b="0"/>
                      <wp:wrapNone/>
                      <wp:docPr id="83" name="Frame8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2455" cy="175260"/>
                      <wp:effectExtent l="0" t="0" r="0" b="0"/>
                      <wp:wrapNone/>
                      <wp:docPr id="84" name="Frame8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21,054</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20,076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77" w:name="Tc__BFNAtYcmUeNFljjPbJrLA_7_5"/>
      <w:bookmarkStart w:id="778" w:name="Tc_TY4eMBMN606iCn5gxw9_YQ_7_2"/>
      <w:bookmarkStart w:id="779" w:name="Tc_-vjsUVPyLk6ylrzLVuEC5g_7_0"/>
      <w:bookmarkStart w:id="780" w:name="Tc_KEpstmLlKkG8W1A_K69I4A_6_0"/>
      <w:bookmarkStart w:id="781" w:name="Tc_xGN-21Ik0U-jgOlE0lqZmA_5_0"/>
      <w:bookmarkStart w:id="782" w:name="Tc_4mU5ZRh6GEG2RP2SCLvSdA_4_0"/>
      <w:bookmarkStart w:id="783" w:name="Tc_e_9fkUdN206YYEyTN0FNAw_3_5"/>
      <w:bookmarkStart w:id="784" w:name="Tc_4En7OR2cmkeYHQK6M75LcQ_3_2"/>
      <w:bookmarkStart w:id="785" w:name="Tc_9SxTXzen6UaDqTZLltJxdA_3_0"/>
      <w:bookmarkStart w:id="786" w:name="Tc_033lUDbyekGaS47xje89AQ_2_5"/>
      <w:bookmarkStart w:id="787" w:name="Tc_BHFG4XWLrEm2y4_4YwnaCw_2_2"/>
      <w:bookmarkStart w:id="788" w:name="Tc_OXaOAxP6g0etv0360dVdEA_1_5"/>
      <w:bookmarkStart w:id="789" w:name="Tc_xg2PNNADkEmgOwCeavsPNQ_1_2"/>
      <w:bookmarkStart w:id="790" w:name="_32888eea_19a5_4081_909f_2aafac80e130"/>
      <w:bookmarkStart w:id="791" w:name="Tc__BFNAtYcmUeNFljjPbJrLA_7_5"/>
      <w:bookmarkStart w:id="792" w:name="Tc_TY4eMBMN606iCn5gxw9_YQ_7_2"/>
      <w:bookmarkStart w:id="793" w:name="Tc_-vjsUVPyLk6ylrzLVuEC5g_7_0"/>
      <w:bookmarkStart w:id="794" w:name="Tc_KEpstmLlKkG8W1A_K69I4A_6_0"/>
      <w:bookmarkStart w:id="795" w:name="Tc_xGN-21Ik0U-jgOlE0lqZmA_5_0"/>
      <w:bookmarkStart w:id="796" w:name="Tc_4mU5ZRh6GEG2RP2SCLvSdA_4_0"/>
      <w:bookmarkStart w:id="797" w:name="Tc_e_9fkUdN206YYEyTN0FNAw_3_5"/>
      <w:bookmarkStart w:id="798" w:name="Tc_4En7OR2cmkeYHQK6M75LcQ_3_2"/>
      <w:bookmarkStart w:id="799" w:name="Tc_9SxTXzen6UaDqTZLltJxdA_3_0"/>
      <w:bookmarkStart w:id="800" w:name="Tc_033lUDbyekGaS47xje89AQ_2_5"/>
      <w:bookmarkStart w:id="801" w:name="Tc_BHFG4XWLrEm2y4_4YwnaCw_2_2"/>
      <w:bookmarkStart w:id="802" w:name="Tc_OXaOAxP6g0etv0360dVdEA_1_5"/>
      <w:bookmarkStart w:id="803" w:name="Tc_xg2PNNADkEmgOwCeavsPNQ_1_2"/>
      <w:bookmarkStart w:id="804" w:name="_32888eea_19a5_4081_909f_2aafac80e13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tbl>
      <w:tblPr>
        <w:tblW w:w="2027" w:type="dxa"/>
        <w:jc w:val="left"/>
        <w:tblInd w:w="0" w:type="dxa"/>
        <w:tblLayout w:type="fixed"/>
        <w:tblCellMar>
          <w:top w:w="0" w:type="dxa"/>
          <w:left w:w="0" w:type="dxa"/>
          <w:bottom w:w="0" w:type="dxa"/>
          <w:right w:w="0" w:type="dxa"/>
        </w:tblCellMar>
      </w:tblPr>
      <w:tblGrid>
        <w:gridCol w:w="346"/>
        <w:gridCol w:w="168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6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Accrued Expenses</w:t>
            </w:r>
          </w:p>
        </w:tc>
      </w:tr>
    </w:tbl>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Accrued expenses consisted of the following (in thousands):</w:t>
      </w:r>
    </w:p>
    <w:tbl>
      <w:tblPr>
        <w:tblW w:w="5795" w:type="dxa"/>
        <w:jc w:val="left"/>
        <w:tblInd w:w="0" w:type="dxa"/>
        <w:tblLayout w:type="fixed"/>
        <w:tblCellMar>
          <w:top w:w="0" w:type="dxa"/>
          <w:left w:w="0" w:type="dxa"/>
          <w:bottom w:w="0" w:type="dxa"/>
          <w:right w:w="0" w:type="dxa"/>
        </w:tblCellMar>
      </w:tblPr>
      <w:tblGrid>
        <w:gridCol w:w="3031"/>
        <w:gridCol w:w="346"/>
        <w:gridCol w:w="211"/>
        <w:gridCol w:w="676"/>
        <w:gridCol w:w="346"/>
        <w:gridCol w:w="252"/>
        <w:gridCol w:w="933"/>
      </w:tblGrid>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0020" cy="175260"/>
                      <wp:effectExtent l="0" t="0" r="0" b="0"/>
                      <wp:wrapNone/>
                      <wp:docPr id="89" name="Frame8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2455" cy="175260"/>
                      <wp:effectExtent l="0" t="0" r="0" b="0"/>
                      <wp:wrapNone/>
                      <wp:docPr id="90" name="Frame9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20,522</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6,545</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25,309</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tbl>
      <w:tblPr>
        <w:tblW w:w="2762" w:type="dxa"/>
        <w:jc w:val="left"/>
        <w:tblInd w:w="0" w:type="dxa"/>
        <w:tblLayout w:type="fixed"/>
        <w:tblCellMar>
          <w:top w:w="0" w:type="dxa"/>
          <w:left w:w="0" w:type="dxa"/>
          <w:bottom w:w="0" w:type="dxa"/>
          <w:right w:w="0" w:type="dxa"/>
        </w:tblCellMar>
      </w:tblPr>
      <w:tblGrid>
        <w:gridCol w:w="346"/>
        <w:gridCol w:w="241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4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June 2021, the Company adopted the 2021 Employee, Director and Consultant Equity Incentive Plan, as amended (the “2021 Plan”), that authorized the Company to grant up to 803,564 shares of common stock via stock-based compensation awards. In 2022, the Company amended the 2021 Plan and increased the total number of shares authorized under the 2021 Plan to 2,748,818. In January 2024, the Company adopted the 2024 Employee, Director and Consultant Equity Incentive Plan (the “2024 Plan”) that authorized the Company to grant up to 3,900,000 shares of common stock plus any remaining ungranted or forfeited shares from the 2021 Plan. As of June 30, 2026, there were 2,545,021 shares available to be granted under the 2024 Plan. The Company’s stock options vest based on the terms in the awards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240"/>
        <w:ind w:left="0" w:right="0" w:hanging="0"/>
        <w:jc w:val="left"/>
        <w:rPr>
          <w:rFonts w:ascii="Times New Roman;Times;serif" w:hAnsi="Times New Roman;Times;serif"/>
          <w:sz w:val="20"/>
        </w:rPr>
      </w:pPr>
      <w:bookmarkStart w:id="805" w:name="Tc_kTFBbAyDj0eHmNta5_OUQw_7_6"/>
      <w:bookmarkStart w:id="806" w:name="Tc_FVADZjIYc0CGpmXoLadPwA_7_3"/>
      <w:bookmarkStart w:id="807" w:name="Tc_8_1uwgkbwkqGloB9CkVDKA_7_0"/>
      <w:bookmarkStart w:id="808" w:name="Tc_sf37gm7TCUa-t-ck-Ee31w_6_6"/>
      <w:bookmarkStart w:id="809" w:name="Tc_bxsfcSYbhEqK0srMMIfJPw_6_3"/>
      <w:bookmarkStart w:id="810" w:name="Tc_PnPb5LjQPEGy-Oq5p0Zbow_6_0"/>
      <w:bookmarkStart w:id="811" w:name="Tc_QVaB89HfFUaPNdkFwru2zw_5_6"/>
      <w:bookmarkStart w:id="812" w:name="Tc_8yY9Suj1SkSiwe7lkyRaGw_5_3"/>
      <w:bookmarkStart w:id="813" w:name="Tc_Sp3GlNv-TkutGLES1PDMEA_5_0"/>
      <w:bookmarkStart w:id="814" w:name="Tc_ic1YzpK85ECiXiggVd7Ugw_4_6"/>
      <w:bookmarkStart w:id="815" w:name="Tc_AgPTv7h1OEO8R80hCvarYQ_4_3"/>
      <w:bookmarkStart w:id="816" w:name="Tc_m8DYG1r2l0ijp5kOtMUbvw_4_0"/>
      <w:bookmarkStart w:id="817" w:name="Tc_3f-GSy3yxUiuNeeAefY_ng_3_5"/>
      <w:bookmarkStart w:id="818" w:name="Tc_VhaWbCoxmk-AJNMFM2KB5g_3_2"/>
      <w:bookmarkStart w:id="819" w:name="Tc_tG3u0Agfpk-sQic3o_bLYw_2_2"/>
      <w:bookmarkStart w:id="820" w:name="Tc_98VjxYB6nUiZ4cUE3zH2pQ_1_2"/>
      <w:bookmarkStart w:id="821" w:name="Tc_1MEv3QRsbke9_WaXN3iTUQ_12_9"/>
      <w:bookmarkStart w:id="822" w:name="Tc_jpD96idOX0WayHJErBrDnw_12_4"/>
      <w:bookmarkStart w:id="823" w:name="Tc_d3vCjuEfL0anZyswXDKw7Q_12_0"/>
      <w:bookmarkStart w:id="824" w:name="Tc_wRfJHWbwbkGkgg8dL4D6Vg_11_9"/>
      <w:bookmarkStart w:id="825" w:name="Tc_At9NgsHeJkO_aQVEK0CVoA_11_4"/>
      <w:bookmarkStart w:id="826" w:name="Tc_8Jxa3FQZDEGqcQCjYKq5pg_11_0"/>
      <w:bookmarkStart w:id="827" w:name="Tc_3M2RiVG27EiSHPEExhehAg_10_9"/>
      <w:bookmarkStart w:id="828" w:name="Tc_-lzYj4WAfUeFDGqFcRpblg_10_4"/>
      <w:bookmarkStart w:id="829" w:name="Tc_-UMEeZhJKkq3qpOfyiSObw_10_0"/>
      <w:bookmarkStart w:id="830" w:name="Tc_f6h-zmH7TUa4qYkBFrQM1A_9_0"/>
      <w:bookmarkStart w:id="831" w:name="Tc_J5KpnGbCQ0acB-xMXFVUsQ_8_0"/>
      <w:bookmarkStart w:id="832" w:name="Tc_7qtRrhTWq0SdmMlks_T8oQ_7_0"/>
      <w:bookmarkStart w:id="833" w:name="Tc_PLJiKlj2-0aeVDeRTJfYlA_6_4"/>
      <w:bookmarkStart w:id="834" w:name="Tc_p5WHdBuZpUyf-tqIs3xmEw_6_0"/>
      <w:bookmarkStart w:id="835" w:name="Tc_BECuhRQC-kiB4zZr6ibAww_5_9"/>
      <w:bookmarkStart w:id="836" w:name="Tc_WIcpg_JWRkGATx8S95NjYg_5_7"/>
      <w:bookmarkStart w:id="837" w:name="Tc_tLUOIuPfA0G2QXMeqFFsQw_5_4"/>
      <w:bookmarkStart w:id="838" w:name="Tc_ZDqShv8AOE6bFgzjvOxu8w_5_2"/>
      <w:bookmarkStart w:id="839" w:name="Tc_XqY5YGhcmk6GJeUi3zL4uQ_4_9"/>
      <w:bookmarkStart w:id="840" w:name="Tc_lEt8DefK1UqTnxNaNCYRfA_4_7"/>
      <w:bookmarkStart w:id="841" w:name="Tc_bvpTpcgREUGyW5SUA3KTbA_4_4"/>
      <w:bookmarkStart w:id="842" w:name="Tc_R4Nj1a4A70O84BOS0PPSuw_3_9"/>
      <w:bookmarkStart w:id="843" w:name="Tc_Y1xRt_48DUueFfZZNEz8BA_3_7"/>
      <w:bookmarkStart w:id="844" w:name="Tc_ObEsNavIiECTRL_dovgTtw_3_4"/>
      <w:bookmarkStart w:id="845" w:name="Tc_TCavubVvE0WCbbgV5X1Xjw_2_7"/>
      <w:bookmarkStart w:id="846" w:name="Tc_SfqO06YBVkuQ_3Ba9hjHmw_2_4"/>
      <w:bookmarkStart w:id="847" w:name="Tc_qOhuuwkGfEmkdavJKYpnmg_1_7"/>
      <w:bookmarkStart w:id="848" w:name="Tc_SHQqTNmt0UyQ8weXpd2lBQ_6_11"/>
      <w:bookmarkStart w:id="849" w:name="Tc_kHHSyj8dpECOXQk9dFzzfw_6_8"/>
      <w:bookmarkStart w:id="850" w:name="Tc_kBInuaDaM0CW-5TQVyWQ7w_6_5"/>
      <w:bookmarkStart w:id="851" w:name="Tc_cgn0kYPRBUW_VIEyK9f04w_6_2"/>
      <w:bookmarkStart w:id="852" w:name="Tc_jL29Q8DoFUKkWd8RBiMXcQ_6_0"/>
      <w:bookmarkStart w:id="853" w:name="Tc_ndZwv-BCEkq8VbXaqQP7AA_5_0"/>
      <w:bookmarkStart w:id="854" w:name="Tc_lAsuI9zWiUm9u5OeBYlT0g_4_11"/>
      <w:bookmarkStart w:id="855" w:name="Tc_nGDc6Mevb0GiY2uw665NGQ_4_8"/>
      <w:bookmarkStart w:id="856" w:name="Tc_eYsUDiaHQ0iz2YyB1QJdLA_4_5"/>
      <w:bookmarkStart w:id="857" w:name="Tc_njsUtvfpRkiaax8-pHwTdw_4_2"/>
      <w:bookmarkStart w:id="858" w:name="Tc_U3BID6Rpe0Sv3Gjd5ccUFg_4_0"/>
      <w:bookmarkStart w:id="859" w:name="Tc_JY6gUg0MWEaAEMRdv0WuKg_3_11"/>
      <w:bookmarkStart w:id="860" w:name="Tc_2ChIlhhoykyJwlIMZ4bSag_3_8"/>
      <w:bookmarkStart w:id="861" w:name="Tc_79sKVb_hbU6HusXL1uBQ-w_3_5"/>
      <w:bookmarkStart w:id="862" w:name="Tc_34urzfYj5k6ffVlBo4WRtw_3_2"/>
      <w:bookmarkStart w:id="863" w:name="Tc_j_dTj8noCkqoqsJz3OwaGg_2_8"/>
      <w:bookmarkStart w:id="864" w:name="Tc_5md_6Wqg9U-d9Hn1VHVkqQ_2_2"/>
      <w:bookmarkStart w:id="865" w:name="Tc_abSahi1ojUyKpkvZVkXCVg_1_8"/>
      <w:bookmarkStart w:id="866" w:name="Tc_XiYjQV3C8kSxm_fWzlKj9g_1_2"/>
      <w:bookmarkStart w:id="867" w:name="_ac74870b_3de5_42ef_94df_e7b5a7c7acc9"/>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ascii="Times New Roman;Times;serif" w:hAnsi="Times New Roman;Times;serif"/>
          <w:sz w:val="20"/>
        </w:rPr>
        <w:t>agreements and generally vest over four years. The Company recorded stock-based compensation expense in the following expense categories in its accompanying statements of operations and comprehensive loss (in thousands):</w:t>
      </w:r>
    </w:p>
    <w:tbl>
      <w:tblPr>
        <w:tblW w:w="8173" w:type="dxa"/>
        <w:jc w:val="left"/>
        <w:tblInd w:w="0" w:type="dxa"/>
        <w:tblLayout w:type="fixed"/>
        <w:tblCellMar>
          <w:top w:w="0" w:type="dxa"/>
          <w:left w:w="0" w:type="dxa"/>
          <w:bottom w:w="0" w:type="dxa"/>
          <w:right w:w="0" w:type="dxa"/>
        </w:tblCellMar>
      </w:tblPr>
      <w:tblGrid>
        <w:gridCol w:w="3451"/>
        <w:gridCol w:w="346"/>
        <w:gridCol w:w="211"/>
        <w:gridCol w:w="571"/>
        <w:gridCol w:w="346"/>
        <w:gridCol w:w="211"/>
        <w:gridCol w:w="571"/>
        <w:gridCol w:w="346"/>
        <w:gridCol w:w="211"/>
        <w:gridCol w:w="676"/>
        <w:gridCol w:w="346"/>
        <w:gridCol w:w="211"/>
        <w:gridCol w:w="676"/>
      </w:tblGrid>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9" name="Frame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2" name="Frame1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5,582</w:t>
            </w:r>
          </w:p>
        </w:tc>
      </w:tr>
    </w:tbl>
    <w:p>
      <w:pPr>
        <w:pStyle w:val="TextBody"/>
        <w:bidi w:val="0"/>
        <w:spacing w:before="0" w:after="0"/>
        <w:ind w:left="0" w:right="0" w:hanging="0"/>
        <w:jc w:val="left"/>
        <w:rPr/>
      </w:pPr>
      <w:r>
        <w:rPr/>
        <w:t>​</w:t>
      </w:r>
    </w:p>
    <w:p>
      <w:pPr>
        <w:pStyle w:val="TextBody"/>
        <w:bidi w:val="0"/>
        <w:spacing w:before="0" w:after="240"/>
        <w:ind w:left="400" w:right="0" w:hanging="0"/>
        <w:jc w:val="left"/>
        <w:rPr>
          <w:rFonts w:ascii="Times New Roman;Times;serif" w:hAnsi="Times New Roman;Times;serif"/>
          <w:sz w:val="20"/>
        </w:rPr>
      </w:pPr>
      <w:r>
        <w:rPr>
          <w:rFonts w:ascii="Times New Roman;Times;serif" w:hAnsi="Times New Roman;Times;serif"/>
          <w:sz w:val="20"/>
        </w:rPr>
        <w:t>The following is a summary of stock options activity:</w:t>
      </w:r>
    </w:p>
    <w:p>
      <w:pPr>
        <w:pStyle w:val="TextBody"/>
        <w:bidi w:val="0"/>
        <w:spacing w:before="0" w:after="0"/>
        <w:ind w:left="0" w:right="0" w:hanging="0"/>
        <w:jc w:val="left"/>
        <w:rPr/>
      </w:pPr>
      <w:r>
        <w:rPr/>
        <w:t>​</w:t>
      </w:r>
    </w:p>
    <w:tbl>
      <w:tblPr>
        <w:tblW w:w="9098" w:type="dxa"/>
        <w:jc w:val="left"/>
        <w:tblInd w:w="0" w:type="dxa"/>
        <w:tblLayout w:type="fixed"/>
        <w:tblCellMar>
          <w:top w:w="0" w:type="dxa"/>
          <w:left w:w="0" w:type="dxa"/>
          <w:bottom w:w="0" w:type="dxa"/>
          <w:right w:w="0" w:type="dxa"/>
        </w:tblCellMar>
      </w:tblPr>
      <w:tblGrid>
        <w:gridCol w:w="3766"/>
        <w:gridCol w:w="346"/>
        <w:gridCol w:w="931"/>
        <w:gridCol w:w="346"/>
        <w:gridCol w:w="214"/>
        <w:gridCol w:w="582"/>
        <w:gridCol w:w="346"/>
        <w:gridCol w:w="1006"/>
        <w:gridCol w:w="346"/>
        <w:gridCol w:w="233"/>
        <w:gridCol w:w="982"/>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391410" cy="175260"/>
                      <wp:effectExtent l="0" t="0" r="0" b="0"/>
                      <wp:wrapNone/>
                      <wp:docPr id="103" name="Frame103"/>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5" name="Frame1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5890" cy="175260"/>
                      <wp:effectExtent l="0" t="0" r="0" b="0"/>
                      <wp:wrapNone/>
                      <wp:docPr id="107" name="Frame10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69570" cy="175260"/>
                      <wp:effectExtent l="0" t="0" r="0" b="0"/>
                      <wp:wrapNone/>
                      <wp:docPr id="108" name="Frame108"/>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38810" cy="175260"/>
                      <wp:effectExtent l="0" t="0" r="0" b="0"/>
                      <wp:wrapNone/>
                      <wp:docPr id="110" name="Frame11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7955" cy="175260"/>
                      <wp:effectExtent l="0" t="0" r="0" b="0"/>
                      <wp:wrapNone/>
                      <wp:docPr id="112" name="Frame11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23570" cy="175260"/>
                      <wp:effectExtent l="0" t="0" r="0" b="0"/>
                      <wp:wrapNone/>
                      <wp:docPr id="113" name="Frame113"/>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46" w:type="dxa"/>
            <w:tcBorders/>
            <w:vAlign w:val="center"/>
          </w:tcPr>
          <w:p>
            <w:pPr>
              <w:pStyle w:val="TableContents"/>
              <w:bidi w:val="0"/>
              <w:spacing w:before="0" w:after="0"/>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4,328,880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3,284,498</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(109,022)</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(202,363)</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7,301,993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115,100</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2,220,464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52,281</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7,301,993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115,100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weighted-average grant-date fair value of options granted during the six months ended June 30, 2026 and 2025, were $17.44 and $21.31 per share, respectively. The fair value was estimated using the Black-Scholes option-pricing model based on the following assumptions:</w:t>
      </w:r>
    </w:p>
    <w:p>
      <w:pPr>
        <w:pStyle w:val="TextBody"/>
        <w:bidi w:val="0"/>
        <w:spacing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2131"/>
        <w:gridCol w:w="346"/>
        <w:gridCol w:w="146"/>
        <w:gridCol w:w="1306"/>
        <w:gridCol w:w="346"/>
        <w:gridCol w:w="109"/>
        <w:gridCol w:w="1351"/>
      </w:tblGrid>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2710" cy="175260"/>
                      <wp:effectExtent l="0" t="0" r="0" b="0"/>
                      <wp:wrapNone/>
                      <wp:docPr id="115" name="Frame1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29310" cy="175260"/>
                      <wp:effectExtent l="0" t="0" r="0" b="0"/>
                      <wp:wrapNone/>
                      <wp:docPr id="116" name="Frame11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57885" cy="175260"/>
                      <wp:effectExtent l="0" t="0" r="0" b="0"/>
                      <wp:wrapNone/>
                      <wp:docPr id="119" name="Frame11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4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3.72% - 4.26%</w:t>
            </w:r>
          </w:p>
        </w:tc>
        <w:tc>
          <w:tcPr>
            <w:tcW w:w="34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3.92% - 4.37%</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5.5 - 6.1 years</w:t>
            </w:r>
          </w:p>
        </w:tc>
        <w:tc>
          <w:tcPr>
            <w:tcW w:w="3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5.5 - 6.1 years</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74.0% - 87.3%</w:t>
            </w:r>
          </w:p>
        </w:tc>
        <w:tc>
          <w:tcPr>
            <w:tcW w:w="34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97.2% - 98.3%</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Unrecognized compensation cost for awards not vested as of June 30, 2026 was $79.5 million and will be expensed over a weighted-average period of 3.04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82" w:type="dxa"/>
        <w:jc w:val="left"/>
        <w:tblInd w:w="0" w:type="dxa"/>
        <w:tblLayout w:type="fixed"/>
        <w:tblCellMar>
          <w:top w:w="0" w:type="dxa"/>
          <w:left w:w="0" w:type="dxa"/>
          <w:bottom w:w="0" w:type="dxa"/>
          <w:right w:w="0" w:type="dxa"/>
        </w:tblCellMar>
      </w:tblPr>
      <w:tblGrid>
        <w:gridCol w:w="346"/>
        <w:gridCol w:w="433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Contingencies, and Collaborations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entered into various license and collaboration agreements under which it is obligated to make contingent payments as described below.</w:t>
      </w:r>
    </w:p>
    <w:p>
      <w:pPr>
        <w:pStyle w:val="TextBody"/>
        <w:bidi w:val="0"/>
        <w:spacing w:before="0" w:after="0"/>
        <w:ind w:left="374" w:right="0" w:hanging="0"/>
        <w:jc w:val="left"/>
        <w:rPr>
          <w:rFonts w:ascii="Times New Roman;Times;serif" w:hAnsi="Times New Roman;Times;serif"/>
          <w:i/>
          <w:sz w:val="20"/>
        </w:rPr>
      </w:pPr>
      <w:r>
        <w:rPr>
          <w:rFonts w:ascii="Times New Roman;Times;serif" w:hAnsi="Times New Roman;Times;serif"/>
          <w:i/>
          <w:sz w:val="20"/>
        </w:rPr>
        <w:t>Allist</w:t>
      </w:r>
    </w:p>
    <w:p>
      <w:pPr>
        <w:pStyle w:val="TextBody"/>
        <w:bidi w:val="0"/>
        <w:spacing w:before="0" w:after="0"/>
        <w:ind w:left="374" w:right="0" w:hanging="0"/>
        <w:jc w:val="left"/>
        <w:rPr/>
      </w:pPr>
      <w:r>
        <w:rPr/>
        <w:t>​</w:t>
      </w:r>
    </w:p>
    <w:p>
      <w:pPr>
        <w:pStyle w:val="TextBody"/>
        <w:bidi w:val="0"/>
        <w:spacing w:lineRule="auto" w:line="300" w:before="0" w:after="0"/>
        <w:ind w:left="60" w:right="299" w:firstLine="324"/>
        <w:jc w:val="left"/>
        <w:rPr>
          <w:rFonts w:ascii="Times New Roman;Times;serif" w:hAnsi="Times New Roman;Times;serif"/>
          <w:sz w:val="20"/>
        </w:rPr>
      </w:pPr>
      <w:r>
        <w:rPr>
          <w:rFonts w:ascii="Times New Roman;Times;serif" w:hAnsi="Times New Roman;Times;serif"/>
          <w:sz w:val="20"/>
        </w:rPr>
        <w:t xml:space="preserve">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lineRule="auto" w:line="300" w:before="0" w:after="0"/>
        <w:ind w:left="60" w:right="299" w:hanging="0"/>
        <w:jc w:val="left"/>
        <w:rPr>
          <w:rFonts w:ascii="Times New Roman;Times;serif" w:hAnsi="Times New Roman;Times;serif"/>
          <w:sz w:val="20"/>
        </w:rPr>
      </w:pPr>
      <w:r>
        <w:rPr>
          <w:rFonts w:ascii="Times New Roman;Times;serif" w:hAnsi="Times New Roman;Times;serif"/>
          <w:sz w:val="20"/>
        </w:rPr>
        <w:t>licensed territory. Upon execution of the Allist Agreement, the Company paid Allist a non-refundable cash payment of $40.0 million and issued 1,276,250 shares of its common stock. The upfront payment and the fair value of the common stock issued was recorded to research and development expense in 2021.</w:t>
      </w:r>
    </w:p>
    <w:p>
      <w:pPr>
        <w:pStyle w:val="TextBody"/>
        <w:bidi w:val="0"/>
        <w:spacing w:lineRule="atLeast" w:line="187" w:before="0" w:after="0"/>
        <w:ind w:left="0" w:right="0" w:hanging="0"/>
        <w:jc w:val="left"/>
        <w:rPr/>
      </w:pPr>
      <w:r>
        <w:rPr/>
        <w:t>​</w:t>
      </w:r>
    </w:p>
    <w:p>
      <w:pPr>
        <w:pStyle w:val="TextBody"/>
        <w:bidi w:val="0"/>
        <w:spacing w:lineRule="auto" w:line="304" w:before="0" w:after="0"/>
        <w:ind w:left="60" w:right="299" w:firstLine="324"/>
        <w:jc w:val="left"/>
        <w:rPr>
          <w:rFonts w:ascii="Times New Roman;Times;serif" w:hAnsi="Times New Roman;Times;serif"/>
          <w:sz w:val="20"/>
        </w:rPr>
      </w:pPr>
      <w:r>
        <w:rPr>
          <w:rFonts w:ascii="Times New Roman;Times;serif" w:hAnsi="Times New Roman;Times;serif"/>
          <w:sz w:val="20"/>
        </w:rPr>
        <w:t>Under the Allist Agreement, upon the achievement of certain clinical, regulatory and commercial milestones using the licensed technology, the Company is obligated to make total milestone payments to Allist of up to $110.0 million in clinical and regulatory milestones and up to $655.0 million in commercial milestones. Furthermore, royalties, ranging from high single digit to low mid-teen percentages will be payable to Allist on net sales of licensed products in licensed territories.</w:t>
      </w:r>
    </w:p>
    <w:p>
      <w:pPr>
        <w:pStyle w:val="TextBody"/>
        <w:bidi w:val="0"/>
        <w:spacing w:lineRule="atLeast" w:line="180" w:before="0" w:after="0"/>
        <w:ind w:left="0" w:right="0" w:hanging="0"/>
        <w:jc w:val="left"/>
        <w:rPr/>
      </w:pPr>
      <w:r>
        <w:rPr/>
        <w:t>​</w:t>
      </w:r>
    </w:p>
    <w:p>
      <w:pPr>
        <w:pStyle w:val="TextBody"/>
        <w:bidi w:val="0"/>
        <w:spacing w:lineRule="auto" w:line="300" w:before="0" w:after="0"/>
        <w:ind w:left="60" w:right="79" w:firstLine="324"/>
        <w:jc w:val="left"/>
        <w:rPr>
          <w:rFonts w:ascii="Times New Roman;Times;serif" w:hAnsi="Times New Roman;Times;serif"/>
          <w:sz w:val="20"/>
        </w:rPr>
      </w:pPr>
      <w:r>
        <w:rPr>
          <w:rFonts w:ascii="Times New Roman;Times;serif" w:hAnsi="Times New Roman;Times;serif"/>
          <w:sz w:val="20"/>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The Company incurred cost reimbursements to Allist under the Clinical Collaboration of $1.5 million and $0.1 million for the three months ended June 30, 2026 and 2025, respectively, and $1.9 million and $0.6 million for the six months ended June 30, 2026 and 2025, respectively. These amounts were recorded as research and development expense. The Company also received cost reimbursements from Allist of $0.4 million and $0.2 million for the three months ended June 30, 2026 and 2025, respectively, and $0.7 million and $0.6 million for the six months ended June 30, 2026 and 2025, respectively. These amounts were recorded as a reduction of research and development expense. To date, the Company has incurred $10.0 million for the achievement of certain clinical milestones under the Allist Agreement. Through June 30, 2026, no additional milestones have been met or achieved, or are probable of achievement, subsequent to the milestones noted above.</w:t>
      </w:r>
    </w:p>
    <w:p>
      <w:pPr>
        <w:pStyle w:val="TextBody"/>
        <w:bidi w:val="0"/>
        <w:spacing w:before="0" w:after="240"/>
        <w:ind w:left="0" w:right="0" w:firstLine="360"/>
        <w:jc w:val="left"/>
        <w:rPr/>
      </w:pPr>
      <w:r>
        <w:rPr/>
        <w:t>​</w:t>
      </w:r>
    </w:p>
    <w:p>
      <w:pPr>
        <w:pStyle w:val="TextBody"/>
        <w:bidi w:val="0"/>
        <w:spacing w:before="0" w:after="0"/>
        <w:ind w:left="374" w:right="0" w:hanging="0"/>
        <w:jc w:val="left"/>
        <w:rPr>
          <w:rFonts w:ascii="Times New Roman;Times;serif" w:hAnsi="Times New Roman;Times;serif"/>
          <w:i/>
          <w:sz w:val="20"/>
        </w:rPr>
      </w:pPr>
      <w:r>
        <w:rPr>
          <w:rFonts w:ascii="Times New Roman;Times;serif" w:hAnsi="Times New Roman;Times;serif"/>
          <w:i/>
          <w:sz w:val="20"/>
        </w:rPr>
        <w:t>Alphamab</w:t>
      </w:r>
    </w:p>
    <w:p>
      <w:pPr>
        <w:pStyle w:val="TextBody"/>
        <w:bidi w:val="0"/>
        <w:spacing w:lineRule="atLeast" w:line="227" w:before="0" w:after="0"/>
        <w:ind w:left="0" w:right="0" w:hanging="0"/>
        <w:jc w:val="left"/>
        <w:rPr/>
      </w:pPr>
      <w:r>
        <w:rPr/>
        <w:t>​</w:t>
      </w:r>
    </w:p>
    <w:p>
      <w:pPr>
        <w:pStyle w:val="TextBody"/>
        <w:bidi w:val="0"/>
        <w:spacing w:lineRule="auto" w:line="314" w:before="0" w:after="0"/>
        <w:ind w:left="60" w:right="179" w:firstLine="324"/>
        <w:jc w:val="left"/>
        <w:rPr>
          <w:rFonts w:ascii="Times New Roman;Times;serif" w:hAnsi="Times New Roman;Times;serif"/>
          <w:sz w:val="20"/>
        </w:rPr>
      </w:pPr>
      <w:r>
        <w:rPr>
          <w:rFonts w:ascii="Times New Roman;Times;serif" w:hAnsi="Times New Roman;Times;serif"/>
          <w:sz w:val="20"/>
        </w:rPr>
        <w:t>In June 2024, the Company entered into a collaboration agreement with Jiangsu Alphamab Biopharmaceuticals Co., Ltd. (“Alphamab”) to discover, develop and commercialize novel antibody drug conjugates (“ADCs”) for the treatment of cancers (“Alphamab Agreement”).</w:t>
      </w:r>
    </w:p>
    <w:p>
      <w:pPr>
        <w:pStyle w:val="TextBody"/>
        <w:bidi w:val="0"/>
        <w:spacing w:lineRule="atLeast" w:line="176" w:before="0" w:after="0"/>
        <w:ind w:left="0" w:right="0" w:hanging="0"/>
        <w:jc w:val="left"/>
        <w:rPr/>
      </w:pPr>
      <w:r>
        <w:rPr/>
        <w:t>​</w:t>
      </w:r>
    </w:p>
    <w:p>
      <w:pPr>
        <w:pStyle w:val="TextBody"/>
        <w:bidi w:val="0"/>
        <w:spacing w:lineRule="auto" w:line="331" w:before="0" w:after="0"/>
        <w:ind w:left="60" w:right="199" w:firstLine="324"/>
        <w:jc w:val="left"/>
        <w:rPr>
          <w:rFonts w:ascii="Times New Roman;Times;serif" w:hAnsi="Times New Roman;Times;serif"/>
          <w:sz w:val="20"/>
        </w:rPr>
      </w:pPr>
      <w:r>
        <w:rPr>
          <w:rFonts w:ascii="Times New Roman;Times;serif" w:hAnsi="Times New Roman;Times;serif"/>
          <w:sz w:val="20"/>
        </w:rPr>
        <w:t>Under the Alphamab Agreement, both companies seek to leverage Alphamab’s proprietary linker-payload platform and glycan-conjugation technology to identify novel ADCs for oncology indications. The Alphamab Agreement gives the Company exclusive rights to develop and commercialize ADCs globally, except Greater China, where Alphamab retains the right to develop and commercialize the ADCs.</w:t>
      </w:r>
    </w:p>
    <w:p>
      <w:pPr>
        <w:pStyle w:val="TextBody"/>
        <w:bidi w:val="0"/>
        <w:spacing w:lineRule="atLeast" w:line="164" w:before="0" w:after="0"/>
        <w:ind w:left="0" w:right="0" w:hanging="0"/>
        <w:jc w:val="left"/>
        <w:rPr/>
      </w:pPr>
      <w:r>
        <w:rPr/>
        <w:t>​</w:t>
      </w:r>
    </w:p>
    <w:p>
      <w:pPr>
        <w:pStyle w:val="TextBody"/>
        <w:bidi w:val="0"/>
        <w:spacing w:lineRule="auto" w:line="304" w:before="0" w:after="0"/>
        <w:ind w:left="60" w:right="159" w:firstLine="324"/>
        <w:jc w:val="left"/>
        <w:rPr>
          <w:rFonts w:ascii="Times New Roman;Times;serif" w:hAnsi="Times New Roman;Times;serif"/>
          <w:sz w:val="20"/>
        </w:rPr>
      </w:pPr>
      <w:r>
        <w:rPr>
          <w:rFonts w:ascii="Times New Roman;Times;serif" w:hAnsi="Times New Roman;Times;serif"/>
          <w:sz w:val="20"/>
        </w:rPr>
        <w:t>The terms of the Alphamab Agreement include combined total upfront and potential milestone payments to Alphamab of up to $201.5 million based on the achievement of certain regulatory and development milestones, and up to $414.0 million based on the achievement of certain commercial milestones. In addition, Alphamab is entitled to receive tiered sales royalties, ranging from low single digit to mid-single digit percentages, from the Company for net sales of each ADC product.</w:t>
      </w:r>
    </w:p>
    <w:p>
      <w:pPr>
        <w:pStyle w:val="TextBody"/>
        <w:bidi w:val="0"/>
        <w:spacing w:lineRule="atLeast" w:line="180" w:before="0" w:after="0"/>
        <w:ind w:left="0" w:right="0" w:hanging="0"/>
        <w:jc w:val="left"/>
        <w:rPr/>
      </w:pPr>
      <w:r>
        <w:rPr/>
        <w:t>​</w:t>
      </w:r>
    </w:p>
    <w:p>
      <w:pPr>
        <w:pStyle w:val="TextBody"/>
        <w:bidi w:val="0"/>
        <w:spacing w:lineRule="auto" w:line="304" w:before="0" w:after="0"/>
        <w:ind w:left="60" w:right="59" w:firstLine="324"/>
        <w:jc w:val="left"/>
        <w:rPr>
          <w:rFonts w:ascii="Times New Roman;Times;serif" w:hAnsi="Times New Roman;Times;serif"/>
          <w:sz w:val="20"/>
        </w:rPr>
      </w:pPr>
      <w:r>
        <w:rPr>
          <w:rFonts w:ascii="Times New Roman;Times;serif" w:hAnsi="Times New Roman;Times;serif"/>
          <w:sz w:val="20"/>
        </w:rPr>
        <w:t>The upfront payment was recorded to research and development expense during the year ended December 31, 2024. During the three and six months ended June 30, 2025, the Company incurred $0.1 million in cost reimbursements to Alphamab under the Alphamab Agreement which have been recorded as research and development expense. During the three and six months ended June 30, 2026, the Company incurred $1.9 million and $3.8 million in cost reimbursements, respectively, to Alphamab. During the six months ended June 30, 2025, the Company paid $1.2 million upon the approval of each target pair selection for a total of $2.4 million, which was also included in research and development expense. Through June 30, 2026, no additional milestones have been met or achieved, or are probable of achievement, subsequent to the milestones noted above.</w:t>
      </w:r>
    </w:p>
    <w:p>
      <w:pPr>
        <w:pStyle w:val="TextBody"/>
        <w:shd w:fill="FFFFFF" w:val="clear"/>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374" w:right="0" w:hanging="0"/>
        <w:jc w:val="left"/>
        <w:rPr>
          <w:rFonts w:ascii="Times New Roman;Times;serif" w:hAnsi="Times New Roman;Times;serif"/>
          <w:i/>
          <w:sz w:val="20"/>
        </w:rPr>
      </w:pPr>
      <w:r>
        <w:rPr>
          <w:rFonts w:ascii="Times New Roman;Times;serif" w:hAnsi="Times New Roman;Times;serif"/>
          <w:i/>
          <w:sz w:val="20"/>
        </w:rPr>
        <w:t>Aarvik</w:t>
      </w:r>
    </w:p>
    <w:p>
      <w:pPr>
        <w:pStyle w:val="TextBody"/>
        <w:bidi w:val="0"/>
        <w:spacing w:lineRule="atLeast" w:line="227" w:before="0" w:after="0"/>
        <w:ind w:left="0" w:right="0" w:hanging="0"/>
        <w:jc w:val="left"/>
        <w:rPr/>
      </w:pPr>
      <w:r>
        <w:rPr/>
        <w:t>​</w:t>
      </w:r>
    </w:p>
    <w:p>
      <w:pPr>
        <w:pStyle w:val="TextBody"/>
        <w:bidi w:val="0"/>
        <w:spacing w:lineRule="auto" w:line="300" w:before="0" w:after="0"/>
        <w:ind w:left="60" w:right="79" w:firstLine="324"/>
        <w:jc w:val="left"/>
        <w:rPr>
          <w:rFonts w:ascii="Times New Roman;Times;serif" w:hAnsi="Times New Roman;Times;serif"/>
          <w:sz w:val="20"/>
        </w:rPr>
      </w:pPr>
      <w:r>
        <w:rPr>
          <w:rFonts w:ascii="Times New Roman;Times;serif" w:hAnsi="Times New Roman;Times;serif"/>
          <w:sz w:val="20"/>
        </w:rPr>
        <w:t>In December 2021, the Company entered into a Research Collaboration Agreement, as amended, effective June 30, 2023 (the “Aarvik Collaboration Agreement”), with Aarvik Pharmaceuticals, Inc. (“Aarvik”), under which the Company has entered into various statements of work (“SOWs”).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In August 2024, the Company paid $1.0 million to exercise that option, and as a result is now obligated to pay up to $18.0 million per product upon the achievement of certain clinical and regulatory milestone events and up to $80.0 million per product in commercial milestones. Additionally, the Company is obligated to pay Aarvik royalties in the mid-single digits based on net sales of licensed products.</w:t>
      </w:r>
    </w:p>
    <w:p>
      <w:pPr>
        <w:pStyle w:val="TextBody"/>
        <w:bidi w:val="0"/>
        <w:spacing w:lineRule="atLeast" w:line="194" w:before="0" w:after="0"/>
        <w:ind w:left="0" w:right="0" w:hanging="0"/>
        <w:jc w:val="left"/>
        <w:rPr/>
      </w:pPr>
      <w:r>
        <w:rPr/>
        <w:t>​</w:t>
      </w:r>
    </w:p>
    <w:p>
      <w:pPr>
        <w:pStyle w:val="TextBody"/>
        <w:bidi w:val="0"/>
        <w:spacing w:lineRule="auto" w:line="304" w:before="0" w:after="0"/>
        <w:ind w:left="60" w:right="59" w:firstLine="324"/>
        <w:jc w:val="left"/>
        <w:rPr>
          <w:rFonts w:ascii="Times New Roman;Times;serif" w:hAnsi="Times New Roman;Times;serif"/>
          <w:sz w:val="20"/>
        </w:rPr>
      </w:pPr>
      <w:r>
        <w:rPr>
          <w:rFonts w:ascii="Times New Roman;Times;serif" w:hAnsi="Times New Roman;Times;serif"/>
          <w:sz w:val="20"/>
        </w:rPr>
        <w:t>On August 9, 2024, the Company entered into an amendment and restatement of the Aarvik Collaboration Agreement, as amended on July 2, 2025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 (i) the two agreed targets to which the compounds developed under the collaboration bind, and (ii) the acquisition of exclusive rights to certain intellectual property generated during the collaboration. ARR-002, a novel tetravalent MUC16/NaPi2b targeting ADC, was discovered through the collaboration with Aarvik.</w:t>
      </w:r>
    </w:p>
    <w:p>
      <w:pPr>
        <w:pStyle w:val="TextBody"/>
        <w:bidi w:val="0"/>
        <w:spacing w:lineRule="atLeast" w:line="190" w:before="0" w:after="0"/>
        <w:ind w:left="0" w:right="0" w:hanging="0"/>
        <w:jc w:val="left"/>
        <w:rPr/>
      </w:pPr>
      <w:r>
        <w:rPr/>
        <w:t>​</w:t>
      </w:r>
    </w:p>
    <w:p>
      <w:pPr>
        <w:pStyle w:val="TextBody"/>
        <w:bidi w:val="0"/>
        <w:spacing w:lineRule="auto" w:line="304" w:before="0" w:after="0"/>
        <w:ind w:left="60" w:right="499" w:firstLine="324"/>
        <w:jc w:val="left"/>
        <w:rPr>
          <w:rFonts w:ascii="Times New Roman;Times;serif" w:hAnsi="Times New Roman;Times;serif"/>
          <w:sz w:val="20"/>
        </w:rPr>
      </w:pPr>
      <w:r>
        <w:rPr>
          <w:rFonts w:ascii="Times New Roman;Times;serif" w:hAnsi="Times New Roman;Times;serif"/>
          <w:sz w:val="20"/>
        </w:rPr>
        <w:t>The Company incurred $0.2 million and $0.3 million, respectively, in research and development expenses related to the Aarvik SOWs during the three and six months ended June 30, 2025. The Company incurred $0.1 million in research and development expenses related to the Aarvik SOWs during the three and six months ended June 30, 2026. Through June 30, 2026, no milestones have been met or achieved, or are probable of achievement, since the inception of the Aarvik Collaboration Agreement.</w:t>
      </w:r>
    </w:p>
    <w:p>
      <w:pPr>
        <w:pStyle w:val="TextBody"/>
        <w:bidi w:val="0"/>
        <w:spacing w:lineRule="auto" w:line="304" w:before="0" w:after="0"/>
        <w:ind w:left="60" w:right="499" w:firstLine="324"/>
        <w:jc w:val="left"/>
        <w:rPr/>
      </w:pPr>
      <w:r>
        <w:rPr/>
        <w:t>​</w:t>
      </w:r>
    </w:p>
    <w:p>
      <w:pPr>
        <w:pStyle w:val="TextBody"/>
        <w:bidi w:val="0"/>
        <w:spacing w:lineRule="auto" w:line="304" w:before="0" w:after="0"/>
        <w:ind w:left="60" w:right="499" w:firstLine="324"/>
        <w:jc w:val="left"/>
        <w:rPr>
          <w:rFonts w:ascii="Times New Roman;Times;serif" w:hAnsi="Times New Roman;Times;serif"/>
          <w:i/>
          <w:sz w:val="20"/>
        </w:rPr>
      </w:pPr>
      <w:r>
        <w:rPr>
          <w:rFonts w:ascii="Times New Roman;Times;serif" w:hAnsi="Times New Roman;Times;serif"/>
          <w:i/>
          <w:sz w:val="20"/>
        </w:rPr>
        <w:t>Lepu</w:t>
      </w:r>
    </w:p>
    <w:p>
      <w:pPr>
        <w:pStyle w:val="TextBody"/>
        <w:bidi w:val="0"/>
        <w:spacing w:lineRule="auto" w:line="304" w:before="0" w:after="0"/>
        <w:ind w:left="60" w:right="499" w:firstLine="324"/>
        <w:jc w:val="left"/>
        <w:rPr/>
      </w:pPr>
      <w:r>
        <w:rPr/>
        <w:t>​</w:t>
      </w:r>
    </w:p>
    <w:p>
      <w:pPr>
        <w:pStyle w:val="TextBody"/>
        <w:bidi w:val="0"/>
        <w:spacing w:lineRule="auto" w:line="304" w:before="0" w:after="0"/>
        <w:ind w:left="60" w:right="119" w:firstLine="324"/>
        <w:jc w:val="left"/>
        <w:rPr>
          <w:rFonts w:ascii="Times New Roman;Times;serif" w:hAnsi="Times New Roman;Times;serif"/>
          <w:sz w:val="20"/>
        </w:rPr>
      </w:pPr>
      <w:r>
        <w:rPr>
          <w:rFonts w:ascii="Times New Roman;Times;serif" w:hAnsi="Times New Roman;Times;serif"/>
          <w:sz w:val="20"/>
        </w:rPr>
        <w:t>On January 21, 2025, the Company entered into an Exclusive License Agreement (the “Lepu Biopharma Agreement”) with Lepu Biopharma Co., Ltd. (“Lepu”), pursuant to which Lepu granted the Company a right to develop and commercialize ARR-217, an ADC for gastrointestinal cancers outside Greater China.</w:t>
      </w:r>
    </w:p>
    <w:p>
      <w:pPr>
        <w:pStyle w:val="TextBody"/>
        <w:bidi w:val="0"/>
        <w:spacing w:lineRule="atLeast" w:line="180" w:before="0" w:after="0"/>
        <w:ind w:left="0" w:right="0" w:hanging="0"/>
        <w:jc w:val="left"/>
        <w:rPr/>
      </w:pPr>
      <w:r>
        <w:rPr/>
        <w:t>​</w:t>
      </w:r>
    </w:p>
    <w:p>
      <w:pPr>
        <w:pStyle w:val="TextBody"/>
        <w:bidi w:val="0"/>
        <w:spacing w:lineRule="auto" w:line="300" w:before="0" w:after="0"/>
        <w:ind w:left="60" w:right="99" w:firstLine="324"/>
        <w:jc w:val="left"/>
        <w:rPr>
          <w:rFonts w:ascii="Times New Roman;Times;serif" w:hAnsi="Times New Roman;Times;serif"/>
          <w:sz w:val="20"/>
        </w:rPr>
      </w:pPr>
      <w:r>
        <w:rPr>
          <w:rFonts w:ascii="Times New Roman;Times;serif" w:hAnsi="Times New Roman;Times;serif"/>
          <w:sz w:val="20"/>
        </w:rPr>
        <w:t>Under the Lepu Biopharma Agreement, Lepu granted to the Company: (i) an exclusive, royalty-bearing, sublicensable license under certain intellectual property owned or controlled by Lepu, to develop, manufacture and commercialize any product containing ARR-217 for all uses in all countries and territories other than Greater China (the “ArriVent Territory”); and (ii) a non-exclusive license under certain intellectual property controlled by Lepu to develop, manufacture and commercialize any product containing ARR-217 for use in oncology in the ArriVent Territory. Under the Lepu Biopharma Agreement, the Company paid Lepu a one-time upfront payment of $40.0 million which was included in research and development expense. Lepu is eligible to receive total milestone payments of up to $0.28 billion in development and regulatory milestones, and up to $0.89 billion in commercial milestones, and tiered royalties in high single-digit to low-teen percentages on net sales in the ArriVent Territory.</w:t>
      </w:r>
    </w:p>
    <w:p>
      <w:pPr>
        <w:pStyle w:val="TextBody"/>
        <w:bidi w:val="0"/>
        <w:spacing w:lineRule="auto" w:line="300" w:before="0" w:after="0"/>
        <w:ind w:left="60" w:right="99" w:firstLine="324"/>
        <w:jc w:val="left"/>
        <w:rPr/>
      </w:pPr>
      <w:r>
        <w:rPr/>
        <w:t>​</w:t>
      </w:r>
    </w:p>
    <w:p>
      <w:pPr>
        <w:pStyle w:val="TextBody"/>
        <w:bidi w:val="0"/>
        <w:spacing w:lineRule="auto" w:line="302" w:before="0" w:after="0"/>
        <w:ind w:left="60" w:right="499" w:firstLine="324"/>
        <w:jc w:val="left"/>
        <w:rPr>
          <w:rFonts w:ascii="Times New Roman;Times;serif" w:hAnsi="Times New Roman;Times;serif"/>
          <w:sz w:val="20"/>
        </w:rPr>
      </w:pPr>
      <w:r>
        <w:rPr>
          <w:rFonts w:ascii="Times New Roman;Times;serif" w:hAnsi="Times New Roman;Times;serif"/>
          <w:sz w:val="20"/>
        </w:rPr>
        <w:t xml:space="preserve">During the three months ended June 30, 2025, the Company paid $1.0 million to Lepu for the achievement of the first developmental milestone under the Lepu Biopharma Agreement as it became probable of achievement during the second quarter. During the six months ended June 30, 2026, Lepu earned $12.0 million developmental milestone payments, of which $6.0 million has been paid as of June 30, 2026. Through June 30, 2026, no additional milestones have been met or achieved, or are probable of achievement, subsequent to the milestones noted above.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lineRule="auto" w:line="304" w:before="0" w:after="0"/>
        <w:ind w:left="60" w:right="499" w:firstLine="324"/>
        <w:jc w:val="left"/>
        <w:rPr>
          <w:rFonts w:ascii="Times New Roman;Times;serif" w:hAnsi="Times New Roman;Times;serif"/>
          <w:sz w:val="20"/>
        </w:rPr>
      </w:pPr>
      <w:r>
        <w:rPr>
          <w:rFonts w:ascii="Times New Roman;Times;serif" w:hAnsi="Times New Roman;Times;serif"/>
          <w:sz w:val="20"/>
        </w:rPr>
        <w:t>During the three and six months ended June 30, 2026, the Company incurred an additional $2.3 million and $3.3 million, respectively, in research and development expenses related to the Lepu Biopharma Agreement, compared to $0.2 million for both the three and six months ended June 30, 2025.</w:t>
      </w:r>
    </w:p>
    <w:p>
      <w:pPr>
        <w:pStyle w:val="TextBody"/>
        <w:bidi w:val="0"/>
        <w:spacing w:before="0" w:after="240"/>
        <w:ind w:left="0" w:right="0" w:hanging="0"/>
        <w:jc w:val="left"/>
        <w:rPr/>
      </w:pPr>
      <w:r>
        <w:rPr/>
        <w:t>​</w:t>
      </w:r>
    </w:p>
    <w:tbl>
      <w:tblPr>
        <w:tblW w:w="2297" w:type="dxa"/>
        <w:jc w:val="left"/>
        <w:tblInd w:w="0" w:type="dxa"/>
        <w:tblLayout w:type="fixed"/>
        <w:tblCellMar>
          <w:top w:w="0" w:type="dxa"/>
          <w:left w:w="0" w:type="dxa"/>
          <w:bottom w:w="0" w:type="dxa"/>
          <w:right w:w="0" w:type="dxa"/>
        </w:tblCellMar>
      </w:tblPr>
      <w:tblGrid>
        <w:gridCol w:w="346"/>
        <w:gridCol w:w="195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9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lineRule="auto" w:line="304" w:before="0" w:after="0"/>
        <w:ind w:left="60" w:right="159" w:firstLine="324"/>
        <w:jc w:val="left"/>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and operating segment: life science. The life science segment is engaged in identifying, licensing and globalizing top biopharma innovations from around the world to deliver important medicines to patients. The Company’s chief operating decision maker (“CODM”) is the chief executive officer.</w:t>
      </w:r>
    </w:p>
    <w:p>
      <w:pPr>
        <w:pStyle w:val="TextBody"/>
        <w:bidi w:val="0"/>
        <w:spacing w:lineRule="atLeast" w:line="183" w:before="0" w:after="0"/>
        <w:ind w:left="0" w:right="0" w:hanging="0"/>
        <w:jc w:val="left"/>
        <w:rPr/>
      </w:pPr>
      <w:r>
        <w:rPr/>
        <w:t>​</w:t>
      </w:r>
    </w:p>
    <w:p>
      <w:pPr>
        <w:pStyle w:val="TextBody"/>
        <w:bidi w:val="0"/>
        <w:spacing w:lineRule="auto" w:line="307" w:before="0" w:after="0"/>
        <w:ind w:left="60" w:right="79" w:firstLine="324"/>
        <w:jc w:val="left"/>
        <w:rPr>
          <w:rFonts w:ascii="Times New Roman;Times;serif" w:hAnsi="Times New Roman;Times;serif"/>
          <w:sz w:val="20"/>
        </w:rPr>
      </w:pPr>
      <w:r>
        <w:rPr>
          <w:rFonts w:ascii="Times New Roman;Times;serif" w:hAnsi="Times New Roman;Times;serif"/>
          <w:sz w:val="20"/>
        </w:rPr>
        <w:t>The accounting policies of the life science segment are the same as those described in the summary of significant accounting policies. The CODM assesses performance for the life science segment based on net loss, which is reported on the condensed statement of operations and comprehensive loss. The measure of segment assets is reported on the balance sheet as total assets. All the Company’s assets are located in the United States.</w:t>
      </w:r>
    </w:p>
    <w:p>
      <w:pPr>
        <w:pStyle w:val="TextBody"/>
        <w:bidi w:val="0"/>
        <w:spacing w:lineRule="atLeast" w:line="180" w:before="0" w:after="0"/>
        <w:ind w:left="0" w:right="0" w:hanging="0"/>
        <w:jc w:val="left"/>
        <w:rPr/>
      </w:pPr>
      <w:r>
        <w:rPr/>
        <w:t>​</w:t>
      </w:r>
    </w:p>
    <w:p>
      <w:pPr>
        <w:pStyle w:val="TextBody"/>
        <w:bidi w:val="0"/>
        <w:spacing w:lineRule="auto" w:line="314" w:before="0" w:after="0"/>
        <w:ind w:left="60" w:right="279" w:firstLine="324"/>
        <w:jc w:val="left"/>
        <w:rPr>
          <w:rFonts w:ascii="Times New Roman;Times;serif" w:hAnsi="Times New Roman;Times;serif"/>
          <w:sz w:val="20"/>
        </w:rPr>
      </w:pPr>
      <w:r>
        <w:rPr>
          <w:rFonts w:ascii="Times New Roman;Times;serif" w:hAnsi="Times New Roman;Times;serif"/>
          <w:sz w:val="20"/>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seeks regulatory approval.</w:t>
      </w:r>
    </w:p>
    <w:p>
      <w:pPr>
        <w:pStyle w:val="TextBody"/>
        <w:bidi w:val="0"/>
        <w:spacing w:lineRule="atLeast" w:line="176" w:before="0" w:after="0"/>
        <w:ind w:left="0" w:right="0" w:hanging="0"/>
        <w:jc w:val="left"/>
        <w:rPr/>
      </w:pPr>
      <w:r>
        <w:rPr/>
        <w:t>​</w:t>
      </w:r>
    </w:p>
    <w:p>
      <w:pPr>
        <w:pStyle w:val="TextBody"/>
        <w:bidi w:val="0"/>
        <w:spacing w:lineRule="auto" w:line="304" w:before="0" w:after="0"/>
        <w:ind w:left="60" w:right="339" w:firstLine="324"/>
        <w:jc w:val="left"/>
        <w:rPr>
          <w:rFonts w:ascii="Times New Roman;Times;serif" w:hAnsi="Times New Roman;Times;serif"/>
          <w:sz w:val="20"/>
        </w:rPr>
      </w:pPr>
      <w:r>
        <w:rPr>
          <w:rFonts w:ascii="Times New Roman;Times;serif" w:hAnsi="Times New Roman;Times;serif"/>
          <w:sz w:val="20"/>
        </w:rPr>
        <w:t>As such, the CODM uses cash forecast models in deciding how to invest into the life science segment. Such cash forecast models are reviewed to assess the entity-wide operating results and performance. Net loss is used to monitor budget versus actual results. Monitoring budgeted versus actual results is used in assessing performance of the segment, establishing cash forecast models and to optimize the distribution of resources across functions, therapeutic areas and research and development programs.</w:t>
      </w:r>
    </w:p>
    <w:p>
      <w:pPr>
        <w:pStyle w:val="TextBody"/>
        <w:bidi w:val="0"/>
        <w:spacing w:lineRule="atLeast" w:line="183"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firstLine="360"/>
        <w:jc w:val="left"/>
        <w:rPr>
          <w:rFonts w:ascii="Times New Roman;Times;serif" w:hAnsi="Times New Roman;Times;serif"/>
          <w:sz w:val="20"/>
        </w:rPr>
      </w:pPr>
      <w:bookmarkStart w:id="868" w:name="Tc_HROGjsXpaESGCtK00_QxIQ_16_11"/>
      <w:bookmarkStart w:id="869" w:name="Tc_sclBtRhRO0Wd-cXm6zGElA_16_8"/>
      <w:bookmarkStart w:id="870" w:name="Tc_7CFWQdXRq0qvb91aaLzZCw_16_5"/>
      <w:bookmarkStart w:id="871" w:name="Tc_YmQuyiEIz0CEuM0kcJzCVA_16_2"/>
      <w:bookmarkStart w:id="872" w:name="Tc_OoS8eWwzA0aA2AA5jKHKqg_16_0"/>
      <w:bookmarkStart w:id="873" w:name="Tc_fYoOjoPG0UGHN1hGdbBH3A_15_0"/>
      <w:bookmarkStart w:id="874" w:name="Tc_XpOaQMZTmE6UqJSAQ_VsYA_14_0"/>
      <w:bookmarkStart w:id="875" w:name="Tc_Xxnw3iNVmkyYtUY0n--XUA_13_0"/>
      <w:bookmarkStart w:id="876" w:name="Tc_nZkLB_AIPUKs4TENGeeqzg_12_0"/>
      <w:bookmarkStart w:id="877" w:name="Tc_85EMT5Sb7k2DiIgZKWQ94A_11_0"/>
      <w:bookmarkStart w:id="878" w:name="Tc_W7t57DwDskysFdZjIPM8Ow_10_0"/>
      <w:bookmarkStart w:id="879" w:name="Tc_tiaXo3JUXU2H9JvcP-w3-w_9_0"/>
      <w:bookmarkStart w:id="880" w:name="Tc_qDsq7L6RWUmbDd2_aVdP0w_8_0"/>
      <w:bookmarkStart w:id="881" w:name="Tc_wf8i4DGdMUScdl0h0uY9vg_7_0"/>
      <w:bookmarkStart w:id="882" w:name="Tc_ghkD3Q-OMkufoOXN4BCwPw_6_11"/>
      <w:bookmarkStart w:id="883" w:name="Tc_xKHn4soosU-mECWyNmVkCA_6_8"/>
      <w:bookmarkStart w:id="884" w:name="Tc_CrOum5rltke3x3yilwv-Tg_6_5"/>
      <w:bookmarkStart w:id="885" w:name="Tc_pVSn3b7x9Uy-9g7r_AxG3A_6_2"/>
      <w:bookmarkStart w:id="886" w:name="Tc_F0s0V6sbqUCNtESkHfCV4g_6_0"/>
      <w:bookmarkStart w:id="887" w:name="Tc_cnjaCgms3kCfxfOMfD7pyw_5_0"/>
      <w:bookmarkStart w:id="888" w:name="Tc_8X6XjB12L0yYkxhIPiVsFA_4_0"/>
      <w:bookmarkStart w:id="889" w:name="Tc_h9nxa9WjuUGKucQb-OkGnQ_3_11"/>
      <w:bookmarkStart w:id="890" w:name="Tc_Z2cHMDidrEyoj6yfrP1T1w_3_8"/>
      <w:bookmarkStart w:id="891" w:name="Tc_wIBl6O1N3Um0rx-a5It_yQ_3_5"/>
      <w:bookmarkStart w:id="892" w:name="Tc_ml0DVmoic0-vWi8W5ONqTA_3_2"/>
      <w:bookmarkStart w:id="893" w:name="Tc_sV2bOwkeI06nsL1M3Hn1IA_3_0"/>
      <w:bookmarkStart w:id="894" w:name="Tc_hEgyHKNxNUOXwVxj9ZMpig_2_8"/>
      <w:bookmarkStart w:id="895" w:name="Tc_AUjMbwfZXUaIcNYDxza79g_2_2"/>
      <w:bookmarkStart w:id="896" w:name="Tc_P7ESStTHUEuRVRxNlkbnBg_1_8"/>
      <w:bookmarkStart w:id="897" w:name="Tc_94oYVqzN60q-KbwrjKcxKw_1_2"/>
      <w:bookmarkStart w:id="898" w:name="_9c247e4b_4771_4b1e_999c_3f8db00565a4"/>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Pr>
          <w:rFonts w:ascii="Times New Roman;Times;serif" w:hAnsi="Times New Roman;Times;serif"/>
          <w:sz w:val="20"/>
        </w:rPr>
        <w:t>The table below summarizes the significant expense categories regularly provided to the CODM for the three and six months ended June 30, 2026 and 2025:</w:t>
      </w:r>
    </w:p>
    <w:p>
      <w:pPr>
        <w:pStyle w:val="TextBody"/>
        <w:bidi w:val="0"/>
        <w:spacing w:before="0" w:after="0"/>
        <w:ind w:left="374" w:right="0" w:hanging="0"/>
        <w:jc w:val="left"/>
        <w:rPr/>
      </w:pPr>
      <w:r>
        <w:rPr/>
        <w:t>​</w:t>
      </w:r>
    </w:p>
    <w:p>
      <w:pPr>
        <w:pStyle w:val="TextBody"/>
        <w:bidi w:val="0"/>
        <w:spacing w:before="0" w:after="0"/>
        <w:ind w:left="3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78"/>
        <w:gridCol w:w="109"/>
        <w:gridCol w:w="211"/>
        <w:gridCol w:w="684"/>
        <w:gridCol w:w="346"/>
        <w:gridCol w:w="211"/>
        <w:gridCol w:w="684"/>
        <w:gridCol w:w="346"/>
        <w:gridCol w:w="211"/>
        <w:gridCol w:w="684"/>
        <w:gridCol w:w="346"/>
        <w:gridCol w:w="211"/>
        <w:gridCol w:w="784"/>
      </w:tblGrid>
      <w:tr>
        <w:trPr/>
        <w:tc>
          <w:tcPr>
            <w:tcW w:w="5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415030" cy="175260"/>
                      <wp:effectExtent l="0" t="0" r="0" b="0"/>
                      <wp:wrapNone/>
                      <wp:docPr id="120" name="Frame120"/>
                      <a:graphic xmlns:a="http://schemas.openxmlformats.org/drawingml/2006/main">
                        <a:graphicData uri="http://schemas.microsoft.com/office/word/2010/wordprocessingShape">
                          <wps:wsp>
                            <wps:cNvSpPr txBox="1"/>
                            <wps:spPr>
                              <a:xfrm>
                                <a:off x="0" y="0"/>
                                <a:ext cx="3415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4340" cy="175260"/>
                      <wp:effectExtent l="0" t="0" r="0" b="0"/>
                      <wp:wrapNone/>
                      <wp:docPr id="123" name="Frame12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34340" cy="175260"/>
                      <wp:effectExtent l="0" t="0" r="0" b="0"/>
                      <wp:wrapNone/>
                      <wp:docPr id="126" name="Frame12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4340" cy="175260"/>
                      <wp:effectExtent l="0" t="0" r="0" b="0"/>
                      <wp:wrapNone/>
                      <wp:docPr id="129" name="Frame129"/>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97840" cy="175260"/>
                      <wp:effectExtent l="0" t="0" r="0" b="0"/>
                      <wp:wrapNone/>
                      <wp:docPr id="132" name="Frame132"/>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78"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21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378"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21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3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5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Firmonertinib (excluding personnel-related and other internal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5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5,443</w:t>
            </w:r>
          </w:p>
        </w:tc>
      </w:tr>
      <w:tr>
        <w:trPr/>
        <w:tc>
          <w:tcPr>
            <w:tcW w:w="5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FAVOUR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5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 Trials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19,235</w:t>
            </w:r>
          </w:p>
        </w:tc>
      </w:tr>
      <w:tr>
        <w:trPr/>
        <w:tc>
          <w:tcPr>
            <w:tcW w:w="5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Firmonertinib costs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6,034</w:t>
            </w:r>
          </w:p>
        </w:tc>
      </w:tr>
      <w:tr>
        <w:trPr/>
        <w:tc>
          <w:tcPr>
            <w:tcW w:w="5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Firmonertinib</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30,785</w:t>
            </w:r>
          </w:p>
        </w:tc>
      </w:tr>
      <w:tr>
        <w:trPr/>
        <w:tc>
          <w:tcPr>
            <w:tcW w:w="5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Early-stage programs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44,606</w:t>
            </w:r>
          </w:p>
        </w:tc>
      </w:tr>
      <w:tr>
        <w:trPr/>
        <w:tc>
          <w:tcPr>
            <w:tcW w:w="5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Personnel-related and other internal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13,617</w:t>
            </w:r>
          </w:p>
        </w:tc>
      </w:tr>
      <w:tr>
        <w:trPr/>
        <w:tc>
          <w:tcPr>
            <w:tcW w:w="5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Personnel-related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6,792</w:t>
            </w:r>
          </w:p>
        </w:tc>
      </w:tr>
      <w:tr>
        <w:trPr/>
        <w:tc>
          <w:tcPr>
            <w:tcW w:w="5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Other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5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items (a)</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w:t>
            </w:r>
          </w:p>
        </w:tc>
      </w:tr>
      <w:tr>
        <w:trPr/>
        <w:tc>
          <w:tcPr>
            <w:tcW w:w="5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95,786</w:t>
            </w:r>
          </w:p>
        </w:tc>
      </w:tr>
    </w:tbl>
    <w:p>
      <w:pPr>
        <w:pStyle w:val="TextBody"/>
        <w:bidi w:val="0"/>
        <w:spacing w:before="0" w:after="0"/>
        <w:ind w:left="380" w:right="0" w:hanging="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(a) Other segment items consists of interest and investment income.</w:t>
      </w:r>
    </w:p>
    <w:p>
      <w:pPr>
        <w:pStyle w:val="TextBody"/>
        <w:bidi w:val="0"/>
        <w:spacing w:before="0" w:after="240"/>
        <w:ind w:left="0" w:right="0" w:firstLine="360"/>
        <w:jc w:val="left"/>
        <w:rPr/>
      </w:pPr>
      <w:r>
        <w:rPr/>
        <w:t>​</w:t>
      </w:r>
    </w:p>
    <w:tbl>
      <w:tblPr>
        <w:tblW w:w="1892" w:type="dxa"/>
        <w:jc w:val="left"/>
        <w:tblInd w:w="0" w:type="dxa"/>
        <w:tblLayout w:type="fixed"/>
        <w:tblCellMar>
          <w:top w:w="0" w:type="dxa"/>
          <w:left w:w="0" w:type="dxa"/>
          <w:bottom w:w="0" w:type="dxa"/>
          <w:right w:w="0" w:type="dxa"/>
        </w:tblCellMar>
      </w:tblPr>
      <w:tblGrid>
        <w:gridCol w:w="451"/>
        <w:gridCol w:w="144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4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Common Stock</w:t>
            </w:r>
          </w:p>
        </w:tc>
      </w:tr>
    </w:tbl>
    <w:p>
      <w:pPr>
        <w:pStyle w:val="TextBody"/>
        <w:bidi w:val="0"/>
        <w:spacing w:before="0" w:after="240"/>
        <w:ind w:left="0" w:right="0" w:firstLine="360"/>
        <w:jc w:val="left"/>
        <w:rPr/>
      </w:pPr>
      <w:r>
        <w:rPr/>
        <w:t>“</w:t>
      </w:r>
      <w:r>
        <w:rPr>
          <w:rFonts w:ascii="Times New Roman;Times;serif" w:hAnsi="Times New Roman;Times;serif"/>
          <w:b/>
          <w:i/>
          <w:sz w:val="20"/>
        </w:rPr>
        <w:t>At-the-Market” Offering</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On February 3, 2025, the Company filed an automatic shelf registration statement on Form S-3ASR with the SEC pursuant to which the Company registered for sale an indeterminate amount of any combination of its common stock, preferred stock, debt securities, warrants, rights and units from time to time and at prices and on terms that the Company may determine, which is referred to as the “2025 WKSI Shelf”. The 2025 WKSI Shelf includes a prospectus supplement (the “2025 Prospectus Supplement”) covering up to an aggregate of $250.0 million of shares of common stock that the Company is able to issue and sell from time to time, through Jefferies LLC (“Jefferies”), acting as its sales agent, pursuant to the Open Market Sale Agreement</w:t>
      </w:r>
      <w:r>
        <w:rPr>
          <w:rFonts w:ascii="Times New Roman;Times;serif" w:hAnsi="Times New Roman;Times;serif"/>
          <w:sz w:val="15"/>
        </w:rPr>
        <w:t>SM</w:t>
      </w:r>
      <w:r>
        <w:rPr>
          <w:rFonts w:ascii="Times New Roman;Times;serif" w:hAnsi="Times New Roman;Times;serif"/>
          <w:sz w:val="20"/>
        </w:rPr>
        <w:t>, dated February 3, 2025 (the “Sale Agreement”), for its “at-the-market” equity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11, 2026, the Company filed a prospectus supplement (the “2026 Prospectus Supplement”) to the 2025 WKSI Shelf with respect to the Company’s “at-the-market” equity offering program. Pursuant to the 2026 Prospectus Supplement, the Company may offer and sell shares of its common stock having an aggregate offering price of up to an additional $250.0 million, through Jefferies acting as its sales agent, pursuant to the Sale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Sale Agreement, Jefferies may sell shares of the Company’s common stock by any method permitted by law deemed to be an “at-the-market” offering as defined in Rule 415 of the Securities Act of 1933, as amended, subject to the terms of the Sale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the Company sold 5,358,318 shares of common stock pursuant to the Sale Agreement for total net proceeds of $140.0 million, net of commissions and offering costs. As of June 30, 2026, the Company has approximately $229.1 million remaining for future issuances of common stock pursuant to the Sale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pBd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July 2025 Public Offering</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 2025, the Company closed an underwritten public offering in which the Company issued and sold an aggregate of 3,059,615 shares of its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pre-funded warrants were recorded as a component of shareholders’ equity within additional paid-in-capital and have no expiration date. As of June 30, 2026, 400,000 of the pre-funded warrants have been exercised.  The proceeds to the Company of this July 2025 offering, net of underwriting discounts, commissions, and other expenses were $80.5 million.</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pre-funded warrants are exercisable at any time after their original issuance. A holder of pre-funded warrants may not exercise the pre-funded warrant if the holder, together with its affiliates, would beneficially own more than 4.99%, or, at the election of such holder upon issuance, 9.99%, of the number of shares of common stock outstanding or more than 4.99%, or, at the election of such holder upon issuance, 9.99%, of the combined voting power of the Company’s securities outstanding immediately after giving effect to such exercise. A holder of pre-funded warrants may increase or decrease this percentage to any other percentage not exceeding 19.99%, in the case of an increase, upon 61 days’ prior notice to the Company.</w:t>
      </w:r>
    </w:p>
    <w:p>
      <w:pPr>
        <w:pStyle w:val="TextBody"/>
        <w:shd w:fill="FFFFFF" w:val="clear"/>
        <w:bidi w:val="0"/>
        <w:spacing w:before="0" w:after="0"/>
        <w:ind w:left="0" w:right="0" w:firstLine="360"/>
        <w:jc w:val="both"/>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(11) Debt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8, 2025, the Company entered into a Loan and Security Agreement (the “Loan Agreement”) between the Company, as borrower (the “Borrower”) and Silicon Valley Bank, a Division of First-Citizens Bank &amp; Trust Company (the “Bank”), pursuant to which, the Bank agreed to extend up to $75.0 million to the Company (the “Term Loan”), consisting of: (i) a first tranche commitment of $35.0 million to be drawn at the Company’s option, subject to the satisfaction of certain conditions, (ii) a second tranche commitment of up to $15.0 million to be drawn at the Company’s option, subject to the satisfaction of certain conditions, and (iii) at the Company’s option, subject to the satisfaction of certain conditions, a third tranche commitment of $25.0 million. If not drawn, each tranche commitment is subject to an expiration date. In March 2026, the Company entered into an amendment of the Loan Agreement in which one of the conditions of the second tranche commitment was eliminated. No amounts have been drawn on this Term Loan as of June 30, 2026.</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Term Loan matures on March 1, 2030 (or, if the Borrower does not satisfy certain conditions, on March 1, 2029) unless otherwise accelerated following the occurrence and continuation of an event of default pursuant to the terms of the Loan Agreement. Amounts borrowed under the Term Loan bear interest at a variable annual rate equal to the greater of (i) 6.00%, and (ii) (A)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minus (B) 0.75%. The Borrower may, at its option, prepay the Term Loan subject to a prepayment premium.</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Borrower’s obligations are secured by a first priority, perfected lien on substantially all the property and assets of the Borrower, except for intellectual property (other than the security interest in proceeds from any intellectual property) and certain other customary excluded assets as set forth therein.</w:t>
      </w:r>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Subsequent Event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August 11, 2026, the Company entered into a Collaboration and License Agreement (the “Allist License Agreement”) with Allist, pursuant to which the Company granted Allist a right to develop and commercialize ARR-002 in Greater China, which includes mainland China, Hong Kong, Macau and Taiwan (the “Licensed Territory”), subject to the Company’s retained right to manufacture ARR-002 in the Licensed Territory. The Allist License Agreement also includes a Clinical Collaboration Agreement, under which the Company and Allist collaborate on certain global clinical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ARRIVENT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studies of ARR-002, and a Clinical Supply Agreement under which the Company is responsible for supplying ARR-002 for the initial joint global clinical study.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Under the Allist License Agreement, the Company granted to Allist an exclusive, sublicensable, royalty-bearing license under certain intellectual property owned or controlled by the Company, to research, develop, manufacture, and commercialize ARR-002 for the diagnosis, prophylaxis and treatment of diseases and conditions in the Licensed Territory, subject to the Company’s retained right to manufacture ARR-002 in the Licensed Territory. The Company retains all rights to ARR-002 outside the Licensed Territory, including all development and commercialization rights. Under the Allist License Agreement, the Company may be entitled to receive payments totaling as much as $80.6 million, comprised of a one-time upfront payment and additional payments upon achievement of certain defined development, regulatory, and sales milestones, as well as tiered royalties in mid-single digit to low-double digit percentages on annual net sales of licensed products in the Licensed Territory.</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99" w:name="Item2ManagementsDiscussionandAnalysisofF"/>
      <w:bookmarkStart w:id="900" w:name="_6dbd11f6_8239_458c_901c_f6e0a9efcf1d"/>
      <w:bookmarkEnd w:id="899"/>
      <w:bookmarkEnd w:id="90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interim financial statements and related notes appearing elsewhere in this Quarterly Report and the audited financial information and the notes thereto included in our Annual Report on Form 10-K for the fiscal year ended December 31, 2025, which was filed with the SEC on March 5, 2026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as well as our Annual Report, our actual results could differ materially from the results described in or implied by the forward-looking statements contained in the following discussion and analysis. You should carefully read the “Risk Factors” sections of this Quarterly Report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 Relations section of our website, https://ir.arrivent.com/.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product candidate, firmonertinib, and advance a pipeline of novel therapeutics, such as next-generation antibody drug conjugates, including ARR-217 (“MRG007”) through approval and commercialization in patients suffering from cancer, with an initial focus on solid tumors. Firmonertinib is currently being evaluated in multiple clinical trials across a range of epidermal growth factor receptor mutations (“EGFRm”) in non-small cell lung cancer (“NSCLC”). We are conducting a pivotal Phase 3 clinical trial of firmonertinib in treatment naïve, or first-line, patients with locally advanced or metastatic EGFRm NSCLC with exon 20 insertion mutations and a pivotal Phase 3 clinical trial of firmonertinib in first-line patients with locally advanced or metastatic EGFRm NSCLC with P-loop and alpha-c-helix compressing (“PACC”) mutations. We are also conducting a Phase 1 clinical trial of ARR-217 in patients with unresectable locally advanced or metastatic solid tumors.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received Breakthrough Therapy Designation (“BTD”) for firmonertinib for first line EGFRm NSCLC with exon 20 insertion from the United States Food and Drug Administration (“FDA”) in October 2023, and Orphan Drug Designation for treatment of NSCLC with EGFRm or human epidermal growth factor receptor 2 mutations or human epidermal growth factor receptor 4 mutations in February 2024. A product candidate can receive BTD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although BTD may not result in a faster development process, review or approval and does not increase the likelihood that the product candidate will ultimately receive FDA approval for any indication.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2021, we licensed from Allist the right to develop and commercialize firmonertinib worldwide, with the exception of greater China, which includes mainland China, Hong Kong, Macau and Taiwan. 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approved and commercially distributed by Shanghai Allist Pharmaceuticals Co. Ltd. (“Allist”) in China as a first-line therapy to treat classical EGFRm NSCLC and Allist recently received accelerated approval in China for second-line therapy to treat EGFRm exon 20 NSCLC. The FDA has not approved firmonertinib for any use. We selected firmonertinib for global development against nonclassical,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uncommon, mutations based on preliminary reductions in tumor size observed in seven out of ten patients in first-line treatment with EGFR exon 20 insertion mutations treated with firmonertinib in the ongoing Phase 1b clinical trial, the FAVOUR trial, conducted by Allist in China, and preclinical activity in EGFR PACC mutations, each a subtype of uncommon mutation. In a subsequent interim data readout from the FAVOUR trial of firmonertinib in first-line patients with locally advanced or metastatic EGFRm NSCLC with exon 20 insertion mutations who were administered a 240 mg once-daily dose of firmonertinib, 79% of patients (n=22 out of 28 patients) were observed to experience a reduction in tumor size of at least 30%, as measured by blinded independent central review utilizing Response Evaluation Criteria in Solid Tumors 1.1 criteria. In the same interim data readout, those 79% of patients were observed to experience a 15.2-month median duration of response (“DOR”). In a final analysis from the Phase 1b FURTHER trial of firmonertinib, which included a cohort of EGFRm NSCLC with PACC mutations, we observed 16.0 months median progression-free survival with firmonertinib 240 mg in first-line, confirmed overall response rate (“ORR”) 68.2% (n=15 out of 22 1L patients at 240 mg) and DOR 14.6 months, and confirmed central nervous system responses with firmonertinib, including complete responses. Interim results may not be indicative of final results; however, we believe these interim clinical results underscore firmonertinib’s potential in patients whose tumors contain an uncommon EGFRm.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2026 we announced clearance of a U.S. investigational new drug (“IND”) application by the FDA for ARR-002, a potential first-in-class MUC16/NaPi2b dual-targeting tetravalent antibody-drug conjugate (“ADC”) with an initial focus in ovarian and endometrial cancers and broader therapeutic potential across solid tumors. We have initiated our Phase 1 trial with the first patient expected to be dosed in the second half of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the Global Technology Transfer and License Agreement (the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We are also obligated under the Allist License Agreement to pay Allist tiered royalties based on net sales of Licensed Products (as defined in the Allist License Agreement). See “Business — Licenses, Partnerships and Collaborations —Allist Agreements” in our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2025, we entered into the Exclusive License Agreement (the “Lepu Biopharma Agreement”) with Lepu Biopharma Co., Ltd. (“Lepu”), pursuant to which we have, among other things, secured an exclusive, royalty bearing and sublicensable license under certain intellectual property, including patents and know-how, owned or controlled by Lepu to develop and commercialize any product containing ARR-217 or the antibody component of ARR-217. Further, we are obligated to pay Lepu milestone payments up to an aggregate of approximately $1.17 billion upon the achievement of certain development, regulatory and sales milestone events as set forth in the Lepu Biopharma Agreement. We are also obligated under the Lepu Biopharma Agreement to pay Lepu tiered royalties based on net sales of Licensed Products, as defined in the Lepu Biopharma Agreement. See “Business — Licenses, Partnerships and Collaborations — Lepu Biopharma Agreement” in our Annual Report. During the third quarter of 2025, Lepu dosed the first patient in the Phase 1 study for ARR-217 in patients with unresectable locally advanced or metastatic solid tumors. In March 2026, we dosed our first patient in the ongoing Phase 1 study in partnership with Lepu.</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Since our inception in April 2021, we have devoted substantially all of our resources to organizing and staffing our company, acquiring the rights to, and developing our product candidates,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and through our initial public offering of common stock in January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2024, our “at-the-market” offering, and our underwritten public offering of common stock and pre-funded warrants to purchase common stock in July 2025.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incurred significant operating losses since our inception and have not yet generated any revenue. Our net losses were $93.2 million and $95.8 million for the six months ended June 30, 2026 and 2025, respectively. As of June 30, 2026, we had an accumulated deficit of $497.9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pStyle w:val="TextBody"/>
        <w:bidi w:val="0"/>
        <w:spacing w:before="0" w:after="240"/>
        <w:ind w:left="0" w:right="0" w:firstLine="360"/>
        <w:jc w:val="left"/>
        <w:rPr/>
      </w:pPr>
      <w:r>
        <w:rPr/>
        <w:t>​</w:t>
      </w:r>
    </w:p>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our product candidates through clinical trials;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product candidates;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our preclinical programs to clinical trials;</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invest in our pipeline;</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support our external partners’ manufacturing capabilities;</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our product candidates;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commercialization of our product candidates, if approved;</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protect and defend our intellectual property portfolio;</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facilities to support continued growth in our research, development and commercialization efforts;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headcount to support our development efforts and to expand our clinical development team; and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costs and headcount associated with operating as a public company.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if we obtain regulatory approval for firmonertinib or any product candidates, we expect to incur significant commercialization expenses related to product manufacturing, marketing, sales and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oncology and, furthermore, within the treatment of NSCLC.</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believe that our current and future competition for resources and eventually for customers comes from companies that are commercializing or developing candidates targeting EGFRm-positive NSCLC, including, but not limited to, AstraZeneca, Johnson &amp; Johnson, Blossom Hill Therapeutics, Dizal Pharmaceutical, Oric Pharmaceuticals,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Black Diamond Therapeutics, Inc., Cullinan Therapeutics, Inc., Taiho Pharmaceutical Co., Ltd., Boehringer Ingelheim, and Bayer AG. In March 2024 and October 2024, chemotherapy in combination with the anti-EGFR anti-mesenchymal epithelial transition factor receptor bispecific antibody amivantamab was approved in the United States and Europe, respectively, for first line EGFRm NSCLC patients with exon 20 insertion mutations. In January 2025, Taiho Therapeutics and Cullinan Therapeutics announced that their study of the oral EGFR inhibitor zipalertinib met the primary endpoint in a Phase 2b clinical trial of patients in second or later line NSCLC patients with EGFR exon 20 insertion mutations and in April 2026 announced a February 27, 2027 Prescription Drug User Fee Act (“PDUFA”) target action date for the New Drug Application (“NDA”) filed for that indication. In July 2025, Dizal Pharmaceutical announced the FDA approval of sunvozertinib in second or later line NSCLC patients with EGFR exon 20 insertion mutations. In March 2026, Dizal Pharmaceutical reported topline data from the study of sunvozertinib as first line treatment for NSCLC patients with EGFR exon 20 insertion mutations. In July 2026, AstraZeneca announced it had entered into an exclusive global license agreement for sunvozertinib and that a Supplemental NDA for the first line setting has been submitted to the FDA and China’s Center for Drug Evaluation.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our research and development expenses have been related primarily to the development of our product candidates,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Research and development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payroll taxes, employee benefits and stock-based compensation expenses for those individuals involved in research and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costs incurred under agreements with contract research organizations (“CROs”) and consultants to conduct our clinical trials and other preclinical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manufacturing our product candidates, including fees paid to third-party manufacturers and raw material suppliers;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 research funding; and</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allocated expenses, which include direct and allocated expenses, insurance, equipment and other supplies.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A significant majority of our direct research and development costs have been related to firmonertinib. We deploy our personnel resources across all of our research and development activities.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 candidates may be subject to future collaborations, when such arrangements will be secured, if at all, and to what degree such arrangements would affect our development plans and capital requirements.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Our future clinical development costs may vary significantly based on factors such as:</w:t>
      </w:r>
    </w:p>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trial costs;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needed to determine a recommended dose;</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trials required for approval;</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trials;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participate in the trials;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that patients receive;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requested by regulatory agencies;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participation in the trials and follow-up;</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development of the product candidate; and</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product candidate.</w:t>
            </w:r>
          </w:p>
        </w:tc>
      </w:tr>
    </w:tbl>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 services associated with maintaining compliance with exchange listing and SEC requirements, director and officer insurance premiums and investor relations costs associated with operating as a public company.</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Interest and Investment Income</w:t>
      </w:r>
    </w:p>
    <w:p>
      <w:pPr>
        <w:pStyle w:val="TextBody"/>
        <w:shd w:fill="FFFFFF" w:val="clear"/>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Interest and investment income consists of interest earned on our cash, cash equivalents and investments and the accretion of premiums and amortization of discounts on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2026 and 2025:</w:t>
      </w:r>
    </w:p>
    <w:tbl>
      <w:tblPr>
        <w:tblW w:w="6760" w:type="dxa"/>
        <w:jc w:val="left"/>
        <w:tblInd w:w="0" w:type="dxa"/>
        <w:tblLayout w:type="fixed"/>
        <w:tblCellMar>
          <w:top w:w="0" w:type="dxa"/>
          <w:left w:w="0" w:type="dxa"/>
          <w:bottom w:w="0" w:type="dxa"/>
          <w:right w:w="0" w:type="dxa"/>
        </w:tblCellMar>
      </w:tblPr>
      <w:tblGrid>
        <w:gridCol w:w="2656"/>
        <w:gridCol w:w="346"/>
        <w:gridCol w:w="211"/>
        <w:gridCol w:w="796"/>
        <w:gridCol w:w="346"/>
        <w:gridCol w:w="211"/>
        <w:gridCol w:w="796"/>
        <w:gridCol w:w="346"/>
        <w:gridCol w:w="211"/>
        <w:gridCol w:w="841"/>
      </w:tblGrid>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05460" cy="175260"/>
                      <wp:effectExtent l="0" t="0" r="0" b="0"/>
                      <wp:wrapNone/>
                      <wp:docPr id="135" name="Frame1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05460" cy="175260"/>
                      <wp:effectExtent l="0" t="0" r="0" b="0"/>
                      <wp:wrapNone/>
                      <wp:docPr id="138" name="Frame1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34035" cy="175260"/>
                      <wp:effectExtent l="0" t="0" r="0" b="0"/>
                      <wp:wrapNone/>
                      <wp:docPr id="141" name="Frame14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(49,893)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(18,494)</w:t>
            </w:r>
          </w:p>
        </w:tc>
      </w:tr>
    </w:tbl>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track outsourced clinical and preclinical costs and other external research and development costs associated with our lead product candidate, firmonertinib, and other early-stage programs. In the table below, Phase 3 trials includes costs incurred associated with the FURVENT and ALPACCA trials. We do not track internal research and development costs by product candidate. The following table summarizes our research and development expenses for the three months ended June 30, 2026 and 2025:</w:t>
      </w:r>
    </w:p>
    <w:p>
      <w:pPr>
        <w:pStyle w:val="TextBody"/>
        <w:bidi w:val="0"/>
        <w:spacing w:before="0" w:after="0"/>
        <w:ind w:left="0" w:right="0" w:hanging="0"/>
        <w:jc w:val="left"/>
        <w:rPr/>
      </w:pPr>
      <w:r>
        <w:rPr/>
        <w:t>​</w:t>
      </w:r>
    </w:p>
    <w:tbl>
      <w:tblPr>
        <w:tblW w:w="6954" w:type="dxa"/>
        <w:jc w:val="left"/>
        <w:tblInd w:w="0" w:type="dxa"/>
        <w:tblLayout w:type="fixed"/>
        <w:tblCellMar>
          <w:top w:w="0" w:type="dxa"/>
          <w:left w:w="0" w:type="dxa"/>
          <w:bottom w:w="0" w:type="dxa"/>
          <w:right w:w="0" w:type="dxa"/>
        </w:tblCellMar>
      </w:tblPr>
      <w:tblGrid>
        <w:gridCol w:w="3496"/>
        <w:gridCol w:w="211"/>
        <w:gridCol w:w="676"/>
        <w:gridCol w:w="346"/>
        <w:gridCol w:w="211"/>
        <w:gridCol w:w="676"/>
        <w:gridCol w:w="346"/>
        <w:gridCol w:w="211"/>
        <w:gridCol w:w="781"/>
      </w:tblGrid>
      <w:tr>
        <w:trPr/>
        <w:tc>
          <w:tcPr>
            <w:tcW w:w="349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95935" cy="175260"/>
                      <wp:effectExtent l="0" t="0" r="0" b="0"/>
                      <wp:wrapNone/>
                      <wp:docPr id="149" name="Frame1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Firmonertinib:</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FAVOUR</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 Trials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Firmonertinib costs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Firmonertinib</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Early-stage programs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9,758</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Personnel-related and other internal costs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14,619</w:t>
            </w:r>
          </w:p>
        </w:tc>
      </w:tr>
    </w:tbl>
    <w:p>
      <w:pPr>
        <w:pStyle w:val="TextBody"/>
        <w:bidi w:val="0"/>
        <w:spacing w:before="0" w:after="0"/>
        <w:ind w:left="0" w:right="0" w:hanging="0"/>
        <w:jc w:val="left"/>
        <w:rPr/>
      </w:pPr>
      <w:r>
        <w:rPr/>
        <w: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Research and development expenses were $42.3 million and $27.7 million for the three months ended June 30, 2026 and 2025, respectively. The increase of $14.6 million was primarily due to a $9.8 million increase in costs related to early-stage programs, $3.4 million increase in personnel-related costs due to increased headcount, and a $1.5 million increase in total costs related to our lead product candidate, firmonertinib. Costs related to firmonertinib increased as a result of increased costs of $5.0 million related to our Phase 3 trials, primarily related to the ongoing ALPACCA clinical trial, partially offset by a $1.2 million decrease in costs related to our FURTHER trial, and decreases in costs of $2.3 million related to other firmonertinib costs due to the timing of costs incurred with outside service providers and consultants.</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were $10.4 million and $5.9 million for the three months ended June 30, 2026 and 2025, respectively. The increase of $4.4 million was due primarily to increases in personnel-related costs, including increases in headcount, and consultant costs to support the growth in the overall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Interest and Investment Income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Interest income was $2.8 million and $2.2 million for the three months ended June 30, 2026 and 2025, respectively. The increase in interest income is due primarily to increased average invested balances.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2026 and 2025:</w:t>
      </w:r>
    </w:p>
    <w:tbl>
      <w:tblPr>
        <w:tblW w:w="6760" w:type="dxa"/>
        <w:jc w:val="left"/>
        <w:tblInd w:w="0" w:type="dxa"/>
        <w:tblLayout w:type="fixed"/>
        <w:tblCellMar>
          <w:top w:w="0" w:type="dxa"/>
          <w:left w:w="0" w:type="dxa"/>
          <w:bottom w:w="0" w:type="dxa"/>
          <w:right w:w="0" w:type="dxa"/>
        </w:tblCellMar>
      </w:tblPr>
      <w:tblGrid>
        <w:gridCol w:w="2656"/>
        <w:gridCol w:w="346"/>
        <w:gridCol w:w="211"/>
        <w:gridCol w:w="796"/>
        <w:gridCol w:w="346"/>
        <w:gridCol w:w="211"/>
        <w:gridCol w:w="901"/>
        <w:gridCol w:w="346"/>
        <w:gridCol w:w="211"/>
        <w:gridCol w:w="736"/>
      </w:tblGrid>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05460" cy="175260"/>
                      <wp:effectExtent l="0" t="0" r="0" b="0"/>
                      <wp:wrapNone/>
                      <wp:docPr id="152" name="Frame1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72135" cy="175260"/>
                      <wp:effectExtent l="0" t="0" r="0" b="0"/>
                      <wp:wrapNone/>
                      <wp:docPr id="155" name="Frame15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67360" cy="175260"/>
                      <wp:effectExtent l="0" t="0" r="0" b="0"/>
                      <wp:wrapNone/>
                      <wp:docPr id="158" name="Frame15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(93,213)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(95,786)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2,573</w:t>
            </w:r>
          </w:p>
        </w:tc>
      </w:tr>
    </w:tbl>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track outsourced clinical and preclinical costs and other external research and development costs associated with our lead product candidate, firmonertinib, and other early-stage programs. In the table below, Phase 3 trials includes costs incurred associated with the FURVENT and ALPACCA trials. We do not track internal research and development costs by product candidate. The following table summarizes our research and development expenses for the six months ended June 30, 2026 and 2025:</w:t>
      </w:r>
    </w:p>
    <w:tbl>
      <w:tblPr>
        <w:tblW w:w="7014" w:type="dxa"/>
        <w:jc w:val="left"/>
        <w:tblInd w:w="0" w:type="dxa"/>
        <w:tblLayout w:type="fixed"/>
        <w:tblCellMar>
          <w:top w:w="0" w:type="dxa"/>
          <w:left w:w="0" w:type="dxa"/>
          <w:bottom w:w="0" w:type="dxa"/>
          <w:right w:w="0" w:type="dxa"/>
        </w:tblCellMar>
      </w:tblPr>
      <w:tblGrid>
        <w:gridCol w:w="3496"/>
        <w:gridCol w:w="211"/>
        <w:gridCol w:w="676"/>
        <w:gridCol w:w="346"/>
        <w:gridCol w:w="211"/>
        <w:gridCol w:w="676"/>
        <w:gridCol w:w="346"/>
        <w:gridCol w:w="211"/>
        <w:gridCol w:w="841"/>
      </w:tblGrid>
      <w:tr>
        <w:trPr/>
        <w:tc>
          <w:tcPr>
            <w:tcW w:w="349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60" name="Frame1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29260" cy="175260"/>
                      <wp:effectExtent l="0" t="0" r="0" b="0"/>
                      <wp:wrapNone/>
                      <wp:docPr id="163" name="Frame1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34035" cy="175260"/>
                      <wp:effectExtent l="0" t="0" r="0" b="0"/>
                      <wp:wrapNone/>
                      <wp:docPr id="166" name="Frame16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5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Firmonertinib:</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FAVOUR</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 Trials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Firmonertinib costs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Firmonertinib</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Early-stage programs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Personnel-related and other internal costs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7,619</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r>
    </w:tbl>
    <w:p>
      <w:pPr>
        <w:pStyle w:val="TextBody"/>
        <w:bidi w:val="0"/>
        <w:spacing w:before="0" w:after="0"/>
        <w:ind w:left="0" w:right="0" w:hanging="0"/>
        <w:jc w:val="left"/>
        <w:rPr/>
      </w:pPr>
      <w:r>
        <w:rPr/>
        <w:t>​</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Research and development expenses were $80.0 million and $89.0 million for the six months ended June 30, 2026 and 2025, respectively. The decrease of $9.1 million was primarily due to an $18.9 million decrease in costs related to early-stage programs, offset by a $7.6 million increase in personnel-related costs due to increased headcount, and a $2.3 million increase in total costs related to our lead product candidate, firmonertinib. Costs related to firmonertinib increased as a result of increased costs of $4.7 million related to our Phase 3 trials, primarily related to the ongoing ALPACCA clinical trial, partially offset by a decrease in costs related to our FURVENT clinical trial due primarily to completion of enrollment of patients in the trial as well as decreases in costs of $0.7 million related to other firmonertinib costs. The decrease in early-stage program costs was due to a one-time $40 million up-front payment made to a collaboration partner during the six months ended June 30, 2025.</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were $18.8 million and $11.4 million for the six months ended June 30, 2026 and 2025, respectively. The increase of $7.5 million was due primarily to increases in personnel-related costs, including increases in headcount, and consultant costs to support the growth in the overall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Interest and Investment Income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Interest income was $5.6 million and $4.6 million for the six months ended June 30, 2026 and 2025, respectively. The increase in interest income is due primarily to increased average invested balances.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 date, we have financed our operations primarily through public and private equity financings, including our initial public offering of common stock in the first quarter of 2024, from which we received aggregate net proceeds of $183.2 million, our "at-the-market" offering, and our underwritten public offering of common stock and pre-funded warrants in July 2025. Prior to becoming a public company, we raised $305.0 million in gross proceeds from the sale of our convertible preferred stock. As of June 30, 2026, we had cash and cash equivalents and short-term investments of $373.1 million.</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February 3, 2025, we filed an automatic shelf registration statement on Form S-3ASR (File No. 333-284661) with the SEC. The shelf registration statement consists of (i) a base prospectus pursuant to which we may offer and sell, from time to time, any combination of shares of our common stock, shares of our preferred stock, various series of debt securities, warrants, rights, and units to purchase any of such securities in one or more registered offerings, and (ii) a prospectus supplement (the “2025 Prospectus Supplement”) pursuant to which we may offer and sell, from time to time, up to $250.0 million of shares of common stock in "at-the-market" offerings through Jefferies LLC (“Jefferies”) as our sales agent (the “ATM Program”). On May 11, 2026, we filed a prospectus supplement (the “2026 Prospectus Supplement”) to the shelf registration with respect to our ATM program. Pursuant to the 2026 Prospectus Supplement, we may offer and sell shares of our common stock having an aggregate offering price of up to an additional $250.0 million, through Jefferies acting as our sales agent. During the six months ended June 30, 2026, we sold 5,358,318 shares of common stock pursuant to the ATM Program for total net proceeds of $140.0 million, net of commissions and offering costs. As of June 30, 2026, we have approximately $229.1 million remaining for future issuances of common stock pursuant to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May 2025, we entered into a $75.0 million loan and security agreement with Silicon Valley Bank, a division of First Citizens Bank &amp; Trust Company, and amended the loan and security agreement in March 2026. The credit facility provides the right, but not the obligation, to draw up to $75.0 million of capital, of which $50.0 million will be available if certain conditions and milestones are met. No amounts have been drawn on this facility at the date of this Quarterly Report.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 2025, we closed an underwritten public offering in which we issued and sold an aggregate of 3,059,615 shares of our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proceeds to us, net of underwriting discounts, commissions, and other expenses, were $80.5 million. </w:t>
      </w:r>
    </w:p>
    <w:p>
      <w:pPr>
        <w:pStyle w:val="TextBody"/>
        <w:bidi w:val="0"/>
        <w:spacing w:before="0" w:after="240"/>
        <w:ind w:left="0" w:right="0" w:firstLine="360"/>
        <w:jc w:val="left"/>
        <w:rPr/>
      </w:pPr>
      <w:r>
        <w:rPr/>
        <w:t>​</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profitability will depend upon obtaining additional financing and achieving a level of product sales adequate to support our cost structure. We cannot be assured that we will ever be profitable or generate positive cash flows from operating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believe that our existing cash and cash equivalents and short-term investments as of June 30, 2026 will be sufficient to meet our anticipated cash requirements through at least twelve months from the issuance date of these financial statements.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pStyle w:val="TextBody"/>
        <w:bidi w:val="0"/>
        <w:spacing w:before="0" w:after="220"/>
        <w:ind w:left="360" w:right="0" w:hanging="0"/>
        <w:jc w:val="left"/>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progress, timing, costs and results of drug discovery, preclinical studies and clinical trials of our lead product candidate, firmonertinib, and any other product candidates;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product candidates that we pursue;</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costs of seeking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firmonertinib, if approved, and our other current or future product candidates for clinical trials in preparation for marketing approval and in preparation for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any third-party products used in our combination clinical trials that are not covered by such third party or other sources;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hiring additional personnel and consultants as our preclinical and clinical activities increase;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marketing approval and revenue received from any potential commercial sales of firmonertinib or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commercialization activities for firmonertinib and our other current or future product candidates we develop if we receive marketing approval, including marketing, sales and distribution costs;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competing therapies and other adverse market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establish and maintain strategic licensing or other arrangements and the financial terms of such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expanding, defending and enforcing patent claims, including litigation costs and the outcome of such litigation;</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in-license or acquire other products and technologies;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20"/>
        <w:ind w:left="40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6217" w:type="dxa"/>
        <w:jc w:val="left"/>
        <w:tblInd w:w="0" w:type="dxa"/>
        <w:tblLayout w:type="fixed"/>
        <w:tblCellMar>
          <w:top w:w="0" w:type="dxa"/>
          <w:left w:w="0" w:type="dxa"/>
          <w:bottom w:w="0" w:type="dxa"/>
          <w:right w:w="0" w:type="dxa"/>
        </w:tblCellMar>
      </w:tblPr>
      <w:tblGrid>
        <w:gridCol w:w="3466"/>
        <w:gridCol w:w="346"/>
        <w:gridCol w:w="211"/>
        <w:gridCol w:w="796"/>
        <w:gridCol w:w="346"/>
        <w:gridCol w:w="211"/>
        <w:gridCol w:w="841"/>
      </w:tblGrid>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5460" cy="175260"/>
                      <wp:effectExtent l="0" t="0" r="0" b="0"/>
                      <wp:wrapNone/>
                      <wp:docPr id="169" name="Frame1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34035" cy="175260"/>
                      <wp:effectExtent l="0" t="0" r="0" b="0"/>
                      <wp:wrapNone/>
                      <wp:docPr id="172" name="Frame1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(94,132)</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50,731</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81,873</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38,472</w:t>
            </w:r>
          </w:p>
        </w:tc>
      </w:tr>
    </w:tbl>
    <w:p>
      <w:pPr>
        <w:pStyle w:val="TextBody"/>
        <w:bidi w:val="0"/>
        <w:spacing w:before="0" w:after="240"/>
        <w:ind w:left="0" w:right="0" w:hanging="0"/>
        <w:jc w:val="left"/>
        <w:rPr/>
      </w:pPr>
      <w:r>
        <w:rPr/>
        <w:t>​</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was $81.5 million for the six months ended June 30, 2026 reflecting our net loss of $93.2 million and $1.1 million in accretion of bond discounts. These decreases were partially offset by $12.2 million in stock-based compensation and a change of $0.7 million in our operating assets and liabilities primarily attributable to the timing in which we pay our vendors for research and development activities.</w:t>
      </w:r>
    </w:p>
    <w:p>
      <w:pPr>
        <w:pStyle w:val="TextBody"/>
        <w:bidi w:val="0"/>
        <w:spacing w:before="0" w:after="220"/>
        <w:ind w:left="0" w:right="0" w:firstLine="360"/>
        <w:jc w:val="left"/>
        <w:rPr>
          <w:rFonts w:ascii="Times New Roman;Times;serif" w:hAnsi="Times New Roman;Times;serif"/>
          <w:i w:val="false"/>
          <w:caps w:val="false"/>
          <w:smallCaps w:val="false"/>
          <w:sz w:val="20"/>
          <w:shd w:fill="FFFFFF" w:val="clear"/>
        </w:rPr>
      </w:pPr>
      <w:r>
        <w:rPr>
          <w:rFonts w:ascii="Times New Roman;Times;serif" w:hAnsi="Times New Roman;Times;serif"/>
          <w:i w:val="false"/>
          <w:caps w:val="false"/>
          <w:smallCaps w:val="false"/>
          <w:sz w:val="20"/>
          <w:shd w:fill="FFFFFF" w:val="clear"/>
        </w:rPr>
        <w:t>Net cash used in operating activities was $94.1 million for the six months ended June 30, 2025 reflecting our net loss of $95.8 million and a $3.9 million decrease in our operating assets and liabilities attributable to the timing in which we pay our vendors for research and development activities. These decreases were partially offset by $5.6 million in stock-based compensation. Included in the net loss is a $40.0 million upfront payment made in conjunction with our collaboration with Lepu.</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2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Net cash provided by investing activities for the six months ended June 30, 2026 was $49.7 million, and included $78.4 million of purchases of investments, offset by $128.0 million of maturities of investments.</w:t>
      </w:r>
    </w:p>
    <w:p>
      <w:pPr>
        <w:pStyle w:val="TextBody"/>
        <w:bidi w:val="0"/>
        <w:spacing w:before="0" w:after="22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Net cash of $50.7 million was provided by investing activities for the six months ended June 30, 2025, and included $31.4 million of purchases of investments, offset by $82.1 million of maturities of investments.</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was $141.0 million for the six months ended June 30, 2026. This was due to $140.0 million of proceeds from sales of common stock, net of expenses, and $1.0 million of stock option exercises.</w:t>
      </w:r>
    </w:p>
    <w:p>
      <w:pPr>
        <w:pStyle w:val="TextBody"/>
        <w:bidi w:val="0"/>
        <w:spacing w:before="0" w:after="220"/>
        <w:ind w:left="0" w:right="0" w:firstLine="36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Net cash provided by financing activities was $81.9 million for the six months ended June 30, 2025. This was due to $81.9 million of proceeds from sales of common stock, net of expenses, and $0.4 million of stock option exercises, offset by payments of deferred financing costs.</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lineRule="auto" w:line="302" w:before="0" w:after="0"/>
        <w:ind w:left="60" w:right="79" w:firstLine="324"/>
        <w:jc w:val="left"/>
        <w:rPr>
          <w:rFonts w:ascii="Times New Roman;Times;serif" w:hAnsi="Times New Roman;Times;serif"/>
          <w:sz w:val="20"/>
        </w:rPr>
      </w:pPr>
      <w:r>
        <w:rPr>
          <w:rFonts w:ascii="Times New Roman;Times;serif" w:hAnsi="Times New Roman;Times;serif"/>
          <w:sz w:val="20"/>
        </w:rPr>
        <w:t>As of June 30, 2026, except for an operating lease, we did not have any long-term obligations, capital lease obligations, purchase obligations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Amounts related to contingent milestone payments under our license and collaboration agreements are not yet considered contractual obligations as they are contingent on the successful achievement of certain clinical, regulatory and commercial milestones.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2" w:before="0" w:after="0"/>
        <w:ind w:left="60" w:right="79" w:firstLine="324"/>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also have commitments for obligations under our agreements with collaboration partners. Under these agreements we are required to make milestone payments upon successful completion of certain clinical, regulatory, development, sales and commercial milestones. Additionally, we are required to make royalty payments in connection with the sale of products developed under these agreements. With the exception of $11.0 million in total developmental milestones payable, because the achievement of other milestones and royalties is not probable as of June 30, 2026, such contingencies have not been recorded in our financial statements. For additional information regarding our agreements, see Note 8 to our accompanying financial statements in Part I, Item 1 of this Quarterly Report. </w:t>
      </w:r>
    </w:p>
    <w:p>
      <w:pPr>
        <w:pStyle w:val="TextBody"/>
        <w:bidi w:val="0"/>
        <w:spacing w:before="0" w:after="0"/>
        <w:ind w:left="0" w:right="0" w:firstLine="360"/>
        <w:jc w:val="left"/>
        <w:rPr/>
      </w:pPr>
      <w:r>
        <w:rPr/>
        <w:t>​</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Critical Accounting Policies, Significant Judgments and Use of Estimates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JOBS Act and Emerging Growth Company Status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w:t>
      </w:r>
    </w:p>
    <w:p>
      <w:pPr>
        <w:pStyle w:val="TextBody"/>
        <w:shd w:fill="FFFFFF" w:val="clear"/>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day on which we are deemed to be a “large accelerated filer” as defined in Rule 12b-2 under the Securities Exchange Act of 1934, as amended (Exchange Act) or (iv) the date on which we have issued more than $1.0 billion in non-convertible debt securities during the prior three-year period.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description of recent accounting pronouncements that may potentially impact our financial position, results of operations or cash flows is disclosed in Note 3 to our accompanying financial statements appearing elsewhere in this Quarterly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20"/>
        <w:ind w:left="0" w:right="0" w:hanging="0"/>
        <w:jc w:val="left"/>
        <w:rPr>
          <w:rFonts w:ascii="Times New Roman;Times;serif" w:hAnsi="Times New Roman;Times;serif"/>
          <w:b/>
          <w:sz w:val="20"/>
        </w:rPr>
      </w:pPr>
      <w:bookmarkStart w:id="901" w:name="Item3QuantitativeandQualitativeDisclosur"/>
      <w:bookmarkStart w:id="902" w:name="_e587e2c7_f229_4048_97f8_56a2b0dc0c4d"/>
      <w:bookmarkEnd w:id="901"/>
      <w:bookmarkEnd w:id="902"/>
      <w:r>
        <w:rPr>
          <w:rFonts w:ascii="Times New Roman;Times;serif" w:hAnsi="Times New Roman;Times;serif"/>
          <w:b/>
          <w:sz w:val="20"/>
        </w:rPr>
        <w:t>Item 3. Quantitative and Qualitative Disclosures About Market Risk</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Effects of Inflation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Inflation generally affects us by increasing our labor and clinical trial costs. We do not believe inflation has had a material effect on our results of operations during the periods presented and do not anticipate a material impact going forward.</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903" w:name="Item4ControlsandProcedures_475141"/>
      <w:bookmarkStart w:id="904" w:name="_973bcbf9_cb38_4a63_8875_3eb5a5e78ca7"/>
      <w:bookmarkEnd w:id="903"/>
      <w:bookmarkEnd w:id="904"/>
      <w:r>
        <w:rPr>
          <w:rFonts w:ascii="Times New Roman;Times;serif" w:hAnsi="Times New Roman;Times;serif"/>
          <w:b/>
          <w:sz w:val="20"/>
        </w:rPr>
        <w:t>Item 4. Controls and Procedures</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we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Exchange Act. Based on this evaluation, our Chief Executive Officer and Chief Financial Officer concluded that our disclosure controls and procedures were effective at the reasonable assurance level as of the end of the period covered by this Quarterly Report.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05" w:name="PARTIIOTHERINFORMATION_731202"/>
      <w:bookmarkStart w:id="906" w:name="_7ceee657_c917_4c02_b2ca_a47f81beada1"/>
      <w:bookmarkEnd w:id="905"/>
      <w:bookmarkEnd w:id="906"/>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907" w:name="Item1LegalProceedings_119164"/>
      <w:bookmarkEnd w:id="907"/>
      <w:r>
        <w:rPr>
          <w:rFonts w:ascii="Times New Roman;Times;serif" w:hAnsi="Times New Roman;Times;serif"/>
          <w:b/>
          <w:sz w:val="20"/>
        </w:rPr>
        <w:t>Item 1. Legal Proceedings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may be subject to legal proceedings. On July 22, 2026, we received a notice from the United States Patent and Trademark Office (“USPTO”) that the USPTO has granted a request for </w:t>
      </w:r>
      <w:r>
        <w:rPr>
          <w:rFonts w:ascii="Times New Roman;Times;serif" w:hAnsi="Times New Roman;Times;serif"/>
          <w:i/>
          <w:sz w:val="20"/>
        </w:rPr>
        <w:t>ex parte</w:t>
      </w:r>
      <w:r>
        <w:rPr>
          <w:rFonts w:ascii="Times New Roman;Times;serif" w:hAnsi="Times New Roman;Times;serif"/>
          <w:sz w:val="20"/>
        </w:rPr>
        <w:t xml:space="preserve"> reexamination (“Request”) of U.S. Reissue Patent No. 48,687 (“the RE ’687 Patent”). The RE ’687 Patent is one of several U.S. patents covering firmonertinib and claims certain compounds or pharmaceutically acceptable salts thereof, including firmonertinib and pharmaceutically acceptable salts thereof. The Request was submitted by an anonymous third party and alleges that the claims of the RE ’687 Patent are obvious over asserted prior art and are therefore unpatentable. We believe the Request lacks merit and will vigorously defend the patentability of the claims of the RE ’687 Patent during </w:t>
      </w:r>
      <w:r>
        <w:rPr>
          <w:rFonts w:ascii="Times New Roman;Times;serif" w:hAnsi="Times New Roman;Times;serif"/>
          <w:i/>
          <w:sz w:val="20"/>
        </w:rPr>
        <w:t>ex parte</w:t>
      </w:r>
      <w:r>
        <w:rPr>
          <w:rFonts w:ascii="Times New Roman;Times;serif" w:hAnsi="Times New Roman;Times;serif"/>
          <w:sz w:val="20"/>
        </w:rPr>
        <w:t xml:space="preserve"> reexamination. We cannot predict the outcome of the </w:t>
      </w:r>
      <w:r>
        <w:rPr>
          <w:rFonts w:ascii="Times New Roman;Times;serif" w:hAnsi="Times New Roman;Times;serif"/>
          <w:i/>
          <w:sz w:val="20"/>
        </w:rPr>
        <w:t>ex parte</w:t>
      </w:r>
      <w:r>
        <w:rPr>
          <w:rFonts w:ascii="Times New Roman;Times;serif" w:hAnsi="Times New Roman;Times;serif"/>
          <w:sz w:val="20"/>
        </w:rPr>
        <w:t xml:space="preserve"> reexamination proceeding, which could result in all or some of the claims being confirmed as patentable, narrowed, or cancelled as deemed unpatentable. Our other United States patents and pending patent applications covering firmonertinib are not subject to the </w:t>
      </w:r>
      <w:r>
        <w:rPr>
          <w:rFonts w:ascii="Times New Roman;Times;serif" w:hAnsi="Times New Roman;Times;serif"/>
          <w:i/>
          <w:sz w:val="20"/>
        </w:rPr>
        <w:t>ex parte</w:t>
      </w:r>
      <w:r>
        <w:rPr>
          <w:rFonts w:ascii="Times New Roman;Times;serif" w:hAnsi="Times New Roman;Times;serif"/>
          <w:sz w:val="20"/>
        </w:rPr>
        <w:t xml:space="preserve"> reexamination. Regardless of outcome, litigation can have an adverse impact on us because of defense and settlement costs, diversion of management resources, and other factors.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Other than the foregoing, we are not currently a party to or aware of any proceedings that we believe will have, individually or in the aggregate, a material adverse effect on our business, financial condition or results of operations.</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b/>
          <w:sz w:val="20"/>
        </w:rPr>
      </w:pPr>
      <w:bookmarkStart w:id="908" w:name="Item1ARiskFactors_548768"/>
      <w:bookmarkStart w:id="909" w:name="_ad9aa509_7d44_45b8_bb79_e9ff5b1eaec2"/>
      <w:bookmarkEnd w:id="908"/>
      <w:bookmarkEnd w:id="909"/>
      <w:r>
        <w:rPr>
          <w:rFonts w:ascii="Times New Roman;Times;serif" w:hAnsi="Times New Roman;Times;serif"/>
          <w:b/>
          <w:sz w:val="20"/>
        </w:rPr>
        <w:t>Item 1A. Risk Factors</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Other than as described below, there have been no additional material changes to our risk factors as set forth in Part I, Item 1A of our Annual Report. You should carefully review and consider the information regarding certain factors which could materially affect our business, financial condition or future results set forth under the heading “Risk Factors” in our Annual Report. </w:t>
      </w:r>
    </w:p>
    <w:p>
      <w:pPr>
        <w:pStyle w:val="TextBody"/>
        <w:bidi w:val="0"/>
        <w:spacing w:before="0" w:after="0"/>
        <w:ind w:left="0" w:right="0" w:hanging="0"/>
        <w:jc w:val="left"/>
        <w:rPr/>
      </w:pPr>
      <w:r>
        <w:rPr/>
        <w:t>​</w:t>
      </w:r>
    </w:p>
    <w:p>
      <w:pPr>
        <w:pStyle w:val="TextBody"/>
        <w:shd w:fill="FFFFFF" w:val="clear"/>
        <w:bidi w:val="0"/>
        <w:spacing w:before="120" w:after="0"/>
        <w:ind w:left="0" w:right="0" w:firstLine="360"/>
        <w:jc w:val="left"/>
        <w:rPr>
          <w:rFonts w:ascii="Times New Roman;Times;serif" w:hAnsi="Times New Roman;Times;serif"/>
          <w:b/>
          <w:sz w:val="20"/>
        </w:rPr>
      </w:pPr>
      <w:r>
        <w:rPr>
          <w:rFonts w:ascii="Times New Roman;Times;serif" w:hAnsi="Times New Roman;Times;serif"/>
          <w:b/>
          <w:sz w:val="20"/>
        </w:rPr>
        <w:t xml:space="preserve">Issued patents covering our current product candidates or our future product candidates could be found invalid or unenforceable if challenged in court or before administrative bodies in the United States or abroad. </w:t>
      </w:r>
    </w:p>
    <w:p>
      <w:pPr>
        <w:pStyle w:val="TextBody"/>
        <w:bidi w:val="0"/>
        <w:spacing w:before="0" w:after="0"/>
        <w:ind w:left="0" w:right="0" w:hanging="0"/>
        <w:jc w:val="left"/>
        <w:rPr/>
      </w:pPr>
      <w:r>
        <w:rPr/>
        <w:t>​</w:t>
      </w:r>
    </w:p>
    <w:p>
      <w:pPr>
        <w:pStyle w:val="TextBody"/>
        <w:shd w:fill="FFFFFF" w:val="clear"/>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cancelled, or held unenforceable. In July 2026, we received a notice from the USPTO that the USPTO has granted the Request of the RE ’687 Patent. We believe the Request lacks merit and will vigorously defend the patentability of the claims of the RE ’687 Patent during ex parte reexamination. We cannot predict the outcome of the ex parte reexamination proceeding, which could result in all or some of the claims being confirmed as patentable, narrowed, or cancelled as deemed unpatentable. If we are unsuccessful in defending the RE ‘687 Patent and the claims of the RE ‘687 Patent are narrowed or cancelled during ex parte reexamination, it could have a material adverse effect on our business, financial condition, results of operations and prospects. Regardless of outcome, litigation can have an adverse impact on us because of defense and settlement costs, diversion of management resources, and other factors.</w:t>
      </w:r>
    </w:p>
    <w:p>
      <w:pPr>
        <w:pStyle w:val="TextBody"/>
        <w:bidi w:val="0"/>
        <w:spacing w:before="0" w:after="0"/>
        <w:ind w:left="0" w:right="0" w:hanging="0"/>
        <w:jc w:val="left"/>
        <w:rPr/>
      </w:pPr>
      <w:r>
        <w:rPr/>
        <w:t>​</w:t>
      </w:r>
    </w:p>
    <w:p>
      <w:pPr>
        <w:pStyle w:val="TextBody"/>
        <w:shd w:fill="FFFFFF" w:val="clear"/>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 xml:space="preserve">If we or our licensors initiate legal proceedings against a third party to enforce a patent covering our current product candidates or any of our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in such a way that they no longer cover our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current product candidates and any future product candidates. Such a loss of patent protection would have a material adverse impact on our business, financial condition, results of operations and prospects.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910" w:name="Item2UnregisteredSalesofEquitySecurities"/>
      <w:bookmarkStart w:id="911" w:name="_13f874ab_aa54_4b9f_8f4d_2d0951ea8f81"/>
      <w:bookmarkEnd w:id="910"/>
      <w:bookmarkEnd w:id="911"/>
      <w:r>
        <w:rPr>
          <w:rFonts w:ascii="Times New Roman;Times;serif" w:hAnsi="Times New Roman;Times;serif"/>
          <w:b/>
          <w:sz w:val="20"/>
        </w:rPr>
        <w:t>Item 2. Unregistered Sales of Equity Securities and Use of Proceeds</w:t>
      </w:r>
    </w:p>
    <w:tbl>
      <w:tblPr>
        <w:tblW w:w="3047" w:type="dxa"/>
        <w:jc w:val="left"/>
        <w:tblInd w:w="0" w:type="dxa"/>
        <w:tblLayout w:type="fixed"/>
        <w:tblCellMar>
          <w:top w:w="0" w:type="dxa"/>
          <w:left w:w="0" w:type="dxa"/>
          <w:bottom w:w="0" w:type="dxa"/>
          <w:right w:w="0" w:type="dxa"/>
        </w:tblCellMar>
      </w:tblPr>
      <w:tblGrid>
        <w:gridCol w:w="286"/>
        <w:gridCol w:w="2761"/>
      </w:tblGrid>
      <w:tr>
        <w:trPr/>
        <w:tc>
          <w:tcPr>
            <w:tcW w:w="28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276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Sales of Unregistered Securities</w:t>
            </w:r>
          </w:p>
        </w:tc>
      </w:tr>
    </w:tbl>
    <w:p>
      <w:pPr>
        <w:pStyle w:val="TextBody"/>
        <w:bidi w:val="0"/>
        <w:spacing w:before="0" w:after="24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tbl>
      <w:tblPr>
        <w:tblW w:w="5012" w:type="dxa"/>
        <w:jc w:val="left"/>
        <w:tblInd w:w="0" w:type="dxa"/>
        <w:tblLayout w:type="fixed"/>
        <w:tblCellMar>
          <w:top w:w="0" w:type="dxa"/>
          <w:left w:w="0" w:type="dxa"/>
          <w:bottom w:w="0" w:type="dxa"/>
          <w:right w:w="0" w:type="dxa"/>
        </w:tblCellMar>
      </w:tblPr>
      <w:tblGrid>
        <w:gridCol w:w="286"/>
        <w:gridCol w:w="4726"/>
      </w:tblGrid>
      <w:tr>
        <w:trPr/>
        <w:tc>
          <w:tcPr>
            <w:tcW w:w="28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w:t>
            </w:r>
          </w:p>
        </w:tc>
        <w:tc>
          <w:tcPr>
            <w:tcW w:w="472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Use of Proceeds from Public Offering of Common Stock</w:t>
            </w:r>
          </w:p>
        </w:tc>
      </w:tr>
    </w:tbl>
    <w:p>
      <w:pPr>
        <w:pStyle w:val="TextBody"/>
        <w:bidi w:val="0"/>
        <w:spacing w:before="0" w:after="240"/>
        <w:ind w:left="720" w:right="0" w:hanging="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underwriting discounts and commissions and other offering expenses. None of the expenses associated with our initial public offering were paid to directors, officers, persons owning 10% or more of any class of equity securities, or to our affiliates.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has been no material change in the planned use of proceeds from the initial public offering from that described in the prospectus filed with the SEC pursuant to Rule 424(b)(4) under the Securities Act of 1933, as amended, on January 26, 2024.</w:t>
      </w:r>
    </w:p>
    <w:p>
      <w:pPr>
        <w:pStyle w:val="TextBody"/>
        <w:shd w:fill="FFFFFF" w:val="clear"/>
        <w:bidi w:val="0"/>
        <w:spacing w:before="0" w:after="0"/>
        <w:ind w:left="0" w:right="0" w:firstLine="360"/>
        <w:jc w:val="left"/>
        <w:rPr/>
      </w:pPr>
      <w:r>
        <w:rPr/>
        <w:t>​</w:t>
      </w:r>
    </w:p>
    <w:tbl>
      <w:tblPr>
        <w:tblW w:w="3467" w:type="dxa"/>
        <w:jc w:val="left"/>
        <w:tblInd w:w="0" w:type="dxa"/>
        <w:tblLayout w:type="fixed"/>
        <w:tblCellMar>
          <w:top w:w="0" w:type="dxa"/>
          <w:left w:w="0" w:type="dxa"/>
          <w:bottom w:w="0" w:type="dxa"/>
          <w:right w:w="0" w:type="dxa"/>
        </w:tblCellMar>
      </w:tblPr>
      <w:tblGrid>
        <w:gridCol w:w="271"/>
        <w:gridCol w:w="3196"/>
      </w:tblGrid>
      <w:tr>
        <w:trPr/>
        <w:tc>
          <w:tcPr>
            <w:tcW w:w="27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w:t>
            </w:r>
          </w:p>
        </w:tc>
        <w:tc>
          <w:tcPr>
            <w:tcW w:w="319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Issuer Purchases of Equity Securities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did not repurchase any of our equity securities during the quarter ended June 30, 2026.</w:t>
      </w:r>
    </w:p>
    <w:p>
      <w:pPr>
        <w:pStyle w:val="TextBody"/>
        <w:shd w:fill="FFFFFF" w:val="clear"/>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12" w:name="Item3DefaultsonSeniorSecurities_401766"/>
      <w:bookmarkStart w:id="913" w:name="_8f6142dc_5c78_4dd2_a3a1_a23613b97fab"/>
      <w:bookmarkEnd w:id="912"/>
      <w:bookmarkEnd w:id="913"/>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4" w:name="Item4MineSafetyDisclosures_351125"/>
      <w:bookmarkStart w:id="915" w:name="_3e4831a5_fcbe_4c60_b4aa_bf9ea9eaeda1"/>
      <w:bookmarkEnd w:id="914"/>
      <w:bookmarkEnd w:id="915"/>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None.</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916" w:name="Item5OtherInformation_470852"/>
      <w:bookmarkStart w:id="917" w:name="_e9c2bdf0_0c56_4ed2_9922_f867a84a79a0"/>
      <w:bookmarkEnd w:id="916"/>
      <w:bookmarkEnd w:id="917"/>
      <w:r>
        <w:rPr>
          <w:rFonts w:ascii="Times New Roman;Times;serif" w:hAnsi="Times New Roman;Times;serif"/>
          <w:b/>
          <w:sz w:val="20"/>
        </w:rPr>
        <w:t>Item 5. Other Information</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Rule 10b5-1 Trading Plans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fiscal quarter ended June 30,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r>
        <w:rPr>
          <w:rFonts w:ascii="Times New Roman;Times;serif" w:hAnsi="Times New Roman;Times;serif"/>
          <w:sz w:val="20"/>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8" w:name="Item6ExhibitsandFinancialStatementSchedu"/>
      <w:bookmarkStart w:id="919" w:name="_6fe4ef5b_3f96_4952_ad81_7391cb4d764f"/>
      <w:bookmarkEnd w:id="918"/>
      <w:bookmarkEnd w:id="919"/>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789"/>
        <w:gridCol w:w="346"/>
        <w:gridCol w:w="9070"/>
      </w:tblGrid>
      <w:tr>
        <w:trPr/>
        <w:tc>
          <w:tcPr>
            <w:tcW w:w="789"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0"/>
              <w:ind w:left="0" w:right="0" w:hanging="0"/>
              <w:jc w:val="left"/>
              <w:rPr/>
            </w:pPr>
            <w:r>
              <w:rPr/>
              <w:t>​</w:t>
            </w:r>
          </w:p>
        </w:tc>
        <w:tc>
          <w:tcPr>
            <w:tcW w:w="9070" w:type="dxa"/>
            <w:tcBorders/>
            <w:vAlign w:val="center"/>
          </w:tcPr>
          <w:p>
            <w:pPr>
              <w:pStyle w:val="TableHeading"/>
              <w:bidi w:val="0"/>
              <w:spacing w:before="0" w:after="283"/>
              <w:ind w:left="0" w:right="0" w:hanging="0"/>
              <w:rPr>
                <w:sz w:val="4"/>
                <w:szCs w:val="4"/>
              </w:rPr>
            </w:pPr>
            <w:r>
              <w:rPr>
                <w:sz w:val="4"/>
                <w:szCs w:val="4"/>
              </w:rPr>
            </w:r>
          </w:p>
        </w:tc>
      </w:tr>
      <w:tr>
        <w:trPr/>
        <w:tc>
          <w:tcPr>
            <w:tcW w:w="789" w:type="dxa"/>
            <w:tcBorders>
              <w:bottom w:val="single" w:sz="2" w:space="0" w:color="000000"/>
            </w:tcBorders>
            <w:tcMar>
              <w:bottom w:w="28" w:type="dxa"/>
            </w:tcMar>
            <w:vAlign w:val="center"/>
          </w:tcPr>
          <w:p>
            <w:pPr>
              <w:pStyle w:val="TableHeading"/>
              <w:pBdr/>
              <w:bidi w:val="0"/>
              <w:spacing w:before="0" w:after="60"/>
              <w:ind w:left="0" w:right="0" w:hanging="0"/>
              <w:jc w:val="center"/>
              <w:rPr>
                <w:rFonts w:ascii="Times New Roman;Times;serif" w:hAnsi="Times New Roman;Times;serif"/>
                <w:b w:val="false"/>
                <w:sz w:val="16"/>
              </w:rPr>
            </w:pPr>
            <w:r>
              <w:rPr>
                <w:rFonts w:ascii="Times New Roman;Times;serif" w:hAnsi="Times New Roman;Times;serif"/>
                <w:b/>
                <w:sz w:val="16"/>
              </w:rPr>
              <w:t>Exhibit</w:t>
            </w:r>
            <w:r>
              <w:rPr>
                <w:rFonts w:ascii="Times New Roman;Times;serif" w:hAnsi="Times New Roman;Times;serif"/>
                <w:b w:val="false"/>
                <w:sz w:val="16"/>
              </w:rPr>
              <w:br/>
            </w:r>
            <w:r>
              <w:rPr>
                <w:rFonts w:ascii="Times New Roman;Times;serif" w:hAnsi="Times New Roman;Times;serif"/>
                <w:b/>
                <w:sz w:val="16"/>
              </w:rPr>
              <w:t xml:space="preserve">Number </w:t>
            </w:r>
          </w:p>
        </w:tc>
        <w:tc>
          <w:tcPr>
            <w:tcW w:w="346" w:type="dxa"/>
            <w:tcBorders>
              <w:bottom w:val="single" w:sz="2" w:space="0" w:color="000000"/>
            </w:tcBorders>
            <w:tcMar>
              <w:bottom w:w="28" w:type="dxa"/>
            </w:tcMar>
            <w:vAlign w:val="center"/>
          </w:tcPr>
          <w:p>
            <w:pPr>
              <w:pStyle w:val="TableHeading"/>
              <w:bidi w:val="0"/>
              <w:spacing w:before="0" w:after="60"/>
              <w:ind w:left="0" w:right="0" w:hanging="0"/>
              <w:jc w:val="center"/>
              <w:rPr/>
            </w:pPr>
            <w:r>
              <w:rPr/>
              <w:t>  ​ ​ ​</w:t>
            </w:r>
          </w:p>
        </w:tc>
        <w:tc>
          <w:tcPr>
            <w:tcW w:w="9070"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 xml:space="preserve">Description of Exhibit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(incorporated by reference to Exhibit 3.1 of the Registrant’s Current Report on Form 8-K (File No. 001-41929) filed with the SEC on January 30, 2024).</w:t>
              </w:r>
            </w:hyperlink>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(incorporated by reference to Exhibit 3.2 of the Registrant’s Current Report on Form 8-K (File No. 001-41929) filed with the SEC on January 30, 2024).</w:t>
              </w:r>
            </w:hyperlink>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630xex31d1.htm">
              <w:r>
                <w:rPr>
                  <w:rStyle w:val="InternetLink"/>
                  <w:rFonts w:ascii="Times New Roman;Times;serif" w:hAnsi="Times New Roman;Times;serif"/>
                  <w:b w:val="false"/>
                  <w:i w:val="false"/>
                  <w:caps w:val="false"/>
                  <w:smallCaps w:val="false"/>
                  <w:sz w:val="20"/>
                </w:rPr>
                <w:t>Certification of Chief Executive Officer Pursuant to Rule 13a-15(e) or Rule 15d-15(e) under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630xex31d2.htm">
              <w:r>
                <w:rPr>
                  <w:rStyle w:val="InternetLink"/>
                  <w:rFonts w:ascii="Times New Roman;Times;serif" w:hAnsi="Times New Roman;Times;serif"/>
                  <w:b w:val="false"/>
                  <w:i w:val="false"/>
                  <w:caps w:val="false"/>
                  <w:smallCaps w:val="false"/>
                  <w:sz w:val="20"/>
                </w:rPr>
                <w:t>Certification of Chief Financial Officer Pursuant to Rule 13a-15(e) or Rule 15d-15(e) under the Securities Exchange Act of 1934, as Adopted Pursuant to Section 302 of the Sarbanes-Oxley Act of 2002.</w:t>
              </w:r>
            </w:hyperlink>
            <w:r>
              <w:rPr>
                <w:rFonts w:ascii="Times New Roman;Times;serif" w:hAnsi="Times New Roman;Times;serif"/>
                <w:sz w:val="20"/>
              </w:rPr>
              <w:t>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630xex32d1.htm">
              <w:r>
                <w:rPr>
                  <w:rStyle w:val="InternetLink"/>
                  <w:rFonts w:ascii="Times New Roman;Times;serif" w:hAnsi="Times New Roman;Times;serif"/>
                  <w:b w:val="false"/>
                  <w:i w:val="false"/>
                  <w:caps w:val="false"/>
                  <w:smallCaps w:val="false"/>
                  <w:sz w:val="20"/>
                </w:rPr>
                <w:t>Certification of Chief Executive Officer of Periodic Report Pursuant to 18 U.S.C. Section 1350, as Adopted Pursuant to Section 906 of the Sarbanes-Oxley Act of 2002.</w:t>
              </w:r>
            </w:hyperlink>
            <w:r>
              <w:rPr>
                <w:rFonts w:ascii="Times New Roman;Times;serif" w:hAnsi="Times New Roman;Times;serif"/>
                <w:sz w:val="20"/>
              </w:rPr>
              <w:t xml:space="preserve">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pPr>
            <w:hyperlink w:anchor="avbp-20260630xex32d2.htm">
              <w:r>
                <w:rPr>
                  <w:rStyle w:val="InternetLink"/>
                  <w:rFonts w:ascii="Times New Roman;Times;serif" w:hAnsi="Times New Roman;Times;serif"/>
                  <w:b w:val="false"/>
                  <w:i w:val="false"/>
                  <w:caps w:val="false"/>
                  <w:smallCaps w:val="false"/>
                  <w:sz w:val="20"/>
                </w:rPr>
                <w:t>Certification of Chief Financial Officer of Periodic Report Pursuant to 18 U.S.C. Section 1350, as Adopted Pursuant to Section 906 of the Sarbanes-Oxley Act of 2002.</w:t>
              </w:r>
            </w:hyperlink>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 the instance document does not appear in the Interactive Data File because its XBRL tags are embedded within the Inline XBRL document. </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Schema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789" w:type="dxa"/>
            <w:tcBorders/>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60"/>
              <w:ind w:left="0" w:right="0" w:hanging="0"/>
              <w:jc w:val="left"/>
              <w:rPr/>
            </w:pPr>
            <w:r>
              <w:rPr/>
              <w:t>​</w:t>
            </w:r>
          </w:p>
        </w:tc>
        <w:tc>
          <w:tcPr>
            <w:tcW w:w="9070"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3692" w:type="dxa"/>
        <w:jc w:val="left"/>
        <w:tblInd w:w="0" w:type="dxa"/>
        <w:tblLayout w:type="fixed"/>
        <w:tblCellMar>
          <w:top w:w="0" w:type="dxa"/>
          <w:left w:w="0" w:type="dxa"/>
          <w:bottom w:w="0" w:type="dxa"/>
          <w:right w:w="0" w:type="dxa"/>
        </w:tblCellMar>
      </w:tblPr>
      <w:tblGrid>
        <w:gridCol w:w="211"/>
        <w:gridCol w:w="3481"/>
      </w:tblGrid>
      <w:tr>
        <w:trPr/>
        <w:tc>
          <w:tcPr>
            <w:tcW w:w="21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348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 xml:space="preserve">Filed with this Quarterly Report on Form 10-Q.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997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tc>
      </w:tr>
    </w:tbl>
    <w:p>
      <w:pPr>
        <w:pStyle w:val="TextBody"/>
        <w:pBdr/>
        <w:bidi w:val="0"/>
        <w:spacing w:before="0" w:after="120"/>
        <w:ind w:left="0" w:right="0" w:hanging="360"/>
        <w:jc w:val="left"/>
        <w:rPr/>
      </w:pPr>
      <w:r>
        <w:rPr/>
        <w:t>​</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20" w:name="Signatures"/>
      <w:bookmarkStart w:id="921" w:name="_8a7d25c6_426b_45a7_94fc_54e1079d0614"/>
      <w:bookmarkEnd w:id="920"/>
      <w:bookmarkEnd w:id="921"/>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8822" w:type="dxa"/>
        <w:jc w:val="left"/>
        <w:tblInd w:w="0" w:type="dxa"/>
        <w:tblLayout w:type="fixed"/>
        <w:tblCellMar>
          <w:top w:w="0" w:type="dxa"/>
          <w:left w:w="0" w:type="dxa"/>
          <w:bottom w:w="0" w:type="dxa"/>
          <w:right w:w="0" w:type="dxa"/>
        </w:tblCellMar>
      </w:tblPr>
      <w:tblGrid>
        <w:gridCol w:w="943"/>
        <w:gridCol w:w="828"/>
        <w:gridCol w:w="178"/>
        <w:gridCol w:w="286"/>
        <w:gridCol w:w="1592"/>
        <w:gridCol w:w="396"/>
        <w:gridCol w:w="1901"/>
        <w:gridCol w:w="2698"/>
      </w:tblGrid>
      <w:tr>
        <w:trPr/>
        <w:tc>
          <w:tcPr>
            <w:tcW w:w="94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2452" w:type="dxa"/>
            <w:gridSpan w:val="4"/>
            <w:tcBorders/>
            <w:vAlign w:val="center"/>
          </w:tcPr>
          <w:p>
            <w:pPr>
              <w:pStyle w:val="TableContents"/>
              <w:bidi w:val="0"/>
              <w:spacing w:before="0" w:after="0"/>
              <w:ind w:left="0" w:right="0" w:hanging="0"/>
              <w:jc w:val="left"/>
              <w:rPr/>
            </w:pPr>
            <w:r>
              <w:rPr/>
              <w:t>​</w:t>
            </w:r>
          </w:p>
        </w:tc>
        <w:tc>
          <w:tcPr>
            <w:tcW w:w="1901" w:type="dxa"/>
            <w:tcBorders/>
            <w:vAlign w:val="center"/>
          </w:tcPr>
          <w:p>
            <w:pPr>
              <w:pStyle w:val="TableContents"/>
              <w:bidi w:val="0"/>
              <w:spacing w:before="0" w:after="0"/>
              <w:ind w:left="0" w:right="0" w:hanging="0"/>
              <w:jc w:val="left"/>
              <w:rPr/>
            </w:pPr>
            <w:r>
              <w:rPr/>
              <w:t>​</w:t>
            </w:r>
          </w:p>
        </w:tc>
        <w:tc>
          <w:tcPr>
            <w:tcW w:w="2698" w:type="dxa"/>
            <w:tcBorders/>
            <w:vAlign w:val="center"/>
          </w:tcPr>
          <w:p>
            <w:pPr>
              <w:pStyle w:val="TableContents"/>
              <w:bidi w:val="0"/>
              <w:spacing w:before="0" w:after="0"/>
              <w:ind w:left="0" w:right="0" w:hanging="0"/>
              <w:jc w:val="left"/>
              <w:rPr/>
            </w:pPr>
            <w:r>
              <w:rPr/>
              <w:t>​</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6587"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left"/>
              <w:rPr/>
            </w:pPr>
            <w:r>
              <w:rPr/>
              <w:t>​</w:t>
            </w:r>
          </w:p>
        </w:tc>
      </w:tr>
      <w:tr>
        <w:trPr/>
        <w:tc>
          <w:tcPr>
            <w:tcW w:w="194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Zhengbin (Bing) Yao, Ph.D.</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shd w:fill="FFFF00" w:val="clear"/>
              </w:rPr>
            </w:pPr>
            <w:r>
              <w:rPr>
                <w:shd w:fill="FFFF00" w:val="clea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Zhengbin (Bing) Yao, Ph.D.</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pPr>
            <w:r>
              <w:rPr/>
              <w:t>​</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pPr>
            <w:r>
              <w:rPr/>
              <w:t>​</w:t>
            </w:r>
          </w:p>
        </w:tc>
      </w:tr>
      <w:tr>
        <w:trPr/>
        <w:tc>
          <w:tcPr>
            <w:tcW w:w="194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Winston Kung</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Winston Kung</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and Treasurer</w:t>
            </w:r>
          </w:p>
        </w:tc>
      </w:tr>
      <w:tr>
        <w:trPr/>
        <w:tc>
          <w:tcPr>
            <w:tcW w:w="1949" w:type="dxa"/>
            <w:gridSpan w:val="3"/>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92" w:type="dxa"/>
            <w:tcBorders/>
            <w:vAlign w:val="center"/>
          </w:tcPr>
          <w:p>
            <w:pPr>
              <w:pStyle w:val="TableContents"/>
              <w:bidi w:val="0"/>
              <w:spacing w:before="0" w:after="0"/>
              <w:ind w:left="0" w:right="0" w:hanging="0"/>
              <w:jc w:val="left"/>
              <w:rPr/>
            </w:pPr>
            <w:r>
              <w:rPr/>
              <w:t>​</w:t>
            </w:r>
          </w:p>
        </w:tc>
        <w:tc>
          <w:tcPr>
            <w:tcW w:w="499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bookmarkStart w:id="922" w:name="avbp-20260630xex31d1.htm"/>
      <w:bookmarkStart w:id="923" w:name="ksavbp20260630xex31d1"/>
      <w:bookmarkEnd w:id="922"/>
      <w:bookmarkEnd w:id="923"/>
      <w:r>
        <w:rPr/>
        <w:t>​</w:t>
      </w:r>
      <w:r>
        <w:br w:type="page"/>
      </w:r>
    </w:p>
    <w:p>
      <w:pPr>
        <w:pStyle w:val="TextBody"/>
        <w:pBdr/>
        <w:bidi w:val="0"/>
        <w:spacing w:before="0" w:after="240"/>
        <w:ind w:left="0" w:right="0" w:hanging="72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bidi w:val="0"/>
        <w:spacing w:before="0" w:after="0"/>
        <w:ind w:left="0" w:right="0" w:hanging="0"/>
        <w:jc w:val="center"/>
        <w:rPr/>
      </w:pPr>
      <w:r>
        <w:rPr/>
        <w:t>​</w:t>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 xml:space="preserve">I, Zhengbin Yao, Ph.D., certify that: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5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ArriVent BioPharma,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5058" w:type="dxa"/>
        <w:jc w:val="center"/>
        <w:tblInd w:w="0" w:type="dxa"/>
        <w:tblLayout w:type="fixed"/>
        <w:tblCellMar>
          <w:top w:w="0" w:type="dxa"/>
          <w:left w:w="0" w:type="dxa"/>
          <w:bottom w:w="0" w:type="dxa"/>
          <w:right w:w="0" w:type="dxa"/>
        </w:tblCellMar>
      </w:tblPr>
      <w:tblGrid>
        <w:gridCol w:w="1951"/>
        <w:gridCol w:w="631"/>
        <w:gridCol w:w="2476"/>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12, 2026</w:t>
            </w:r>
          </w:p>
        </w:tc>
        <w:tc>
          <w:tcPr>
            <w:tcW w:w="3107"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pBdr/>
              <w:bidi w:val="0"/>
              <w:spacing w:before="0" w:after="0"/>
              <w:ind w:left="0" w:right="0" w:hanging="0"/>
              <w:jc w:val="both"/>
              <w:rPr/>
            </w:pPr>
            <w:r>
              <w:rPr/>
              <w:t>​</w:t>
            </w:r>
          </w:p>
        </w:tc>
        <w:tc>
          <w:tcPr>
            <w:tcW w:w="3107"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pBdr/>
              <w:bidi w:val="0"/>
              <w:spacing w:before="0" w:after="0"/>
              <w:ind w:left="0" w:right="0" w:hanging="0"/>
              <w:jc w:val="both"/>
              <w:rPr/>
            </w:pPr>
            <w:r>
              <w:rPr/>
              <w:t>​</w:t>
            </w:r>
          </w:p>
        </w:tc>
        <w:tc>
          <w:tcPr>
            <w:tcW w:w="310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ARRIVENT BIOPHARMA, INC.</w:t>
            </w:r>
          </w:p>
        </w:tc>
      </w:tr>
      <w:tr>
        <w:trPr/>
        <w:tc>
          <w:tcPr>
            <w:tcW w:w="195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Zhengbin Yao, Ph.D.</w:t>
            </w:r>
          </w:p>
        </w:tc>
      </w:tr>
      <w:tr>
        <w:trPr/>
        <w:tc>
          <w:tcPr>
            <w:tcW w:w="195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Zhengbin Yao, Ph.D.</w:t>
            </w:r>
          </w:p>
        </w:tc>
      </w:tr>
      <w:tr>
        <w:trPr/>
        <w:tc>
          <w:tcPr>
            <w:tcW w:w="195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924" w:name="avbp-20260630xex31d2.htm"/>
      <w:bookmarkStart w:id="925" w:name="ksavbp20260630xex31d2"/>
      <w:bookmarkEnd w:id="924"/>
      <w:bookmarkEnd w:id="925"/>
      <w:r>
        <w:rPr/>
        <w:t>​</w:t>
      </w:r>
      <w:r>
        <w:br w:type="page"/>
      </w:r>
    </w:p>
    <w:p>
      <w:pPr>
        <w:pStyle w:val="TextBody"/>
        <w:pBdr/>
        <w:bidi w:val="0"/>
        <w:spacing w:before="0" w:after="240"/>
        <w:ind w:left="0" w:right="0" w:hanging="72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bidi w:val="0"/>
        <w:spacing w:before="0" w:after="0"/>
        <w:ind w:left="0" w:right="0" w:hanging="0"/>
        <w:jc w:val="center"/>
        <w:rPr/>
      </w:pPr>
      <w:r>
        <w:rPr/>
        <w: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xml:space="preserve">I, Winston Kung, certify that: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5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ArriVent BioPharma,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xml:space="preserve">(b) </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348" w:type="dxa"/>
        <w:jc w:val="center"/>
        <w:tblInd w:w="0" w:type="dxa"/>
        <w:tblLayout w:type="fixed"/>
        <w:tblCellMar>
          <w:top w:w="0" w:type="dxa"/>
          <w:left w:w="0" w:type="dxa"/>
          <w:bottom w:w="0" w:type="dxa"/>
          <w:right w:w="0" w:type="dxa"/>
        </w:tblCellMar>
      </w:tblPr>
      <w:tblGrid>
        <w:gridCol w:w="1951"/>
        <w:gridCol w:w="631"/>
        <w:gridCol w:w="3766"/>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12, 2026</w:t>
            </w:r>
          </w:p>
        </w:tc>
        <w:tc>
          <w:tcPr>
            <w:tcW w:w="4397"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pBdr/>
              <w:bidi w:val="0"/>
              <w:spacing w:before="0" w:after="0"/>
              <w:ind w:left="0" w:right="0" w:hanging="0"/>
              <w:jc w:val="both"/>
              <w:rPr/>
            </w:pPr>
            <w:r>
              <w:rPr/>
              <w:t>​</w:t>
            </w:r>
          </w:p>
        </w:tc>
        <w:tc>
          <w:tcPr>
            <w:tcW w:w="439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ARRIVENT BIOPHARMA, INC.</w:t>
            </w:r>
          </w:p>
        </w:tc>
      </w:tr>
      <w:tr>
        <w:trPr/>
        <w:tc>
          <w:tcPr>
            <w:tcW w:w="195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pBdr/>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95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95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926" w:name="avbp-20260630xex32d1.htm"/>
      <w:bookmarkStart w:id="927" w:name="ksavbp20260630xex32d1"/>
      <w:bookmarkEnd w:id="926"/>
      <w:bookmarkEnd w:id="927"/>
      <w:r>
        <w:rPr/>
        <w:t>​</w:t>
      </w:r>
      <w:r>
        <w:br w:type="page"/>
      </w:r>
    </w:p>
    <w:p>
      <w:pPr>
        <w:pStyle w:val="TextBody"/>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Quarterly Report of ArriVent BioPharma, Inc. (the “Company”) on Form 10-Q for the quarter ended June 30, 2026, as filed with the Securities and Exchange Commission on the date hereof (the “Report”), I, Zhengbin Yao, Ph.D., hereby certify, pursuant to 18 U.S.C. </w:t>
      </w:r>
      <w:r>
        <w:rPr>
          <w:rFonts w:ascii="Arial;Helvetica;sans-serif" w:hAnsi="Arial;Helvetica;sans-serif"/>
          <w:sz w:val="20"/>
        </w:rPr>
        <w:t>§</w:t>
      </w:r>
      <w:r>
        <w:rPr>
          <w:rFonts w:ascii="Times New Roman;Times;serif" w:hAnsi="Times New Roman;Times;serif"/>
          <w:sz w:val="20"/>
        </w:rPr>
        <w:t xml:space="preserve"> 1350, as adopted pursuant to </w:t>
      </w:r>
      <w:r>
        <w:rPr>
          <w:rFonts w:ascii="Arial;Helvetica;sans-serif" w:hAnsi="Arial;Helvetica;sans-serif"/>
          <w:sz w:val="20"/>
        </w:rPr>
        <w:t>§</w:t>
      </w:r>
      <w:r>
        <w:rPr>
          <w:rFonts w:ascii="Times New Roman;Times;serif" w:hAnsi="Times New Roman;Times;serif"/>
          <w:sz w:val="20"/>
        </w:rPr>
        <w:t xml:space="preserve">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August 12, 2026</w:t>
      </w:r>
    </w:p>
    <w:tbl>
      <w:tblPr>
        <w:tblW w:w="3231" w:type="dxa"/>
        <w:jc w:val="center"/>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ARRIVENT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Zhengbin Yao, Ph.D.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Zhengbin Yao, Ph.D.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928" w:name="avbp-20260630xex32d2.htm"/>
      <w:bookmarkStart w:id="929" w:name="ksavbp20260630xex32d2"/>
      <w:bookmarkEnd w:id="928"/>
      <w:bookmarkEnd w:id="929"/>
      <w:r>
        <w:rPr/>
        <w:t>​</w:t>
      </w:r>
      <w:r>
        <w:br w:type="page"/>
      </w:r>
    </w:p>
    <w:p>
      <w:pPr>
        <w:pStyle w:val="TextBody"/>
        <w:pBdr/>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pBdr/>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Quarterly Report of ArriVent BioPharma, Inc. (the “Company”) on Form 10-Q for the quarter ended June 30, 2026, as filed with the Securities and Exchange Commission on the date hereof (the “Report”), I, Winston Kung, hereby certify, pursuant to 18 U.S.C. </w:t>
      </w:r>
      <w:r>
        <w:rPr>
          <w:rFonts w:ascii="Arial;Helvetica;sans-serif" w:hAnsi="Arial;Helvetica;sans-serif"/>
          <w:sz w:val="20"/>
        </w:rPr>
        <w:t>§</w:t>
      </w:r>
      <w:r>
        <w:rPr>
          <w:rFonts w:ascii="Times New Roman;Times;serif" w:hAnsi="Times New Roman;Times;serif"/>
          <w:sz w:val="20"/>
        </w:rPr>
        <w:t xml:space="preserve"> 1350, as adopted pursuant to </w:t>
      </w:r>
      <w:r>
        <w:rPr>
          <w:rFonts w:ascii="Arial;Helvetica;sans-serif" w:hAnsi="Arial;Helvetica;sans-serif"/>
          <w:sz w:val="20"/>
        </w:rPr>
        <w:t>§</w:t>
      </w:r>
      <w:r>
        <w:rPr>
          <w:rFonts w:ascii="Times New Roman;Times;serif" w:hAnsi="Times New Roman;Times;serif"/>
          <w:sz w:val="20"/>
        </w:rPr>
        <w:t xml:space="preserve">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August 12, 2026</w:t>
      </w:r>
    </w:p>
    <w:tbl>
      <w:tblPr>
        <w:tblW w:w="4521" w:type="dxa"/>
        <w:jc w:val="center"/>
        <w:tblInd w:w="0" w:type="dxa"/>
        <w:tblLayout w:type="fixed"/>
        <w:tblCellMar>
          <w:top w:w="0" w:type="dxa"/>
          <w:left w:w="0" w:type="dxa"/>
          <w:bottom w:w="0" w:type="dxa"/>
          <w:right w:w="0" w:type="dxa"/>
        </w:tblCellMar>
      </w:tblPr>
      <w:tblGrid>
        <w:gridCol w:w="124"/>
        <w:gridCol w:w="631"/>
        <w:gridCol w:w="3766"/>
      </w:tblGrid>
      <w:tr>
        <w:trPr/>
        <w:tc>
          <w:tcPr>
            <w:tcW w:w="124"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ARRIVENT BIOPHARMA,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8279/000110465924008228/tm2321853d25_ex3-1.htm" TargetMode="External"/><Relationship Id="rId3" Type="http://schemas.openxmlformats.org/officeDocument/2006/relationships/hyperlink" Target="https://www.sec.gov/Archives/edgar/data/1868279/000110465924008228/tm2321853d25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17911</Words>
  <Characters>101075</Characters>
  <CharactersWithSpaces>119961</CharactersWithSpaces>
  <Paragraphs>3806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