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4" w:lineRule="exact"/>
        <w:rPr>
          <w:sz w:val="24"/>
          <w:szCs w:val="24"/>
          <w:color w:val="auto"/>
        </w:rPr>
      </w:pPr>
    </w:p>
    <w:p>
      <w:pPr>
        <w:jc w:val="right"/>
        <w:ind w:right="359"/>
        <w:spacing w:after="0"/>
        <w:rPr>
          <w:sz w:val="20"/>
          <w:szCs w:val="20"/>
          <w:color w:val="auto"/>
        </w:rPr>
      </w:pPr>
      <w:r>
        <w:rPr>
          <w:rFonts w:ascii="Arial" w:cs="Arial" w:eastAsia="Arial" w:hAnsi="Arial"/>
          <w:sz w:val="18"/>
          <w:szCs w:val="18"/>
          <w:b w:val="1"/>
          <w:bCs w:val="1"/>
          <w:color w:val="auto"/>
        </w:rPr>
        <w:t> Filed pursuant to Rule 424(b)(5)​</w:t>
      </w:r>
    </w:p>
    <w:p>
      <w:pPr>
        <w:jc w:val="right"/>
        <w:ind w:right="359"/>
        <w:spacing w:after="0"/>
        <w:rPr>
          <w:sz w:val="20"/>
          <w:szCs w:val="20"/>
          <w:color w:val="auto"/>
        </w:rPr>
      </w:pPr>
      <w:r>
        <w:rPr>
          <w:rFonts w:ascii="Arial" w:cs="Arial" w:eastAsia="Arial" w:hAnsi="Arial"/>
          <w:sz w:val="18"/>
          <w:szCs w:val="18"/>
          <w:b w:val="1"/>
          <w:bCs w:val="1"/>
          <w:color w:val="auto"/>
        </w:rPr>
        <w:t> Registration No. 333-284661​</w:t>
      </w:r>
    </w:p>
    <w:p>
      <w:pPr>
        <w:spacing w:after="0" w:line="175" w:lineRule="exact"/>
        <w:rPr>
          <w:sz w:val="24"/>
          <w:szCs w:val="24"/>
          <w:color w:val="auto"/>
        </w:rPr>
      </w:pPr>
    </w:p>
    <w:p>
      <w:pPr>
        <w:ind w:left="1260"/>
        <w:spacing w:after="0"/>
        <w:rPr>
          <w:sz w:val="20"/>
          <w:szCs w:val="20"/>
          <w:color w:val="auto"/>
        </w:rPr>
      </w:pPr>
      <w:r>
        <w:rPr>
          <w:rFonts w:ascii="Arial" w:cs="Arial" w:eastAsia="Arial" w:hAnsi="Arial"/>
          <w:sz w:val="20"/>
          <w:szCs w:val="20"/>
          <w:b w:val="1"/>
          <w:bCs w:val="1"/>
          <w:color w:val="auto"/>
        </w:rPr>
        <w:t>Prospectus Supplement</w:t>
      </w:r>
    </w:p>
    <w:p>
      <w:pPr>
        <w:spacing w:after="0" w:line="20" w:lineRule="exact"/>
        <w:rPr>
          <w:sz w:val="24"/>
          <w:szCs w:val="24"/>
          <w:color w:val="auto"/>
        </w:rPr>
      </w:pPr>
    </w:p>
    <w:p>
      <w:pPr>
        <w:ind w:left="1260"/>
        <w:spacing w:after="0"/>
        <w:rPr>
          <w:sz w:val="20"/>
          <w:szCs w:val="20"/>
          <w:color w:val="auto"/>
        </w:rPr>
      </w:pPr>
      <w:r>
        <w:rPr>
          <w:rFonts w:ascii="Arial" w:cs="Arial" w:eastAsia="Arial" w:hAnsi="Arial"/>
          <w:sz w:val="20"/>
          <w:szCs w:val="20"/>
          <w:b w:val="1"/>
          <w:bCs w:val="1"/>
          <w:color w:val="auto"/>
        </w:rPr>
        <w:t>(To Prospectus dated February 3, 2025)</w:t>
      </w:r>
    </w:p>
    <w:p>
      <w:pPr>
        <w:spacing w:after="0" w:line="62" w:lineRule="exact"/>
        <w:rPr>
          <w:sz w:val="24"/>
          <w:szCs w:val="24"/>
          <w:color w:val="auto"/>
        </w:rPr>
      </w:pPr>
    </w:p>
    <w:p>
      <w:pPr>
        <w:ind w:left="3380"/>
        <w:spacing w:after="0"/>
        <w:rPr>
          <w:sz w:val="20"/>
          <w:szCs w:val="20"/>
          <w:color w:val="auto"/>
        </w:rPr>
      </w:pPr>
      <w:r>
        <w:rPr>
          <w:rFonts w:ascii="Arial" w:cs="Arial" w:eastAsia="Arial" w:hAnsi="Arial"/>
          <w:sz w:val="25"/>
          <w:szCs w:val="25"/>
          <w:color w:val="auto"/>
        </w:rPr>
        <w:t>2,482,692 Shares of Common Stock</w:t>
      </w:r>
    </w:p>
    <w:p>
      <w:pPr>
        <w:spacing w:after="0" w:line="77" w:lineRule="exact"/>
        <w:rPr>
          <w:sz w:val="24"/>
          <w:szCs w:val="24"/>
          <w:color w:val="auto"/>
        </w:rPr>
      </w:pPr>
    </w:p>
    <w:p>
      <w:pPr>
        <w:ind w:left="1480"/>
        <w:spacing w:after="0"/>
        <w:rPr>
          <w:sz w:val="20"/>
          <w:szCs w:val="20"/>
          <w:color w:val="auto"/>
        </w:rPr>
      </w:pPr>
      <w:r>
        <w:rPr>
          <w:rFonts w:ascii="Arial" w:cs="Arial" w:eastAsia="Arial" w:hAnsi="Arial"/>
          <w:sz w:val="25"/>
          <w:szCs w:val="25"/>
          <w:color w:val="auto"/>
        </w:rPr>
        <w:t>Pre-Funded Warrants to Purchase Up to 1,363,469 Shares of Common</w:t>
      </w:r>
    </w:p>
    <w:p>
      <w:pPr>
        <w:spacing w:after="0" w:line="7" w:lineRule="exact"/>
        <w:rPr>
          <w:sz w:val="24"/>
          <w:szCs w:val="24"/>
          <w:color w:val="auto"/>
        </w:rPr>
      </w:pPr>
    </w:p>
    <w:p>
      <w:pPr>
        <w:ind w:left="5060"/>
        <w:spacing w:after="0"/>
        <w:rPr>
          <w:sz w:val="20"/>
          <w:szCs w:val="20"/>
          <w:color w:val="auto"/>
        </w:rPr>
      </w:pPr>
      <w:r>
        <w:rPr>
          <w:rFonts w:ascii="Arial" w:cs="Arial" w:eastAsia="Arial" w:hAnsi="Arial"/>
          <w:sz w:val="25"/>
          <w:szCs w:val="25"/>
          <w:color w:val="auto"/>
        </w:rPr>
        <w:t>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1957070</wp:posOffset>
            </wp:positionH>
            <wp:positionV relativeFrom="paragraph">
              <wp:posOffset>73660</wp:posOffset>
            </wp:positionV>
            <wp:extent cx="290576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We are offering 2,482,692 shares of our common stock and, in lieu of common stock to certain investors that so choose, pre-funded warrants to purchase up to 1,363,469 shares of common stock. The</w:t>
      </w:r>
    </w:p>
    <w:p>
      <w:pPr>
        <w:spacing w:after="0" w:line="1" w:lineRule="exact"/>
        <w:rPr>
          <w:sz w:val="24"/>
          <w:szCs w:val="24"/>
          <w:color w:val="auto"/>
        </w:rPr>
      </w:pPr>
    </w:p>
    <w:p>
      <w:pPr>
        <w:ind w:left="1260" w:right="679"/>
        <w:spacing w:after="0"/>
        <w:rPr>
          <w:sz w:val="20"/>
          <w:szCs w:val="20"/>
          <w:color w:val="auto"/>
        </w:rPr>
      </w:pPr>
      <w:r>
        <w:rPr>
          <w:rFonts w:ascii="Arial" w:cs="Arial" w:eastAsia="Arial" w:hAnsi="Arial"/>
          <w:sz w:val="17"/>
          <w:szCs w:val="17"/>
          <w:color w:val="auto"/>
        </w:rPr>
        <w:t>purchase price of each pre-funded warrant equals the price per share at which common stock is being sold to the public in this offering, minus $0.0001, and the exercise price of each pre-funded warrant</w:t>
      </w:r>
    </w:p>
    <w:p>
      <w:pPr>
        <w:spacing w:after="0" w:line="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equals $0.0001 per share.</w:t>
      </w:r>
    </w:p>
    <w:p>
      <w:pPr>
        <w:spacing w:after="0" w:line="72"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Our common stock is listed on The Nasdaq Global Market (Nasdaq) under the symbol “AVBP.” The</w:t>
      </w:r>
    </w:p>
    <w:p>
      <w:pPr>
        <w:spacing w:after="0" w:line="14" w:lineRule="exact"/>
        <w:rPr>
          <w:sz w:val="24"/>
          <w:szCs w:val="24"/>
          <w:color w:val="auto"/>
        </w:rPr>
      </w:pPr>
    </w:p>
    <w:p>
      <w:pPr>
        <w:ind w:left="1260" w:right="539"/>
        <w:spacing w:after="0"/>
        <w:rPr>
          <w:sz w:val="20"/>
          <w:szCs w:val="20"/>
          <w:color w:val="auto"/>
        </w:rPr>
      </w:pPr>
      <w:r>
        <w:rPr>
          <w:rFonts w:ascii="Arial" w:cs="Arial" w:eastAsia="Arial" w:hAnsi="Arial"/>
          <w:sz w:val="17"/>
          <w:szCs w:val="17"/>
          <w:color w:val="auto"/>
        </w:rPr>
        <w:t>last reported sale price of our common stock on Nasdaq on July 1, 2025 was $20.89 per share. There is no established public trading market for the pre-funded warrants, and we do not expect a market to</w:t>
      </w:r>
    </w:p>
    <w:p>
      <w:pPr>
        <w:spacing w:after="0" w:line="1" w:lineRule="exact"/>
        <w:rPr>
          <w:sz w:val="24"/>
          <w:szCs w:val="24"/>
          <w:color w:val="auto"/>
        </w:rPr>
      </w:pPr>
    </w:p>
    <w:p>
      <w:pPr>
        <w:ind w:left="1260" w:right="759"/>
        <w:spacing w:after="0" w:line="250" w:lineRule="auto"/>
        <w:rPr>
          <w:sz w:val="20"/>
          <w:szCs w:val="20"/>
          <w:color w:val="auto"/>
        </w:rPr>
      </w:pPr>
      <w:r>
        <w:rPr>
          <w:rFonts w:ascii="Arial" w:cs="Arial" w:eastAsia="Arial" w:hAnsi="Arial"/>
          <w:sz w:val="18"/>
          <w:szCs w:val="18"/>
          <w:color w:val="auto"/>
        </w:rPr>
        <w:t>develop. In addition, we do not intend to apply for a listing of the pre-funded warrants on Nasdaq, any other national securities exchange or any other nationally recognized trading system.</w:t>
      </w:r>
    </w:p>
    <w:p>
      <w:pPr>
        <w:spacing w:after="0" w:line="73"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Per Pre-Funded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4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 ​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300" w:type="dxa"/>
            <w:vAlign w:val="bottom"/>
          </w:tcPr>
          <w:p>
            <w:pPr>
              <w:ind w:left="340"/>
              <w:spacing w:after="0"/>
              <w:rPr>
                <w:sz w:val="20"/>
                <w:szCs w:val="20"/>
                <w:color w:val="auto"/>
              </w:rPr>
            </w:pPr>
            <w:r>
              <w:rPr>
                <w:rFonts w:ascii="Arial" w:cs="Arial" w:eastAsia="Arial" w:hAnsi="Arial"/>
                <w:sz w:val="18"/>
                <w:szCs w:val="18"/>
                <w:color w:val="auto"/>
              </w:rPr>
              <w:t>Warrant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040" w:type="dxa"/>
            <w:vAlign w:val="bottom"/>
          </w:tcPr>
          <w:p>
            <w:pPr>
              <w:ind w:left="260"/>
              <w:spacing w:after="0"/>
              <w:rPr>
                <w:sz w:val="20"/>
                <w:szCs w:val="20"/>
                <w:color w:val="auto"/>
              </w:rPr>
            </w:pPr>
            <w:r>
              <w:rPr>
                <w:rFonts w:ascii="Arial" w:cs="Arial" w:eastAsia="Arial" w:hAnsi="Arial"/>
                <w:sz w:val="18"/>
                <w:szCs w:val="18"/>
                <w:color w:val="auto"/>
              </w:rPr>
              <w:t>Total</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​$ 19.50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​$19.4999</w:t>
            </w:r>
          </w:p>
        </w:tc>
        <w:tc>
          <w:tcPr>
            <w:tcW w:w="1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​​$75,000,003.16</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84"/>
        </w:trPr>
        <w:tc>
          <w:tcPr>
            <w:tcW w:w="4200" w:type="dxa"/>
            <w:vAlign w:val="bottom"/>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1"/>
                <w:szCs w:val="21"/>
                <w:color w:val="auto"/>
                <w:vertAlign w:val="superscript"/>
              </w:rPr>
              <w:t>(1)</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800" w:type="dxa"/>
            <w:vAlign w:val="bottom"/>
          </w:tcPr>
          <w:p>
            <w:pPr>
              <w:ind w:left="80"/>
              <w:spacing w:after="0"/>
              <w:rPr>
                <w:sz w:val="20"/>
                <w:szCs w:val="20"/>
                <w:color w:val="auto"/>
              </w:rPr>
            </w:pPr>
            <w:r>
              <w:rPr>
                <w:rFonts w:ascii="Arial" w:cs="Arial" w:eastAsia="Arial" w:hAnsi="Arial"/>
                <w:sz w:val="17"/>
                <w:szCs w:val="17"/>
                <w:color w:val="auto"/>
              </w:rPr>
              <w:t>​$  1.17</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1300" w:type="dxa"/>
            <w:vAlign w:val="bottom"/>
          </w:tcPr>
          <w:p>
            <w:pPr>
              <w:jc w:val="center"/>
              <w:spacing w:after="0"/>
              <w:rPr>
                <w:sz w:val="20"/>
                <w:szCs w:val="20"/>
                <w:color w:val="auto"/>
              </w:rPr>
            </w:pPr>
            <w:r>
              <w:rPr>
                <w:rFonts w:ascii="Arial" w:cs="Arial" w:eastAsia="Arial" w:hAnsi="Arial"/>
                <w:sz w:val="17"/>
                <w:szCs w:val="17"/>
                <w:color w:val="auto"/>
              </w:rPr>
              <w:t>​$ 1.1700</w:t>
            </w:r>
          </w:p>
        </w:tc>
        <w:tc>
          <w:tcPr>
            <w:tcW w:w="360" w:type="dxa"/>
            <w:vAlign w:val="bottom"/>
            <w:gridSpan w:val="2"/>
          </w:tcPr>
          <w:p>
            <w:pPr>
              <w:spacing w:after="0"/>
              <w:rPr>
                <w:sz w:val="20"/>
                <w:szCs w:val="20"/>
                <w:color w:val="auto"/>
              </w:rPr>
            </w:pPr>
            <w:r>
              <w:rPr>
                <w:rFonts w:ascii="Arial" w:cs="Arial" w:eastAsia="Arial" w:hAnsi="Arial"/>
                <w:sz w:val="17"/>
                <w:szCs w:val="17"/>
                <w:color w:val="auto"/>
              </w:rPr>
              <w:t>​​ ​​$</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4,500,008.37​</w:t>
            </w:r>
          </w:p>
        </w:tc>
      </w:tr>
      <w:tr>
        <w:trPr>
          <w:trHeight w:val="25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shd w:val="clear" w:color="auto" w:fill="CCEEFF"/>
              </w:rPr>
              <w:t>Proceeds to ArriVent BioPharma, Inc., before expenses</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shd w:val="clear" w:color="auto" w:fill="CCEEFF"/>
              </w:rPr>
              <w:t>​ ​</w:t>
            </w:r>
          </w:p>
        </w:tc>
        <w:tc>
          <w:tcPr>
            <w:tcW w:w="8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shd w:val="clear" w:color="auto" w:fill="CCEEFF"/>
              </w:rPr>
              <w:t>​$ 18.33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 ​</w:t>
            </w:r>
          </w:p>
        </w:tc>
        <w:tc>
          <w:tcPr>
            <w:tcW w:w="1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shd w:val="clear" w:color="auto" w:fill="CCEEFF"/>
              </w:rPr>
              <w:t>​$18.3299</w:t>
            </w:r>
          </w:p>
        </w:tc>
        <w:tc>
          <w:tcPr>
            <w:tcW w:w="1400" w:type="dxa"/>
            <w:vAlign w:val="bottom"/>
            <w:gridSpan w:val="3"/>
            <w:shd w:val="clear" w:color="auto" w:fill="CCEEFF"/>
          </w:tcPr>
          <w:p>
            <w:pPr>
              <w:spacing w:after="0"/>
              <w:rPr>
                <w:sz w:val="20"/>
                <w:szCs w:val="20"/>
                <w:color w:val="auto"/>
              </w:rPr>
            </w:pPr>
            <w:r>
              <w:rPr>
                <w:rFonts w:ascii="Arial" w:cs="Arial" w:eastAsia="Arial" w:hAnsi="Arial"/>
                <w:sz w:val="17"/>
                <w:szCs w:val="17"/>
                <w:color w:val="auto"/>
                <w:shd w:val="clear" w:color="auto" w:fill="CCEEFF"/>
              </w:rPr>
              <w:t>​​ ​​$70,499,994.79</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5120640</wp:posOffset>
            </wp:positionH>
            <wp:positionV relativeFrom="paragraph">
              <wp:posOffset>-513715</wp:posOffset>
            </wp:positionV>
            <wp:extent cx="120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3488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08" w:lineRule="exact"/>
        <w:rPr>
          <w:sz w:val="24"/>
          <w:szCs w:val="24"/>
          <w:color w:val="auto"/>
        </w:rPr>
      </w:pPr>
    </w:p>
    <w:p>
      <w:pPr>
        <w:ind w:left="1620" w:right="419" w:hanging="360"/>
        <w:spacing w:after="0" w:line="285" w:lineRule="auto"/>
        <w:tabs>
          <w:tab w:leader="none" w:pos="16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We refer you to “Underwriting” beginning on page </w:t>
      </w:r>
      <w:r>
        <w:rPr>
          <w:rFonts w:ascii="Arial" w:cs="Arial" w:eastAsia="Arial" w:hAnsi="Arial"/>
          <w:sz w:val="14"/>
          <w:szCs w:val="14"/>
          <w:u w:val="single" w:color="auto"/>
          <w:color w:val="0000EE"/>
        </w:rPr>
        <w:t>S-15</w:t>
      </w:r>
      <w:r>
        <w:rPr>
          <w:rFonts w:ascii="Arial" w:cs="Arial" w:eastAsia="Arial" w:hAnsi="Arial"/>
          <w:sz w:val="14"/>
          <w:szCs w:val="14"/>
          <w:color w:val="auto"/>
        </w:rPr>
        <w:t xml:space="preserve"> of this prospectus supplement for additional information regarding total underwriting compensation.</w:t>
      </w:r>
    </w:p>
    <w:p>
      <w:pPr>
        <w:spacing w:after="0" w:line="13"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We have granted the underwriters an option for a period of 30 days to purchase up to an additional</w:t>
      </w:r>
    </w:p>
    <w:p>
      <w:pPr>
        <w:spacing w:after="0" w:line="14" w:lineRule="exact"/>
        <w:rPr>
          <w:sz w:val="24"/>
          <w:szCs w:val="24"/>
          <w:color w:val="auto"/>
        </w:rPr>
      </w:pPr>
    </w:p>
    <w:p>
      <w:pPr>
        <w:ind w:left="1260" w:right="499"/>
        <w:spacing w:after="0"/>
        <w:rPr>
          <w:sz w:val="20"/>
          <w:szCs w:val="20"/>
          <w:color w:val="auto"/>
        </w:rPr>
      </w:pPr>
      <w:r>
        <w:rPr>
          <w:rFonts w:ascii="Arial" w:cs="Arial" w:eastAsia="Arial" w:hAnsi="Arial"/>
          <w:sz w:val="17"/>
          <w:szCs w:val="17"/>
          <w:color w:val="auto"/>
        </w:rPr>
        <w:t>576,923 shares of our common stock. If the underwriters exercise the option in full, the total underwriting discounts and commissions payable by us will be $5.2 million, and the total gross proceeds to us will be</w:t>
      </w:r>
    </w:p>
    <w:p>
      <w:pPr>
        <w:spacing w:after="0" w:line="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$86.3 million. See “Underwriting”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117475</wp:posOffset>
            </wp:positionV>
            <wp:extent cx="1028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09" w:lineRule="exact"/>
        <w:rPr>
          <w:sz w:val="24"/>
          <w:szCs w:val="24"/>
          <w:color w:val="auto"/>
        </w:rPr>
      </w:pPr>
    </w:p>
    <w:p>
      <w:pPr>
        <w:ind w:left="1260" w:right="759" w:firstLine="360"/>
        <w:spacing w:after="0" w:line="251" w:lineRule="auto"/>
        <w:rPr>
          <w:sz w:val="20"/>
          <w:szCs w:val="20"/>
          <w:color w:val="auto"/>
        </w:rPr>
      </w:pPr>
      <w:r>
        <w:rPr>
          <w:rFonts w:ascii="Arial" w:cs="Arial" w:eastAsia="Arial" w:hAnsi="Arial"/>
          <w:sz w:val="17"/>
          <w:szCs w:val="17"/>
          <w:b w:val="1"/>
          <w:bCs w:val="1"/>
          <w:color w:val="auto"/>
        </w:rPr>
        <w:t xml:space="preserve">Investing in our common stock involves a high degree of risk. Please read “Risk Factors” beginning on page </w:t>
      </w:r>
      <w:r>
        <w:rPr>
          <w:rFonts w:ascii="Arial" w:cs="Arial" w:eastAsia="Arial" w:hAnsi="Arial"/>
          <w:sz w:val="17"/>
          <w:szCs w:val="17"/>
          <w:b w:val="1"/>
          <w:bCs w:val="1"/>
          <w:u w:val="single" w:color="auto"/>
          <w:color w:val="0000EE"/>
        </w:rPr>
        <w:t>S-7</w:t>
      </w:r>
      <w:r>
        <w:rPr>
          <w:rFonts w:ascii="Arial" w:cs="Arial" w:eastAsia="Arial" w:hAnsi="Arial"/>
          <w:sz w:val="17"/>
          <w:szCs w:val="17"/>
          <w:b w:val="1"/>
          <w:bCs w:val="1"/>
          <w:color w:val="auto"/>
        </w:rPr>
        <w:t xml:space="preserve"> of this prospectus supplement and beginning on page 3 of the</w:t>
      </w:r>
    </w:p>
    <w:p>
      <w:pPr>
        <w:spacing w:after="0" w:line="1" w:lineRule="exact"/>
        <w:rPr>
          <w:sz w:val="24"/>
          <w:szCs w:val="24"/>
          <w:color w:val="auto"/>
        </w:rPr>
      </w:pPr>
    </w:p>
    <w:p>
      <w:pPr>
        <w:ind w:left="1260" w:right="859"/>
        <w:spacing w:after="0" w:line="260" w:lineRule="auto"/>
        <w:rPr>
          <w:sz w:val="20"/>
          <w:szCs w:val="20"/>
          <w:color w:val="auto"/>
        </w:rPr>
      </w:pPr>
      <w:r>
        <w:rPr>
          <w:rFonts w:ascii="Arial" w:cs="Arial" w:eastAsia="Arial" w:hAnsi="Arial"/>
          <w:sz w:val="18"/>
          <w:szCs w:val="18"/>
          <w:b w:val="1"/>
          <w:bCs w:val="1"/>
          <w:color w:val="auto"/>
        </w:rPr>
        <w:t>accompanying prospectus and in the documents that are incorporated by reference into this prospectus supplement.</w:t>
      </w:r>
    </w:p>
    <w:p>
      <w:pPr>
        <w:spacing w:after="0" w:line="33" w:lineRule="exact"/>
        <w:rPr>
          <w:sz w:val="24"/>
          <w:szCs w:val="24"/>
          <w:color w:val="auto"/>
        </w:rPr>
      </w:pPr>
    </w:p>
    <w:p>
      <w:pPr>
        <w:ind w:left="1260" w:right="639" w:firstLine="360"/>
        <w:spacing w:after="0" w:line="25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w:t>
      </w:r>
    </w:p>
    <w:p>
      <w:pPr>
        <w:spacing w:after="0" w:line="1" w:lineRule="exact"/>
        <w:rPr>
          <w:sz w:val="24"/>
          <w:szCs w:val="24"/>
          <w:color w:val="auto"/>
        </w:rPr>
      </w:pPr>
    </w:p>
    <w:p>
      <w:pPr>
        <w:ind w:left="1260" w:right="479"/>
        <w:spacing w:after="0" w:line="260" w:lineRule="auto"/>
        <w:rPr>
          <w:sz w:val="20"/>
          <w:szCs w:val="20"/>
          <w:color w:val="auto"/>
        </w:rPr>
      </w:pPr>
      <w:r>
        <w:rPr>
          <w:rFonts w:ascii="Arial" w:cs="Arial" w:eastAsia="Arial" w:hAnsi="Arial"/>
          <w:sz w:val="18"/>
          <w:szCs w:val="18"/>
          <w:b w:val="1"/>
          <w:bCs w:val="1"/>
          <w:color w:val="auto"/>
        </w:rPr>
        <w:t>prospectus supplement or the accompanying prospectus. Any representation to the contrary is a criminal offense.</w:t>
      </w:r>
    </w:p>
    <w:p>
      <w:pPr>
        <w:spacing w:after="0" w:line="33" w:lineRule="exact"/>
        <w:rPr>
          <w:sz w:val="24"/>
          <w:szCs w:val="24"/>
          <w:color w:val="auto"/>
        </w:rPr>
      </w:pPr>
    </w:p>
    <w:p>
      <w:pPr>
        <w:ind w:left="1260" w:right="679" w:firstLine="360"/>
        <w:spacing w:after="0" w:line="256" w:lineRule="auto"/>
        <w:rPr>
          <w:sz w:val="20"/>
          <w:szCs w:val="20"/>
          <w:color w:val="auto"/>
        </w:rPr>
      </w:pPr>
      <w:r>
        <w:rPr>
          <w:rFonts w:ascii="Arial" w:cs="Arial" w:eastAsia="Arial" w:hAnsi="Arial"/>
          <w:sz w:val="18"/>
          <w:szCs w:val="18"/>
          <w:color w:val="auto"/>
        </w:rPr>
        <w:t>Delivery of the shares of common stock and pre-funded warrants will be made on or about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100330</wp:posOffset>
            </wp:positionV>
            <wp:extent cx="1028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83" w:lineRule="exact"/>
        <w:rPr>
          <w:sz w:val="24"/>
          <w:szCs w:val="24"/>
          <w:color w:val="auto"/>
        </w:rPr>
      </w:pPr>
    </w:p>
    <w:p>
      <w:pPr>
        <w:jc w:val="center"/>
        <w:ind w:right="-840"/>
        <w:spacing w:after="0"/>
        <w:rPr>
          <w:sz w:val="20"/>
          <w:szCs w:val="20"/>
          <w:color w:val="auto"/>
        </w:rPr>
      </w:pPr>
      <w:r>
        <w:rPr>
          <w:rFonts w:ascii="Arial" w:cs="Arial" w:eastAsia="Arial" w:hAnsi="Arial"/>
          <w:sz w:val="18"/>
          <w:szCs w:val="18"/>
          <w:i w:val="1"/>
          <w:iCs w:val="1"/>
          <w:color w:val="auto"/>
        </w:rPr>
        <w:t>Joint Book-Running Managers</w:t>
      </w:r>
    </w:p>
    <w:p>
      <w:pPr>
        <w:spacing w:after="0" w:line="82" w:lineRule="exact"/>
        <w:rPr>
          <w:sz w:val="24"/>
          <w:szCs w:val="24"/>
          <w:color w:val="auto"/>
        </w:rPr>
      </w:pPr>
    </w:p>
    <w:p>
      <w:pPr>
        <w:jc w:val="center"/>
        <w:ind w:right="-900"/>
        <w:spacing w:after="0"/>
        <w:tabs>
          <w:tab w:leader="none" w:pos="180" w:val="left"/>
          <w:tab w:leader="none" w:pos="220" w:val="left"/>
        </w:tabs>
        <w:rPr>
          <w:sz w:val="20"/>
          <w:szCs w:val="20"/>
          <w:color w:val="auto"/>
        </w:rPr>
      </w:pPr>
      <w:r>
        <w:rPr>
          <w:rFonts w:ascii="Arial" w:cs="Arial" w:eastAsia="Arial" w:hAnsi="Arial"/>
          <w:sz w:val="25"/>
          <w:szCs w:val="25"/>
          <w:b w:val="1"/>
          <w:bCs w:val="1"/>
          <w:color w:val="auto"/>
        </w:rPr>
        <w:t>​Goldman Sachs &amp; Co. LLC ​  ​</w:t>
        <w:tab/>
        <w:t>Citigroup​  ​</w:t>
        <w:tab/>
        <w:t>Guggenheim Securities​</w:t>
      </w:r>
    </w:p>
    <w:p>
      <w:pPr>
        <w:spacing w:after="0" w:line="112" w:lineRule="exact"/>
        <w:rPr>
          <w:sz w:val="24"/>
          <w:szCs w:val="24"/>
          <w:color w:val="auto"/>
        </w:rPr>
      </w:pPr>
    </w:p>
    <w:p>
      <w:pPr>
        <w:jc w:val="center"/>
        <w:ind w:right="-840"/>
        <w:spacing w:after="0"/>
        <w:rPr>
          <w:sz w:val="20"/>
          <w:szCs w:val="20"/>
          <w:color w:val="auto"/>
        </w:rPr>
      </w:pPr>
      <w:r>
        <w:rPr>
          <w:rFonts w:ascii="Arial" w:cs="Arial" w:eastAsia="Arial" w:hAnsi="Arial"/>
          <w:sz w:val="18"/>
          <w:szCs w:val="18"/>
          <w:i w:val="1"/>
          <w:iCs w:val="1"/>
          <w:color w:val="auto"/>
        </w:rPr>
        <w:t>Lead Managers</w:t>
      </w:r>
    </w:p>
    <w:p>
      <w:pPr>
        <w:spacing w:after="0" w:line="92" w:lineRule="exact"/>
        <w:rPr>
          <w:sz w:val="24"/>
          <w:szCs w:val="24"/>
          <w:color w:val="auto"/>
        </w:rPr>
      </w:pPr>
    </w:p>
    <w:p>
      <w:pPr>
        <w:ind w:left="1260"/>
        <w:spacing w:after="0"/>
        <w:tabs>
          <w:tab w:leader="none" w:pos="3900" w:val="left"/>
          <w:tab w:leader="none" w:pos="5080" w:val="left"/>
          <w:tab w:leader="none" w:pos="6240" w:val="left"/>
          <w:tab w:leader="none" w:pos="7440" w:val="left"/>
        </w:tabs>
        <w:rPr>
          <w:sz w:val="20"/>
          <w:szCs w:val="20"/>
          <w:color w:val="auto"/>
        </w:rPr>
      </w:pPr>
      <w:r>
        <w:rPr>
          <w:rFonts w:ascii="Arial" w:cs="Arial" w:eastAsia="Arial" w:hAnsi="Arial"/>
          <w:sz w:val="22"/>
          <w:szCs w:val="22"/>
          <w:b w:val="1"/>
          <w:bCs w:val="1"/>
          <w:color w:val="auto"/>
        </w:rPr>
        <w:t>LifeSci​ Capital​</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Oppenheimer &amp; Co.​</w:t>
      </w:r>
    </w:p>
    <w:p>
      <w:pPr>
        <w:spacing w:after="0" w:line="96" w:lineRule="exact"/>
        <w:rPr>
          <w:sz w:val="24"/>
          <w:szCs w:val="24"/>
          <w:color w:val="auto"/>
        </w:rPr>
      </w:pPr>
    </w:p>
    <w:p>
      <w:pPr>
        <w:jc w:val="center"/>
        <w:ind w:right="-840"/>
        <w:spacing w:after="0"/>
        <w:rPr>
          <w:sz w:val="20"/>
          <w:szCs w:val="20"/>
          <w:color w:val="auto"/>
        </w:rPr>
      </w:pPr>
      <w:r>
        <w:rPr>
          <w:rFonts w:ascii="Arial" w:cs="Arial" w:eastAsia="Arial" w:hAnsi="Arial"/>
          <w:sz w:val="18"/>
          <w:szCs w:val="18"/>
          <w:i w:val="1"/>
          <w:iCs w:val="1"/>
          <w:color w:val="auto"/>
        </w:rPr>
        <w:t>Co-Managers</w:t>
      </w:r>
    </w:p>
    <w:p>
      <w:pPr>
        <w:spacing w:after="0" w:line="92" w:lineRule="exact"/>
        <w:rPr>
          <w:sz w:val="24"/>
          <w:szCs w:val="24"/>
          <w:color w:val="auto"/>
        </w:rPr>
      </w:pPr>
    </w:p>
    <w:p>
      <w:pPr>
        <w:jc w:val="right"/>
        <w:ind w:right="359"/>
        <w:spacing w:after="0"/>
        <w:tabs>
          <w:tab w:leader="none" w:pos="5640" w:val="left"/>
          <w:tab w:leader="none" w:pos="5240" w:val="left"/>
          <w:tab w:leader="none" w:pos="2840" w:val="left"/>
          <w:tab w:leader="none" w:pos="660" w:val="left"/>
        </w:tabs>
        <w:rPr>
          <w:sz w:val="20"/>
          <w:szCs w:val="20"/>
          <w:color w:val="auto"/>
        </w:rPr>
      </w:pPr>
      <w:r>
        <w:rPr>
          <w:rFonts w:ascii="Arial" w:cs="Arial" w:eastAsia="Arial" w:hAnsi="Arial"/>
          <w:sz w:val="22"/>
          <w:szCs w:val="22"/>
          <w:b w:val="1"/>
          <w:bCs w:val="1"/>
          <w:color w:val="auto"/>
        </w:rPr>
        <w:t>​B. Riley Securities</w:t>
      </w:r>
      <w:r>
        <w:rPr>
          <w:sz w:val="20"/>
          <w:szCs w:val="20"/>
          <w:color w:val="auto"/>
        </w:rPr>
        <w:tab/>
      </w:r>
      <w:r>
        <w:rPr>
          <w:rFonts w:ascii="Arial" w:cs="Arial" w:eastAsia="Arial" w:hAnsi="Arial"/>
          <w:sz w:val="22"/>
          <w:szCs w:val="22"/>
          <w:b w:val="1"/>
          <w:bCs w:val="1"/>
          <w:color w:val="auto"/>
        </w:rPr>
        <w:t>​ ​</w:t>
        <w:tab/>
        <w:t>H.C. Wainwright &amp; Co.</w:t>
        <w:tab/>
        <w:t>​ ​</w:t>
      </w:r>
      <w:r>
        <w:rPr>
          <w:sz w:val="20"/>
          <w:szCs w:val="20"/>
          <w:color w:val="auto"/>
        </w:rPr>
        <w:tab/>
      </w:r>
      <w:r>
        <w:rPr>
          <w:rFonts w:ascii="Arial" w:cs="Arial" w:eastAsia="Arial" w:hAnsi="Arial"/>
          <w:sz w:val="22"/>
          <w:szCs w:val="22"/>
          <w:b w:val="1"/>
          <w:bCs w:val="1"/>
          <w:color w:val="auto"/>
        </w:rPr>
        <w:t>Jones​</w:t>
      </w:r>
    </w:p>
    <w:p>
      <w:pPr>
        <w:sectPr>
          <w:pgSz w:w="11900" w:h="16838" w:orient="portrait"/>
          <w:cols w:equalWidth="0" w:num="1">
            <w:col w:w="9879"/>
          </w:cols>
          <w:pgMar w:left="580" w:top="205" w:right="1440" w:bottom="1440" w:gutter="0" w:footer="0" w:header="0"/>
        </w:sectPr>
      </w:pPr>
    </w:p>
    <w:p>
      <w:pPr>
        <w:spacing w:after="0" w:line="67"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The date of this Prospectus Supplement is July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20" w:type="dxa"/>
            <w:vAlign w:val="bottom"/>
            <w:gridSpan w:val="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340" w:type="dxa"/>
            <w:vAlign w:val="bottom"/>
            <w:gridSpan w:val="22"/>
          </w:tcPr>
          <w:p>
            <w:pPr>
              <w:spacing w:after="0"/>
              <w:rPr>
                <w:sz w:val="20"/>
                <w:szCs w:val="20"/>
                <w:color w:val="auto"/>
              </w:rPr>
            </w:pPr>
            <w:r>
              <w:rPr>
                <w:rFonts w:ascii="Arial" w:cs="Arial" w:eastAsia="Arial" w:hAnsi="Arial"/>
                <w:sz w:val="18"/>
                <w:szCs w:val="18"/>
                <w:b w:val="1"/>
                <w:bCs w:val="1"/>
                <w:color w:val="auto"/>
              </w:rPr>
              <w:t>Prospectus Supplement</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340" w:type="dxa"/>
            <w:vAlign w:val="bottom"/>
            <w:gridSpan w:val="22"/>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 Supplement</w:t>
            </w:r>
          </w:p>
        </w:tc>
        <w:tc>
          <w:tcPr>
            <w:tcW w:w="1520" w:type="dxa"/>
            <w:vAlign w:val="bottom"/>
            <w:tcBorders>
              <w:right w:val="single" w:sz="8" w:color="CCEEFF"/>
            </w:tcBorders>
            <w:gridSpan w:val="3"/>
            <w:shd w:val="clear" w:color="auto" w:fill="CCEEFF"/>
          </w:tcPr>
          <w:p>
            <w:pPr>
              <w:ind w:left="1300"/>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color w:val="0000EE"/>
                <w:w w:val="86"/>
              </w:rPr>
              <w:t>S-ii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gridSpan w:val="16"/>
          </w:tcPr>
          <w:p>
            <w:pPr>
              <w:spacing w:after="0" w:line="202" w:lineRule="exact"/>
              <w:rPr>
                <w:sz w:val="20"/>
                <w:szCs w:val="20"/>
                <w:color w:val="auto"/>
              </w:rPr>
            </w:pPr>
            <w:r>
              <w:rPr>
                <w:rFonts w:ascii="Arial" w:cs="Arial" w:eastAsia="Arial" w:hAnsi="Arial"/>
                <w:sz w:val="18"/>
                <w:szCs w:val="18"/>
                <w:color w:val="0000EE"/>
                <w:w w:val="96"/>
              </w:rPr>
              <w:t>Prospectus Supplement Summary</w:t>
            </w:r>
          </w:p>
        </w:tc>
        <w:tc>
          <w:tcPr>
            <w:tcW w:w="366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300" w:type="dxa"/>
            <w:vAlign w:val="bottom"/>
            <w:gridSpan w:val="4"/>
          </w:tcPr>
          <w:p>
            <w:pPr>
              <w:spacing w:after="0" w:line="202" w:lineRule="exact"/>
              <w:rPr>
                <w:sz w:val="20"/>
                <w:szCs w:val="20"/>
                <w:color w:val="auto"/>
              </w:rPr>
            </w:pPr>
            <w:r>
              <w:rPr>
                <w:rFonts w:ascii="Arial" w:cs="Arial" w:eastAsia="Arial" w:hAnsi="Arial"/>
                <w:sz w:val="18"/>
                <w:szCs w:val="18"/>
                <w:color w:val="0000EE"/>
                <w:w w:val="99"/>
              </w:rPr>
              <w:t>S-1</w:t>
            </w:r>
          </w:p>
        </w:tc>
        <w:tc>
          <w:tcPr>
            <w:tcW w:w="0" w:type="dxa"/>
            <w:vAlign w:val="bottom"/>
          </w:tcPr>
          <w:p>
            <w:pPr>
              <w:spacing w:after="0"/>
              <w:rPr>
                <w:sz w:val="1"/>
                <w:szCs w:val="1"/>
                <w:color w:val="auto"/>
              </w:rPr>
            </w:pPr>
          </w:p>
        </w:tc>
      </w:tr>
      <w:tr>
        <w:trPr>
          <w:trHeight w:val="27"/>
        </w:trPr>
        <w:tc>
          <w:tcPr>
            <w:tcW w:w="2680" w:type="dxa"/>
            <w:vAlign w:val="bottom"/>
            <w:gridSpan w:val="1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The Offering</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0000EE"/>
                <w:w w:val="71"/>
              </w:rPr>
              <w:t>S-5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0" w:type="dxa"/>
            <w:vAlign w:val="bottom"/>
            <w:tcBorders>
              <w:left w:val="single" w:sz="8" w:color="CCEEFF"/>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left w:val="single" w:sz="8" w:color="CCEEFF"/>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50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CCEEFF"/>
          </w:tcPr>
          <w:p>
            <w:pPr>
              <w:spacing w:after="0"/>
              <w:rPr>
                <w:sz w:val="2"/>
                <w:szCs w:val="2"/>
                <w:color w:val="auto"/>
              </w:rPr>
            </w:pPr>
          </w:p>
        </w:tc>
        <w:tc>
          <w:tcPr>
            <w:tcW w:w="216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gridSpan w:val="2"/>
            <w:shd w:val="clear" w:color="auto" w:fill="CCEEFF"/>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00" w:type="dxa"/>
            <w:vAlign w:val="bottom"/>
            <w:tcBorders>
              <w:bottom w:val="single" w:sz="8" w:color="CCEEFF"/>
              <w:right w:val="single" w:sz="8" w:color="0000EE"/>
            </w:tcBorders>
            <w:shd w:val="clear" w:color="auto" w:fill="CCEEFF"/>
          </w:tcPr>
          <w:p>
            <w:pPr>
              <w:spacing w:after="0"/>
              <w:rPr>
                <w:sz w:val="2"/>
                <w:szCs w:val="2"/>
                <w:color w:val="auto"/>
              </w:rPr>
            </w:pPr>
          </w:p>
        </w:tc>
        <w:tc>
          <w:tcPr>
            <w:tcW w:w="6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00" w:type="dxa"/>
            <w:vAlign w:val="bottom"/>
            <w:gridSpan w:val="4"/>
          </w:tcPr>
          <w:p>
            <w:pPr>
              <w:spacing w:after="0"/>
              <w:rPr>
                <w:sz w:val="20"/>
                <w:szCs w:val="20"/>
                <w:color w:val="auto"/>
              </w:rPr>
            </w:pPr>
            <w:r>
              <w:rPr>
                <w:rFonts w:ascii="Arial" w:cs="Arial" w:eastAsia="Arial" w:hAnsi="Arial"/>
                <w:sz w:val="18"/>
                <w:szCs w:val="18"/>
                <w:color w:val="0000EE"/>
                <w:w w:val="99"/>
              </w:rPr>
              <w:t>S-7</w:t>
            </w:r>
          </w:p>
        </w:tc>
        <w:tc>
          <w:tcPr>
            <w:tcW w:w="0" w:type="dxa"/>
            <w:vAlign w:val="bottom"/>
          </w:tcPr>
          <w:p>
            <w:pPr>
              <w:spacing w:after="0"/>
              <w:rPr>
                <w:sz w:val="1"/>
                <w:szCs w:val="1"/>
                <w:color w:val="auto"/>
              </w:rPr>
            </w:pPr>
          </w:p>
        </w:tc>
      </w:tr>
      <w:tr>
        <w:trPr>
          <w:trHeight w:val="27"/>
        </w:trPr>
        <w:tc>
          <w:tcPr>
            <w:tcW w:w="980" w:type="dxa"/>
            <w:vAlign w:val="bottom"/>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Special Note Regarding Forward-Looking Statements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0000EE"/>
                <w:w w:val="71"/>
              </w:rPr>
              <w:t>S-9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180" w:type="dxa"/>
            <w:vAlign w:val="bottom"/>
            <w:tcBorders>
              <w:bottom w:val="single" w:sz="8" w:color="CCEEFF"/>
            </w:tcBorders>
            <w:gridSpan w:val="2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16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gridSpan w:val="2"/>
            <w:shd w:val="clear" w:color="auto" w:fill="CCEEFF"/>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00" w:type="dxa"/>
            <w:vAlign w:val="bottom"/>
            <w:tcBorders>
              <w:bottom w:val="single" w:sz="8" w:color="CCEEFF"/>
              <w:right w:val="single" w:sz="8" w:color="0000EE"/>
            </w:tcBorders>
            <w:shd w:val="clear" w:color="auto" w:fill="CCEEFF"/>
          </w:tcPr>
          <w:p>
            <w:pPr>
              <w:spacing w:after="0"/>
              <w:rPr>
                <w:sz w:val="2"/>
                <w:szCs w:val="2"/>
                <w:color w:val="auto"/>
              </w:rPr>
            </w:pPr>
          </w:p>
        </w:tc>
        <w:tc>
          <w:tcPr>
            <w:tcW w:w="6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Use of Proceeds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6"/>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S-10</w:t>
            </w:r>
          </w:p>
        </w:tc>
        <w:tc>
          <w:tcPr>
            <w:tcW w:w="0" w:type="dxa"/>
            <w:vAlign w:val="bottom"/>
          </w:tcPr>
          <w:p>
            <w:pPr>
              <w:spacing w:after="0"/>
              <w:rPr>
                <w:sz w:val="1"/>
                <w:szCs w:val="1"/>
                <w:color w:val="auto"/>
              </w:rPr>
            </w:pPr>
          </w:p>
        </w:tc>
      </w:tr>
      <w:tr>
        <w:trPr>
          <w:trHeight w:val="27"/>
        </w:trPr>
        <w:tc>
          <w:tcPr>
            <w:tcW w:w="1300" w:type="dxa"/>
            <w:vAlign w:val="bottom"/>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Dividend Policy</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0000EE"/>
                <w:w w:val="94"/>
              </w:rPr>
              <w:t>S-11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0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8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left w:val="single" w:sz="8" w:color="CCEEFF"/>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50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460" w:type="dxa"/>
            <w:vAlign w:val="bottom"/>
            <w:tcBorders>
              <w:bottom w:val="single" w:sz="8" w:color="CCEEFF"/>
            </w:tcBorders>
            <w:gridSpan w:val="2"/>
            <w:shd w:val="clear" w:color="auto" w:fill="CCEEFF"/>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CCEEFF"/>
              <w:right w:val="single" w:sz="8" w:color="0000EE"/>
            </w:tcBorders>
            <w:shd w:val="clear" w:color="auto" w:fill="CCEEFF"/>
          </w:tcPr>
          <w:p>
            <w:pPr>
              <w:spacing w:after="0"/>
              <w:rPr>
                <w:sz w:val="2"/>
                <w:szCs w:val="2"/>
                <w:color w:val="auto"/>
              </w:rPr>
            </w:pPr>
          </w:p>
        </w:tc>
        <w:tc>
          <w:tcPr>
            <w:tcW w:w="10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Dilution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6"/>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S-12</w:t>
            </w:r>
          </w:p>
        </w:tc>
        <w:tc>
          <w:tcPr>
            <w:tcW w:w="0" w:type="dxa"/>
            <w:vAlign w:val="bottom"/>
          </w:tcPr>
          <w:p>
            <w:pPr>
              <w:spacing w:after="0"/>
              <w:rPr>
                <w:sz w:val="1"/>
                <w:szCs w:val="1"/>
                <w:color w:val="auto"/>
              </w:rPr>
            </w:pPr>
          </w:p>
        </w:tc>
      </w:tr>
      <w:tr>
        <w:trPr>
          <w:trHeight w:val="27"/>
        </w:trPr>
        <w:tc>
          <w:tcPr>
            <w:tcW w:w="58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Description of Pre-Funded Warrants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0000EE"/>
                <w:w w:val="94"/>
              </w:rPr>
              <w:t>S-13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820" w:type="dxa"/>
            <w:vAlign w:val="bottom"/>
            <w:tcBorders>
              <w:bottom w:val="single" w:sz="8" w:color="CCEEFF"/>
            </w:tcBorders>
            <w:gridSpan w:val="1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460" w:type="dxa"/>
            <w:vAlign w:val="bottom"/>
            <w:tcBorders>
              <w:bottom w:val="single" w:sz="8" w:color="CCEEFF"/>
            </w:tcBorders>
            <w:gridSpan w:val="2"/>
            <w:shd w:val="clear" w:color="auto" w:fill="CCEEFF"/>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CCEEFF"/>
              <w:right w:val="single" w:sz="8" w:color="0000EE"/>
            </w:tcBorders>
            <w:shd w:val="clear" w:color="auto" w:fill="CCEEFF"/>
          </w:tcPr>
          <w:p>
            <w:pPr>
              <w:spacing w:after="0"/>
              <w:rPr>
                <w:sz w:val="2"/>
                <w:szCs w:val="2"/>
                <w:color w:val="auto"/>
              </w:rPr>
            </w:pPr>
          </w:p>
        </w:tc>
        <w:tc>
          <w:tcPr>
            <w:tcW w:w="10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Underwriting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6"/>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S-15</w:t>
            </w:r>
          </w:p>
        </w:tc>
        <w:tc>
          <w:tcPr>
            <w:tcW w:w="0" w:type="dxa"/>
            <w:vAlign w:val="bottom"/>
          </w:tcPr>
          <w:p>
            <w:pPr>
              <w:spacing w:after="0"/>
              <w:rPr>
                <w:sz w:val="1"/>
                <w:szCs w:val="1"/>
                <w:color w:val="auto"/>
              </w:rPr>
            </w:pPr>
          </w:p>
        </w:tc>
      </w:tr>
      <w:tr>
        <w:trPr>
          <w:trHeight w:val="27"/>
        </w:trPr>
        <w:tc>
          <w:tcPr>
            <w:tcW w:w="980" w:type="dxa"/>
            <w:vAlign w:val="bottom"/>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0" w:type="dxa"/>
            <w:vAlign w:val="bottom"/>
            <w:tcBorders>
              <w:left w:val="single" w:sz="8" w:color="0000EE"/>
            </w:tcBorders>
          </w:tcPr>
          <w:p>
            <w:pPr>
              <w:spacing w:after="0"/>
              <w:rPr>
                <w:sz w:val="2"/>
                <w:szCs w:val="2"/>
                <w:color w:val="auto"/>
              </w:rPr>
            </w:pPr>
          </w:p>
        </w:tc>
        <w:tc>
          <w:tcPr>
            <w:tcW w:w="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0000EE"/>
                <w:w w:val="94"/>
              </w:rPr>
              <w:t>S-24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6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4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left w:val="single" w:sz="8" w:color="CCEEFF"/>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460" w:type="dxa"/>
            <w:vAlign w:val="bottom"/>
            <w:tcBorders>
              <w:bottom w:val="single" w:sz="8" w:color="CCEEFF"/>
            </w:tcBorders>
            <w:gridSpan w:val="2"/>
            <w:shd w:val="clear" w:color="auto" w:fill="CCEEFF"/>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CCEEFF"/>
              <w:right w:val="single" w:sz="8" w:color="0000EE"/>
            </w:tcBorders>
            <w:shd w:val="clear" w:color="auto" w:fill="CCEEFF"/>
          </w:tcPr>
          <w:p>
            <w:pPr>
              <w:spacing w:after="0"/>
              <w:rPr>
                <w:sz w:val="2"/>
                <w:szCs w:val="2"/>
                <w:color w:val="auto"/>
              </w:rPr>
            </w:pPr>
          </w:p>
        </w:tc>
        <w:tc>
          <w:tcPr>
            <w:tcW w:w="10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Experts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6"/>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S-24</w:t>
            </w:r>
          </w:p>
        </w:tc>
        <w:tc>
          <w:tcPr>
            <w:tcW w:w="0" w:type="dxa"/>
            <w:vAlign w:val="bottom"/>
          </w:tcPr>
          <w:p>
            <w:pPr>
              <w:spacing w:after="0"/>
              <w:rPr>
                <w:sz w:val="1"/>
                <w:szCs w:val="1"/>
                <w:color w:val="auto"/>
              </w:rPr>
            </w:pPr>
          </w:p>
        </w:tc>
      </w:tr>
      <w:tr>
        <w:trPr>
          <w:trHeight w:val="27"/>
        </w:trPr>
        <w:tc>
          <w:tcPr>
            <w:tcW w:w="600" w:type="dxa"/>
            <w:vAlign w:val="bottom"/>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80" w:type="dxa"/>
            <w:vAlign w:val="bottom"/>
            <w:gridSpan w:val="5"/>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0000EE"/>
                <w:w w:val="94"/>
              </w:rPr>
              <w:t>S-24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20" w:type="dxa"/>
            <w:vAlign w:val="bottom"/>
            <w:tcBorders>
              <w:bottom w:val="single" w:sz="8" w:color="CCEEFF"/>
            </w:tcBorders>
            <w:gridSpan w:val="1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40" w:type="dxa"/>
            <w:vAlign w:val="bottom"/>
            <w:tcBorders>
              <w:bottom w:val="single" w:sz="8" w:color="CCEEFF"/>
            </w:tcBorders>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460" w:type="dxa"/>
            <w:vAlign w:val="bottom"/>
            <w:tcBorders>
              <w:bottom w:val="single" w:sz="8" w:color="CCEEFF"/>
            </w:tcBorders>
            <w:gridSpan w:val="2"/>
            <w:shd w:val="clear" w:color="auto" w:fill="CCEEFF"/>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CCEEFF"/>
              <w:right w:val="single" w:sz="8" w:color="0000EE"/>
            </w:tcBorders>
            <w:shd w:val="clear" w:color="auto" w:fill="CCEEFF"/>
          </w:tcPr>
          <w:p>
            <w:pPr>
              <w:spacing w:after="0"/>
              <w:rPr>
                <w:sz w:val="2"/>
                <w:szCs w:val="2"/>
                <w:color w:val="auto"/>
              </w:rPr>
            </w:pPr>
          </w:p>
        </w:tc>
        <w:tc>
          <w:tcPr>
            <w:tcW w:w="10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Incorporation by Reference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6"/>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S-25</w:t>
            </w:r>
          </w:p>
        </w:tc>
        <w:tc>
          <w:tcPr>
            <w:tcW w:w="0" w:type="dxa"/>
            <w:vAlign w:val="bottom"/>
          </w:tcPr>
          <w:p>
            <w:pPr>
              <w:spacing w:after="0"/>
              <w:rPr>
                <w:sz w:val="1"/>
                <w:szCs w:val="1"/>
                <w:color w:val="auto"/>
              </w:rPr>
            </w:pPr>
          </w:p>
        </w:tc>
      </w:tr>
      <w:tr>
        <w:trPr>
          <w:trHeight w:val="27"/>
        </w:trPr>
        <w:tc>
          <w:tcPr>
            <w:tcW w:w="2120" w:type="dxa"/>
            <w:vAlign w:val="bottom"/>
            <w:gridSpan w:val="1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3080" w:type="dxa"/>
            <w:vAlign w:val="bottom"/>
            <w:gridSpan w:val="2"/>
          </w:tcPr>
          <w:p>
            <w:pPr>
              <w:spacing w:after="0"/>
              <w:rPr>
                <w:sz w:val="2"/>
                <w:szCs w:val="2"/>
                <w:color w:val="auto"/>
              </w:rPr>
            </w:pPr>
          </w:p>
        </w:tc>
        <w:tc>
          <w:tcPr>
            <w:tcW w:w="1460" w:type="dxa"/>
            <w:vAlign w:val="bottom"/>
            <w:gridSpan w:val="2"/>
          </w:tcPr>
          <w:p>
            <w:pPr>
              <w:ind w:left="1300"/>
              <w:spacing w:after="0" w:line="7" w:lineRule="exact"/>
              <w:rPr>
                <w:sz w:val="20"/>
                <w:szCs w:val="20"/>
                <w:color w:val="auto"/>
              </w:rPr>
            </w:pPr>
            <w:r>
              <w:rPr>
                <w:rFonts w:ascii="Arial" w:cs="Arial" w:eastAsia="Arial" w:hAnsi="Arial"/>
                <w:sz w:val="1"/>
                <w:szCs w:val="1"/>
                <w:color w:val="auto"/>
              </w:rPr>
              <w:t>​ ​</w:t>
            </w:r>
          </w:p>
        </w:tc>
        <w:tc>
          <w:tcPr>
            <w:tcW w:w="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471"/>
        </w:trPr>
        <w:tc>
          <w:tcPr>
            <w:tcW w:w="6340" w:type="dxa"/>
            <w:vAlign w:val="bottom"/>
            <w:gridSpan w:val="22"/>
          </w:tcPr>
          <w:p>
            <w:pPr>
              <w:spacing w:after="0"/>
              <w:rPr>
                <w:sz w:val="20"/>
                <w:szCs w:val="20"/>
                <w:color w:val="auto"/>
              </w:rPr>
            </w:pPr>
            <w:r>
              <w:rPr>
                <w:rFonts w:ascii="Arial" w:cs="Arial" w:eastAsia="Arial" w:hAnsi="Arial"/>
                <w:sz w:val="18"/>
                <w:szCs w:val="18"/>
                <w:b w:val="1"/>
                <w:bCs w:val="1"/>
                <w:color w:val="auto"/>
              </w:rPr>
              <w:t>Prospectus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680" w:type="dxa"/>
            <w:vAlign w:val="bottom"/>
            <w:gridSpan w:val="11"/>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4660" w:type="dxa"/>
            <w:vAlign w:val="bottom"/>
            <w:tcBorders>
              <w:left w:val="single" w:sz="8" w:color="CCEEFF"/>
            </w:tcBorders>
            <w:gridSpan w:val="11"/>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4"/>
            <w:shd w:val="clear" w:color="auto" w:fill="CCEEFF"/>
          </w:tcPr>
          <w:p>
            <w:pPr>
              <w:ind w:left="100"/>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6"/>
                <w:szCs w:val="6"/>
                <w:color w:val="0000EE"/>
                <w:w w:val="73"/>
              </w:rPr>
              <w:t>ii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gridSpan w:val="11"/>
          </w:tcPr>
          <w:p>
            <w:pPr>
              <w:spacing w:after="0" w:line="202" w:lineRule="exact"/>
              <w:rPr>
                <w:sz w:val="20"/>
                <w:szCs w:val="20"/>
                <w:color w:val="auto"/>
              </w:rPr>
            </w:pPr>
            <w:r>
              <w:rPr>
                <w:rFonts w:ascii="Arial" w:cs="Arial" w:eastAsia="Arial" w:hAnsi="Arial"/>
                <w:sz w:val="18"/>
                <w:szCs w:val="18"/>
                <w:color w:val="0000EE"/>
                <w:w w:val="95"/>
              </w:rPr>
              <w:t>Prospectus Summary</w:t>
            </w:r>
          </w:p>
        </w:tc>
        <w:tc>
          <w:tcPr>
            <w:tcW w:w="4660" w:type="dxa"/>
            <w:vAlign w:val="bottom"/>
            <w:gridSpan w:val="11"/>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ind w:left="100"/>
              <w:spacing w:after="0" w:line="202" w:lineRule="exact"/>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27"/>
        </w:trPr>
        <w:tc>
          <w:tcPr>
            <w:tcW w:w="1680" w:type="dxa"/>
            <w:vAlign w:val="bottom"/>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0000EE"/>
                <w:w w:val="71"/>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00" w:type="dxa"/>
            <w:vAlign w:val="bottom"/>
            <w:tcBorders>
              <w:left w:val="single" w:sz="8" w:color="CCEEFF"/>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2"/>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34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gridSpan w:val="2"/>
            <w:shd w:val="clear" w:color="auto" w:fill="CCEEFF"/>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right w:val="single" w:sz="8" w:color="0000EE"/>
            </w:tcBorders>
            <w:shd w:val="clear" w:color="auto" w:fill="CCEEFF"/>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Special Note Regarding Forward-Looking Statements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ind w:left="100"/>
              <w:spacing w:after="0"/>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7"/>
        </w:trPr>
        <w:tc>
          <w:tcPr>
            <w:tcW w:w="4180" w:type="dxa"/>
            <w:vAlign w:val="bottom"/>
            <w:gridSpan w:val="2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0000EE"/>
                <w:w w:val="71"/>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00" w:type="dxa"/>
            <w:vAlign w:val="bottom"/>
            <w:tcBorders>
              <w:bottom w:val="single" w:sz="8" w:color="CCEEFF"/>
            </w:tcBorders>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2"/>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34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gridSpan w:val="2"/>
            <w:shd w:val="clear" w:color="auto" w:fill="CCEEFF"/>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right w:val="single" w:sz="8" w:color="0000EE"/>
            </w:tcBorders>
            <w:shd w:val="clear" w:color="auto" w:fill="CCEEFF"/>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Description of Capital Stock</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ind w:left="100"/>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7"/>
        </w:trPr>
        <w:tc>
          <w:tcPr>
            <w:tcW w:w="2160" w:type="dxa"/>
            <w:vAlign w:val="bottom"/>
            <w:gridSpan w:val="1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gridSpan w:val="24"/>
            <w:shd w:val="clear" w:color="auto" w:fill="CCEEFF"/>
          </w:tcPr>
          <w:p>
            <w:pPr>
              <w:spacing w:after="0"/>
              <w:rPr>
                <w:sz w:val="20"/>
                <w:szCs w:val="20"/>
                <w:color w:val="auto"/>
              </w:rPr>
            </w:pPr>
            <w:r>
              <w:rPr>
                <w:rFonts w:ascii="Arial" w:cs="Arial" w:eastAsia="Arial" w:hAnsi="Arial"/>
                <w:sz w:val="18"/>
                <w:szCs w:val="18"/>
                <w:color w:val="0000EE"/>
                <w:w w:val="99"/>
              </w:rPr>
              <w:t>Certain Provisions of Delaware Law and of Our Amended and Restated Certificate of Incorporation</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22"/>
            <w:shd w:val="clear" w:color="auto" w:fill="CCEEFF"/>
          </w:tcPr>
          <w:p>
            <w:pPr>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and Amended and Restated Bylaws</w:t>
            </w:r>
          </w:p>
        </w:tc>
        <w:tc>
          <w:tcPr>
            <w:tcW w:w="13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4"/>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10</w:t>
            </w:r>
          </w:p>
        </w:tc>
        <w:tc>
          <w:tcPr>
            <w:tcW w:w="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lef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Description of Debt Securities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7"/>
        </w:trPr>
        <w:tc>
          <w:tcPr>
            <w:tcW w:w="2320" w:type="dxa"/>
            <w:vAlign w:val="bottom"/>
            <w:gridSpan w:val="1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40" w:type="dxa"/>
            <w:vAlign w:val="bottom"/>
            <w:gridSpan w:val="5"/>
          </w:tcPr>
          <w:p>
            <w:pPr>
              <w:spacing w:after="0"/>
              <w:rPr>
                <w:sz w:val="2"/>
                <w:szCs w:val="2"/>
                <w:color w:val="auto"/>
              </w:rPr>
            </w:pP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Description of Warrants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840" w:type="dxa"/>
            <w:vAlign w:val="bottom"/>
            <w:tcBorders>
              <w:bottom w:val="single" w:sz="8" w:color="CCEEFF"/>
            </w:tcBorders>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20" w:type="dxa"/>
            <w:vAlign w:val="bottom"/>
            <w:tcBorders>
              <w:bottom w:val="single" w:sz="8" w:color="CCEEFF"/>
            </w:tcBorders>
            <w:gridSpan w:val="8"/>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34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gridSpan w:val="2"/>
            <w:shd w:val="clear" w:color="auto" w:fill="CCEEFF"/>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Description of Rights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22</w:t>
            </w:r>
          </w:p>
        </w:tc>
        <w:tc>
          <w:tcPr>
            <w:tcW w:w="0" w:type="dxa"/>
            <w:vAlign w:val="bottom"/>
          </w:tcPr>
          <w:p>
            <w:pPr>
              <w:spacing w:after="0"/>
              <w:rPr>
                <w:sz w:val="1"/>
                <w:szCs w:val="1"/>
                <w:color w:val="auto"/>
              </w:rPr>
            </w:pPr>
          </w:p>
        </w:tc>
      </w:tr>
      <w:tr>
        <w:trPr>
          <w:trHeight w:val="27"/>
        </w:trPr>
        <w:tc>
          <w:tcPr>
            <w:tcW w:w="1620" w:type="dxa"/>
            <w:vAlign w:val="bottom"/>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40" w:type="dxa"/>
            <w:vAlign w:val="bottom"/>
            <w:gridSpan w:val="10"/>
          </w:tcPr>
          <w:p>
            <w:pPr>
              <w:spacing w:after="0"/>
              <w:rPr>
                <w:sz w:val="2"/>
                <w:szCs w:val="2"/>
                <w:color w:val="auto"/>
              </w:rPr>
            </w:pP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Description of Units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20" w:type="dxa"/>
            <w:vAlign w:val="bottom"/>
            <w:tcBorders>
              <w:bottom w:val="single" w:sz="8" w:color="CCEEFF"/>
            </w:tcBorders>
            <w:gridSpan w:val="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740" w:type="dxa"/>
            <w:vAlign w:val="bottom"/>
            <w:tcBorders>
              <w:bottom w:val="single" w:sz="8" w:color="CCEEFF"/>
            </w:tcBorders>
            <w:gridSpan w:val="11"/>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34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gridSpan w:val="2"/>
            <w:shd w:val="clear" w:color="auto" w:fill="CCEEFF"/>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Plan of Distribution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27"/>
        </w:trPr>
        <w:tc>
          <w:tcPr>
            <w:tcW w:w="1480" w:type="dxa"/>
            <w:vAlign w:val="bottom"/>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780" w:type="dxa"/>
            <w:vAlign w:val="bottom"/>
            <w:gridSpan w:val="12"/>
          </w:tcPr>
          <w:p>
            <w:pPr>
              <w:spacing w:after="0"/>
              <w:rPr>
                <w:sz w:val="2"/>
                <w:szCs w:val="2"/>
                <w:color w:val="auto"/>
              </w:rPr>
            </w:pP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6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200" w:type="dxa"/>
            <w:vAlign w:val="bottom"/>
            <w:tcBorders>
              <w:bottom w:val="single" w:sz="8" w:color="CCEEFF"/>
            </w:tcBorders>
            <w:gridSpan w:val="15"/>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34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gridSpan w:val="2"/>
            <w:shd w:val="clear" w:color="auto" w:fill="CCEEFF"/>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Experts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7"/>
        </w:trPr>
        <w:tc>
          <w:tcPr>
            <w:tcW w:w="600" w:type="dxa"/>
            <w:vAlign w:val="bottom"/>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660" w:type="dxa"/>
            <w:vAlign w:val="bottom"/>
            <w:gridSpan w:val="17"/>
          </w:tcPr>
          <w:p>
            <w:pPr>
              <w:spacing w:after="0"/>
              <w:rPr>
                <w:sz w:val="2"/>
                <w:szCs w:val="2"/>
                <w:color w:val="auto"/>
              </w:rPr>
            </w:pP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20" w:type="dxa"/>
            <w:vAlign w:val="bottom"/>
            <w:tcBorders>
              <w:bottom w:val="single" w:sz="8" w:color="CCEEFF"/>
            </w:tcBorders>
            <w:gridSpan w:val="1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40" w:type="dxa"/>
            <w:vAlign w:val="bottom"/>
            <w:tcBorders>
              <w:bottom w:val="single" w:sz="8" w:color="CCEEFF"/>
            </w:tcBorders>
            <w:shd w:val="clear" w:color="auto" w:fill="CCEEFF"/>
          </w:tcPr>
          <w:p>
            <w:pPr>
              <w:spacing w:after="0"/>
              <w:rPr>
                <w:sz w:val="2"/>
                <w:szCs w:val="2"/>
                <w:color w:val="auto"/>
              </w:rPr>
            </w:pPr>
          </w:p>
        </w:tc>
        <w:tc>
          <w:tcPr>
            <w:tcW w:w="3080" w:type="dxa"/>
            <w:vAlign w:val="bottom"/>
            <w:tcBorders>
              <w:bottom w:val="single" w:sz="8" w:color="CCEEFF"/>
            </w:tcBorders>
            <w:gridSpan w:val="2"/>
            <w:shd w:val="clear" w:color="auto" w:fill="CCEEFF"/>
          </w:tcPr>
          <w:p>
            <w:pPr>
              <w:spacing w:after="0"/>
              <w:rPr>
                <w:sz w:val="2"/>
                <w:szCs w:val="2"/>
                <w:color w:val="auto"/>
              </w:rPr>
            </w:pPr>
          </w:p>
        </w:tc>
        <w:tc>
          <w:tcPr>
            <w:tcW w:w="134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gridSpan w:val="2"/>
            <w:shd w:val="clear" w:color="auto" w:fill="CCEEFF"/>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right w:val="single" w:sz="8" w:color="CCEEFF"/>
            </w:tcBorders>
            <w:shd w:val="clear" w:color="auto" w:fill="CCEEFF"/>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right w:val="single" w:sz="8" w:color="0000EE"/>
            </w:tcBorders>
            <w:shd w:val="clear" w:color="auto" w:fill="0000EE"/>
          </w:tcPr>
          <w:p>
            <w:pPr>
              <w:spacing w:after="0"/>
              <w:rPr>
                <w:sz w:val="2"/>
                <w:szCs w:val="2"/>
                <w:color w:val="auto"/>
              </w:rPr>
            </w:pPr>
          </w:p>
        </w:tc>
        <w:tc>
          <w:tcPr>
            <w:tcW w:w="6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340" w:type="dxa"/>
            <w:vAlign w:val="bottom"/>
            <w:gridSpan w:val="22"/>
          </w:tcPr>
          <w:p>
            <w:pPr>
              <w:spacing w:after="0"/>
              <w:rPr>
                <w:sz w:val="20"/>
                <w:szCs w:val="20"/>
                <w:color w:val="auto"/>
              </w:rPr>
            </w:pPr>
            <w:r>
              <w:rPr>
                <w:rFonts w:ascii="Arial" w:cs="Arial" w:eastAsia="Arial" w:hAnsi="Arial"/>
                <w:sz w:val="18"/>
                <w:szCs w:val="18"/>
                <w:color w:val="0000EE"/>
              </w:rPr>
              <w:t>Incorporation of Documents by Reference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7"/>
        </w:trPr>
        <w:tc>
          <w:tcPr>
            <w:tcW w:w="3260" w:type="dxa"/>
            <w:vAlign w:val="bottom"/>
            <w:gridSpan w:val="2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gridSpan w:val="2"/>
          </w:tcPr>
          <w:p>
            <w:pPr>
              <w:ind w:left="10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6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 SUPPLEMENT</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prospectus supplement and the accompanying prospectus are part of a “shelf” registration statement on Form S-3ASR that we filed with the Securities and Exchange Commission (SEC), on February 3, 2025, which became automatically effective upon filing. This document is in two parts. The first part is this prospectus supplement, which describes the specific terms of this offering of common stock and pre-funded warrants and also adds to and updates information contained in the accompanying prospectus and the documents incorporated by reference herein. The second part, the accompanying prospectus,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w:t>
      </w:r>
    </w:p>
    <w:p>
      <w:pPr>
        <w:spacing w:after="0" w:line="10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have not authorized, and the underwriters have not authorized, anyone to provide you with information that is different from that contained or incorporated by reference in this prospectus supplement or the accompanying prospectus. The information contained in this prospectus supplement or the accompanying prospectus, or incorporated by reference herein is accurate only as of the respective dates thereof, regardless of the time of delivery of this prospectus supplement and the accompanying prospectus or of any sale of our common stock and pre-funded warrants.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by Reference” in this prospectus supplement and in the sections entitled “Where You Can Find More Information” and “Incorporation of Documents by Reference” in the accompanying prospectus, respectively.</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are offering to sell, and seeking offers to buy, shares of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0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8"/>
          <w:szCs w:val="18"/>
          <w:color w:val="auto"/>
        </w:rPr>
        <w:t>Unless the context otherwise requires, all references in this prospectus supplement and the accompanying prospectus to the “Company,” “we,” “us,” “our,” “ArriVent,” “AVBP,” or similar references refer to ArriVent BioPharma, Inc. and its subsidiaries.</w:t>
      </w:r>
    </w:p>
    <w:p>
      <w:pPr>
        <w:spacing w:after="0" w:line="36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59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PROSPECTUS SUPPLEMENT SUMMARY</w:t>
      </w:r>
    </w:p>
    <w:p>
      <w:pPr>
        <w:spacing w:after="0" w:line="144" w:lineRule="exact"/>
        <w:rPr>
          <w:sz w:val="20"/>
          <w:szCs w:val="20"/>
          <w:color w:val="auto"/>
        </w:rPr>
      </w:pPr>
    </w:p>
    <w:p>
      <w:pPr>
        <w:ind w:left="1280" w:right="439"/>
        <w:spacing w:after="0" w:line="263" w:lineRule="auto"/>
        <w:rPr>
          <w:sz w:val="20"/>
          <w:szCs w:val="20"/>
          <w:color w:val="auto"/>
        </w:rPr>
      </w:pPr>
      <w:r>
        <w:rPr>
          <w:rFonts w:ascii="Arial" w:cs="Arial" w:eastAsia="Arial" w:hAnsi="Arial"/>
          <w:sz w:val="17"/>
          <w:szCs w:val="17"/>
          <w:color w:val="auto"/>
        </w:rPr>
        <w:t>This summary highlights information contained elsewhere or incorporated by reference in this prospectus supplement and the accompanying prospectus. This summary does not contain all of the information that you should consider before deciding to invest in our common stock and pre-funded warrants. You should read this entire prospectus supplement and the accompanying prospectus carefully, including the “Risk Factors” section contained in this prospectus supplement, our consolidated financial statements and the related notes thereto and the other documents and information incorporated by reference in this prospectus supplement and the accompanying prospectus.</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left="1280" w:right="439" w:firstLine="360"/>
        <w:spacing w:after="0" w:line="241" w:lineRule="auto"/>
        <w:rPr>
          <w:sz w:val="20"/>
          <w:szCs w:val="20"/>
          <w:color w:val="auto"/>
        </w:rPr>
      </w:pPr>
      <w:r>
        <w:rPr>
          <w:rFonts w:ascii="Arial" w:cs="Arial" w:eastAsia="Arial" w:hAnsi="Arial"/>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U.S. Food and Drug Administration (FDA) in October 2023, and Orphan Drug Designation for treatment of NSCLC with EGFRm or human epidermal growth factor receptor 2 mutations or human epidermal growth factor receptor 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25" w:lineRule="exact"/>
        <w:rPr>
          <w:sz w:val="20"/>
          <w:szCs w:val="20"/>
          <w:color w:val="auto"/>
        </w:rPr>
      </w:pPr>
    </w:p>
    <w:p>
      <w:pPr>
        <w:ind w:left="1280" w:right="419" w:firstLine="360"/>
        <w:spacing w:after="0" w:line="252" w:lineRule="auto"/>
        <w:rPr>
          <w:sz w:val="20"/>
          <w:szCs w:val="20"/>
          <w:color w:val="auto"/>
        </w:rPr>
      </w:pPr>
      <w:r>
        <w:rPr>
          <w:rFonts w:ascii="Arial" w:cs="Arial" w:eastAsia="Arial" w:hAnsi="Arial"/>
          <w:sz w:val="18"/>
          <w:szCs w:val="18"/>
          <w:color w:val="auto"/>
        </w:rPr>
        <w:t>In 2021, we licensed from Shanghai Allist Pharmaceuticals Co. Ltd. (Allist) the right to develop and commercialize firmonertinib worldwide, with the exception of greater China, which includes mainland China, Hong Kong, Macau and Taiwan. 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 (n=22 out of 28 patients) who were administered a 240 mg once daily dose of firmonertinib were observed to experience a reduction in tumor size of at least 30%. If the future clinical trial results of the FAVOUR trial are unfavorable, our clinical development plans for firmonertinib, which include conducting our global, pivotal Phase 3 FURVENT clinical trial in first-line non-squamous locally advanced or metastatic EGFRm NSCLC patients with exon 20 insertion mutations, may be adversely affected.</w:t>
      </w:r>
    </w:p>
    <w:p>
      <w:pPr>
        <w:spacing w:after="0" w:line="123" w:lineRule="exact"/>
        <w:rPr>
          <w:sz w:val="20"/>
          <w:szCs w:val="20"/>
          <w:color w:val="auto"/>
        </w:rPr>
      </w:pPr>
    </w:p>
    <w:p>
      <w:pPr>
        <w:ind w:left="1280" w:right="579" w:firstLine="360"/>
        <w:spacing w:after="0" w:line="318" w:lineRule="auto"/>
        <w:rPr>
          <w:sz w:val="20"/>
          <w:szCs w:val="20"/>
          <w:color w:val="auto"/>
        </w:rPr>
      </w:pPr>
      <w:r>
        <w:rPr>
          <w:rFonts w:ascii="Arial" w:cs="Arial" w:eastAsia="Arial" w:hAnsi="Arial"/>
          <w:sz w:val="17"/>
          <w:szCs w:val="17"/>
          <w:color w:val="auto"/>
        </w:rPr>
        <w:t>As one of the most prevalent cancers in the world, lung cancer imposes a significant global burden on human health, and EGFRm NSCLC represents a significant proportion of those affected. Despite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59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right="419"/>
        <w:spacing w:after="0" w:line="260" w:lineRule="auto"/>
        <w:rPr>
          <w:sz w:val="20"/>
          <w:szCs w:val="20"/>
          <w:color w:val="auto"/>
        </w:rPr>
      </w:pPr>
      <w:r>
        <w:rPr>
          <w:rFonts w:ascii="Arial" w:cs="Arial" w:eastAsia="Arial" w:hAnsi="Arial"/>
          <w:sz w:val="17"/>
          <w:szCs w:val="17"/>
          <w:color w:val="auto"/>
        </w:rPr>
        <w:t>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blinded independent central review utilizing Response Evaluation Criteria in Solid Tumors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 15.2-month median duration of response (DOR).</w:t>
      </w:r>
    </w:p>
    <w:p>
      <w:pPr>
        <w:spacing w:after="0" w:line="96" w:lineRule="exact"/>
        <w:rPr>
          <w:sz w:val="20"/>
          <w:szCs w:val="20"/>
          <w:color w:val="auto"/>
        </w:rPr>
      </w:pPr>
    </w:p>
    <w:p>
      <w:pPr>
        <w:ind w:left="1280" w:right="399" w:firstLine="360"/>
        <w:spacing w:after="0" w:line="242" w:lineRule="auto"/>
        <w:rPr>
          <w:sz w:val="20"/>
          <w:szCs w:val="20"/>
          <w:color w:val="auto"/>
        </w:rPr>
      </w:pPr>
      <w:r>
        <w:rPr>
          <w:rFonts w:ascii="Arial" w:cs="Arial" w:eastAsia="Arial" w:hAnsi="Arial"/>
          <w:sz w:val="18"/>
          <w:szCs w:val="18"/>
          <w:color w:val="auto"/>
        </w:rPr>
        <w:t>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Median DOR had not yet been reached, with 90.9% (n=20/22) of patients with confirmed responses remaining on study. Interim results may not be indicative of final results; however, we believe these interim clinical results underscore firmonertinib’s potential in patients whose tumors contain an uncommon EGFRm. On June 23, 2025, we announced additional follow-up proof-of-concept data from the FURTHER trial. See “— Recent Developments” regarding our announcement of such follow-up proof-of-concept data.</w:t>
      </w:r>
    </w:p>
    <w:p>
      <w:pPr>
        <w:spacing w:after="0" w:line="114" w:lineRule="exact"/>
        <w:rPr>
          <w:sz w:val="20"/>
          <w:szCs w:val="20"/>
          <w:color w:val="auto"/>
        </w:rPr>
      </w:pPr>
    </w:p>
    <w:p>
      <w:pPr>
        <w:ind w:left="1280" w:right="419" w:firstLine="360"/>
        <w:spacing w:after="0" w:line="263" w:lineRule="auto"/>
        <w:rPr>
          <w:sz w:val="20"/>
          <w:szCs w:val="20"/>
          <w:color w:val="auto"/>
        </w:rPr>
      </w:pPr>
      <w:r>
        <w:rPr>
          <w:rFonts w:ascii="Arial" w:cs="Arial" w:eastAsia="Arial" w:hAnsi="Arial"/>
          <w:sz w:val="17"/>
          <w:szCs w:val="17"/>
          <w:color w:val="auto"/>
        </w:rPr>
        <w:t>We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1280" w:right="399" w:firstLine="360"/>
        <w:spacing w:after="0" w:line="241" w:lineRule="auto"/>
        <w:rPr>
          <w:sz w:val="20"/>
          <w:szCs w:val="20"/>
          <w:color w:val="auto"/>
        </w:rPr>
      </w:pPr>
      <w:r>
        <w:rPr>
          <w:rFonts w:ascii="Arial" w:cs="Arial" w:eastAsia="Arial" w:hAnsi="Arial"/>
          <w:sz w:val="18"/>
          <w:szCs w:val="18"/>
          <w:color w:val="auto"/>
        </w:rPr>
        <w:t>On June 23, 2025, we announced additional follow-up proof-of-concept data from the randomized global Phase 1b FURTHER trial for first-line firmonertinib monotherapy in patients with NSCLC harboring EGFR PACC mutations. In this interim readout, patients treated with 240 mg of firmonertinib were observed to experience 16.0 months median progression free survival and 14.6 months median duration of response by blinded independent central review (BICR) as of March 3, 2025. Majority of the patients treated at 240 mg remained on study after one year as of March 3, 2025. In this interim readout, 68.2% of patients treated in first-line at 240 mg and 43.5% of patients treated in first-line at 160 mg as of March 3, 2025 were observed to experience a reduction in tumor size of at least 30% from the baseline in a patient without evidence of progression as measured by BICR RECIST 1.1 criteria, which measurement of reduction is the threshold in this trial for determination of the ORR. In addition, 41% (n = 7/17) of patients with brain metastases at baseline were observed to experience a confirmed response utilizing modified RECIST 1.1 by BICR as of March 3, 2025 and 53% (n = 9/17) of patients with brain metastases at baseline were observed to experience a reduction in tumor size of at least 30% from the baseline in a patient without evidence of progression as measured by BICR utilizing RECIST 1.1 criteria, which measurement of reduction is the threshold in this trial for determination of the ORR. Firmonertinib was generally well-tolerated with interim safety results as of March 24, 2025, consistent with prior firmonertinib data, and the most frequent treatment related adverse events (TRAEs) in the study were diarrhea, hepatic enzyme elevation, rash, stomatitis, and dry skin. No Grade 4 or 5 TRAEs were observed, and there were no treatment discontinuations due to TRAEs. Based on the data observed to date, we believe firmonertinib showed promising dose-dependent activity in NSCLC patients across a broad range of EGFR PACC mutations in the first-line metastatic setting and central nervous system antitumor activity consistent with its high brain penetrance.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76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plan to initiate ALPACCA (FURMO-006), the first randomized global Phase 3 study in first-line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NSCLC in patients across PACC mutations, with firmonertinib 240 mg selected as the dose for pivotal</w:t>
      </w:r>
    </w:p>
    <w:p>
      <w:pPr>
        <w:ind w:left="1280"/>
        <w:spacing w:after="0"/>
        <w:rPr>
          <w:sz w:val="20"/>
          <w:szCs w:val="20"/>
          <w:color w:val="auto"/>
        </w:rPr>
      </w:pPr>
      <w:r>
        <w:rPr>
          <w:rFonts w:ascii="Arial" w:cs="Arial" w:eastAsia="Arial" w:hAnsi="Arial"/>
          <w:sz w:val="18"/>
          <w:szCs w:val="18"/>
          <w:color w:val="auto"/>
        </w:rPr>
        <w:t>Phase 3 development. Enrollment of the first patient in this trial is expected in the second half of 2025.</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were incorporated under the laws of the State of Delaware on April 14, 2021. Our principal</w:t>
      </w:r>
    </w:p>
    <w:p>
      <w:pPr>
        <w:spacing w:after="0" w:line="27" w:lineRule="exact"/>
        <w:rPr>
          <w:sz w:val="20"/>
          <w:szCs w:val="20"/>
          <w:color w:val="auto"/>
        </w:rPr>
      </w:pPr>
    </w:p>
    <w:p>
      <w:pPr>
        <w:ind w:left="1280" w:right="459"/>
        <w:spacing w:after="0" w:line="241" w:lineRule="auto"/>
        <w:rPr>
          <w:sz w:val="20"/>
          <w:szCs w:val="20"/>
          <w:color w:val="auto"/>
        </w:rPr>
      </w:pPr>
      <w:r>
        <w:rPr>
          <w:rFonts w:ascii="Arial" w:cs="Arial" w:eastAsia="Arial" w:hAnsi="Arial"/>
          <w:sz w:val="18"/>
          <w:szCs w:val="18"/>
          <w:color w:val="auto"/>
        </w:rPr>
        <w:t>executive offices are located at 18 Campus Boulevard, Suite 100, Newtown Square, PA 19073, and our telephone number is (628) 277-4836. Our website address is https://arrivent.com. The information contained on, or that can be accessed through, our website is not and shall not be deemed to be part of this prospectus supplement. We have included our website address in this prospectus supplement solely as an inactive textual reference. Investors should not rely on any such information in deciding whether to purchase our common stock.</w:t>
      </w:r>
    </w:p>
    <w:p>
      <w:pPr>
        <w:spacing w:after="0" w:line="112" w:lineRule="exact"/>
        <w:rPr>
          <w:sz w:val="20"/>
          <w:szCs w:val="20"/>
          <w:color w:val="auto"/>
        </w:rPr>
      </w:pPr>
    </w:p>
    <w:p>
      <w:pPr>
        <w:ind w:left="1280" w:right="399" w:firstLine="360"/>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filed or furnished pursuant to Section 13(a) or 15(d) of the Securities Exchange Act of 1934, as amended (the Exchange Act), are available free of charge through the investor relations page of our internet website as soon as reasonably practicable after we electronically file such material with, or furnish it to, the SEC.</w:t>
      </w:r>
    </w:p>
    <w:p>
      <w:pPr>
        <w:spacing w:after="0" w:line="112" w:lineRule="exact"/>
        <w:rPr>
          <w:sz w:val="20"/>
          <w:szCs w:val="20"/>
          <w:color w:val="auto"/>
        </w:rPr>
      </w:pPr>
    </w:p>
    <w:p>
      <w:pPr>
        <w:ind w:left="1280" w:right="499" w:firstLine="360"/>
        <w:spacing w:after="0" w:line="262" w:lineRule="auto"/>
        <w:rPr>
          <w:sz w:val="20"/>
          <w:szCs w:val="20"/>
          <w:color w:val="auto"/>
        </w:rPr>
      </w:pPr>
      <w:r>
        <w:rPr>
          <w:rFonts w:ascii="Arial" w:cs="Arial" w:eastAsia="Arial" w:hAnsi="Arial"/>
          <w:sz w:val="18"/>
          <w:szCs w:val="18"/>
          <w:color w:val="auto"/>
        </w:rPr>
        <w:t>All trademarks appearing in this prospectus supplement are the property of their respective holders. Use or display by us of other parties’ trademarks, or products in this prospectus supplement is not intended to, and does not, imply a relationship with, or endorsements or sponsorship of, us by the trademark.</w:t>
      </w:r>
    </w:p>
    <w:p>
      <w:pPr>
        <w:spacing w:after="0" w:line="17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58" w:lineRule="exact"/>
        <w:rPr>
          <w:sz w:val="20"/>
          <w:szCs w:val="20"/>
          <w:color w:val="auto"/>
        </w:rPr>
      </w:pPr>
    </w:p>
    <w:p>
      <w:pPr>
        <w:jc w:val="both"/>
        <w:ind w:left="1280" w:right="419" w:firstLine="360"/>
        <w:spacing w:after="0" w:line="262"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(JOBS Act). As an emerging growth company, we may take advantage of specified reduced disclosure and other requirements that are otherwise applicable generally to public companies. These provisions include:</w:t>
      </w:r>
    </w:p>
    <w:p>
      <w:pPr>
        <w:spacing w:after="0" w:line="68" w:lineRule="exact"/>
        <w:rPr>
          <w:sz w:val="20"/>
          <w:szCs w:val="20"/>
          <w:color w:val="auto"/>
        </w:rPr>
      </w:pPr>
    </w:p>
    <w:p>
      <w:pPr>
        <w:ind w:left="2000" w:hanging="362"/>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2000" w:right="659" w:hanging="362"/>
        <w:spacing w:after="0" w:line="28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 and</w:t>
      </w:r>
    </w:p>
    <w:p>
      <w:pPr>
        <w:spacing w:after="0" w:line="44" w:lineRule="exact"/>
        <w:rPr>
          <w:rFonts w:ascii="Arial" w:cs="Arial" w:eastAsia="Arial" w:hAnsi="Arial"/>
          <w:sz w:val="18"/>
          <w:szCs w:val="18"/>
          <w:color w:val="auto"/>
        </w:rPr>
      </w:pPr>
    </w:p>
    <w:p>
      <w:pPr>
        <w:ind w:left="2000" w:right="519" w:hanging="362"/>
        <w:spacing w:after="0" w:line="287"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w:t>
      </w:r>
    </w:p>
    <w:p>
      <w:pPr>
        <w:spacing w:after="0" w:line="72"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2029;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w:t>
      </w:r>
    </w:p>
    <w:p>
      <w:pPr>
        <w:spacing w:after="0" w:line="116" w:lineRule="exact"/>
        <w:rPr>
          <w:sz w:val="20"/>
          <w:szCs w:val="20"/>
          <w:color w:val="auto"/>
        </w:rPr>
      </w:pPr>
    </w:p>
    <w:p>
      <w:pPr>
        <w:ind w:left="1280" w:right="399" w:firstLine="360"/>
        <w:spacing w:after="0" w:line="268"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including</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right="639"/>
        <w:spacing w:after="0" w:line="270" w:lineRule="auto"/>
        <w:rPr>
          <w:sz w:val="20"/>
          <w:szCs w:val="20"/>
          <w:color w:val="auto"/>
        </w:rPr>
      </w:pPr>
      <w:r>
        <w:rPr>
          <w:rFonts w:ascii="Arial" w:cs="Arial" w:eastAsia="Arial" w:hAnsi="Arial"/>
          <w:sz w:val="17"/>
          <w:szCs w:val="17"/>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 until the fiscal year following the determination that our voting and non-voting common stock held by non-affiliates is more than</w:t>
      </w:r>
    </w:p>
    <w:p>
      <w:pPr>
        <w:spacing w:after="0" w:line="2" w:lineRule="exact"/>
        <w:rPr>
          <w:sz w:val="20"/>
          <w:szCs w:val="20"/>
          <w:color w:val="auto"/>
        </w:rPr>
      </w:pPr>
    </w:p>
    <w:p>
      <w:pPr>
        <w:ind w:left="1280" w:right="519"/>
        <w:spacing w:after="0" w:line="255" w:lineRule="auto"/>
        <w:rPr>
          <w:sz w:val="20"/>
          <w:szCs w:val="20"/>
          <w:color w:val="auto"/>
        </w:rPr>
      </w:pPr>
      <w:r>
        <w:rPr>
          <w:rFonts w:ascii="Arial" w:cs="Arial" w:eastAsia="Arial" w:hAnsi="Arial"/>
          <w:sz w:val="18"/>
          <w:szCs w:val="18"/>
          <w:color w:val="auto"/>
        </w:rPr>
        <w:t>$250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60" w:right="240" w:hanging="179"/>
        <w:spacing w:after="0" w:line="273" w:lineRule="auto"/>
        <w:rPr>
          <w:sz w:val="20"/>
          <w:szCs w:val="20"/>
          <w:color w:val="auto"/>
        </w:rPr>
      </w:pPr>
      <w:r>
        <w:rPr>
          <w:rFonts w:ascii="Arial" w:cs="Arial" w:eastAsia="Arial" w:hAnsi="Arial"/>
          <w:sz w:val="18"/>
          <w:szCs w:val="18"/>
          <w:b w:val="1"/>
          <w:bCs w:val="1"/>
          <w:color w:val="auto"/>
        </w:rPr>
        <w:t>Common stock offered by us pursuant to this prospectus supplement</w:t>
      </w:r>
    </w:p>
    <w:p>
      <w:pPr>
        <w:spacing w:after="0" w:line="50" w:lineRule="exact"/>
        <w:rPr>
          <w:sz w:val="20"/>
          <w:szCs w:val="20"/>
          <w:color w:val="auto"/>
        </w:rPr>
      </w:pPr>
    </w:p>
    <w:p>
      <w:pPr>
        <w:ind w:left="1460" w:hanging="179"/>
        <w:spacing w:after="0" w:line="281" w:lineRule="auto"/>
        <w:rPr>
          <w:sz w:val="20"/>
          <w:szCs w:val="20"/>
          <w:color w:val="auto"/>
        </w:rPr>
      </w:pPr>
      <w:r>
        <w:rPr>
          <w:rFonts w:ascii="Arial" w:cs="Arial" w:eastAsia="Arial" w:hAnsi="Arial"/>
          <w:sz w:val="18"/>
          <w:szCs w:val="18"/>
          <w:b w:val="1"/>
          <w:bCs w:val="1"/>
          <w:color w:val="auto"/>
        </w:rPr>
        <w:t>Pre-funded warrants offered by us pursuant 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260" w:hanging="179"/>
        <w:spacing w:after="0" w:line="328" w:lineRule="auto"/>
        <w:rPr>
          <w:sz w:val="20"/>
          <w:szCs w:val="20"/>
          <w:color w:val="auto"/>
        </w:rPr>
      </w:pPr>
      <w:r>
        <w:rPr>
          <w:rFonts w:ascii="Arial" w:cs="Arial" w:eastAsia="Arial" w:hAnsi="Arial"/>
          <w:sz w:val="17"/>
          <w:szCs w:val="17"/>
          <w:b w:val="1"/>
          <w:bCs w:val="1"/>
          <w:color w:val="auto"/>
        </w:rPr>
        <w:t>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460" w:right="80" w:hanging="179"/>
        <w:spacing w:after="0" w:line="273" w:lineRule="auto"/>
        <w:rPr>
          <w:sz w:val="20"/>
          <w:szCs w:val="20"/>
          <w:color w:val="auto"/>
        </w:rPr>
      </w:pPr>
      <w:r>
        <w:rPr>
          <w:rFonts w:ascii="Arial" w:cs="Arial" w:eastAsia="Arial" w:hAnsi="Arial"/>
          <w:sz w:val="18"/>
          <w:szCs w:val="18"/>
          <w:b w:val="1"/>
          <w:bCs w:val="1"/>
          <w:color w:val="auto"/>
        </w:rPr>
        <w:t>Common stock estimated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2,482,692 shares of our common stock.</w:t>
      </w:r>
    </w:p>
    <w:p>
      <w:pPr>
        <w:spacing w:after="0" w:line="200" w:lineRule="exact"/>
        <w:rPr>
          <w:sz w:val="20"/>
          <w:szCs w:val="20"/>
          <w:color w:val="auto"/>
        </w:rPr>
      </w:pPr>
    </w:p>
    <w:p>
      <w:pPr>
        <w:spacing w:after="0" w:line="376"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We are also offering, in lieu of common stock to certain investors, pre-funded warrants to purchase up to 1,363,469 shares of our common stock. The purchase price of each pre-funded warrant equals the price per share at which the common stock is being sold to the public in this offering, minus $0.0001, and the exercise price of each pre-funded warrant will be $0.0001 per share. Each pre-funded warrant will be exercisable at any time after its original issuance and on or prior to 5:00 p.m. (New York City time), subject to an ownership limitation. See “Description of Pre-funded Warrants.” This prospectus supplement also relates to the registration of the common stock issuable upon exercise of such pre-funded warrants.</w:t>
      </w:r>
    </w:p>
    <w:p>
      <w:pPr>
        <w:spacing w:after="0" w:line="295" w:lineRule="exact"/>
        <w:rPr>
          <w:sz w:val="20"/>
          <w:szCs w:val="20"/>
          <w:color w:val="auto"/>
        </w:rPr>
      </w:pPr>
    </w:p>
    <w:p>
      <w:pPr>
        <w:ind w:right="539"/>
        <w:spacing w:after="0" w:line="262" w:lineRule="auto"/>
        <w:rPr>
          <w:sz w:val="20"/>
          <w:szCs w:val="20"/>
          <w:color w:val="auto"/>
        </w:rPr>
      </w:pPr>
      <w:r>
        <w:rPr>
          <w:rFonts w:ascii="Arial" w:cs="Arial" w:eastAsia="Arial" w:hAnsi="Arial"/>
          <w:sz w:val="18"/>
          <w:szCs w:val="18"/>
          <w:color w:val="auto"/>
        </w:rPr>
        <w:t>We have granted the underwriters an option to purchase up to an additional 576,923 shares of our common stock at the offering price from us within 30 days of the date of this prospectus supplement.</w:t>
      </w:r>
    </w:p>
    <w:p>
      <w:pPr>
        <w:spacing w:after="0" w:line="200" w:lineRule="exact"/>
        <w:rPr>
          <w:sz w:val="20"/>
          <w:szCs w:val="20"/>
          <w:color w:val="auto"/>
        </w:rPr>
      </w:pPr>
    </w:p>
    <w:p>
      <w:pPr>
        <w:spacing w:after="0" w:line="300" w:lineRule="exact"/>
        <w:rPr>
          <w:sz w:val="20"/>
          <w:szCs w:val="20"/>
          <w:color w:val="auto"/>
        </w:rPr>
      </w:pPr>
    </w:p>
    <w:p>
      <w:pPr>
        <w:ind w:right="679"/>
        <w:spacing w:after="0" w:line="262" w:lineRule="auto"/>
        <w:rPr>
          <w:sz w:val="20"/>
          <w:szCs w:val="20"/>
          <w:color w:val="auto"/>
        </w:rPr>
      </w:pPr>
      <w:r>
        <w:rPr>
          <w:rFonts w:ascii="Arial" w:cs="Arial" w:eastAsia="Arial" w:hAnsi="Arial"/>
          <w:sz w:val="18"/>
          <w:szCs w:val="18"/>
          <w:color w:val="auto"/>
        </w:rPr>
        <w:t>36,523,688 shares (or 37,100,611 shares if the underwriters exercise their option to purchase additional shares of our common stock in full), assuming no pre-funded warrants are exercised.</w:t>
      </w:r>
    </w:p>
    <w:p>
      <w:pPr>
        <w:spacing w:after="0" w:line="68" w:lineRule="exact"/>
        <w:rPr>
          <w:sz w:val="20"/>
          <w:szCs w:val="20"/>
          <w:color w:val="auto"/>
        </w:rPr>
      </w:pPr>
    </w:p>
    <w:p>
      <w:pPr>
        <w:ind w:right="419"/>
        <w:spacing w:after="0" w:line="257" w:lineRule="auto"/>
        <w:rPr>
          <w:sz w:val="20"/>
          <w:szCs w:val="20"/>
          <w:color w:val="auto"/>
        </w:rPr>
      </w:pPr>
      <w:r>
        <w:rPr>
          <w:rFonts w:ascii="Arial" w:cs="Arial" w:eastAsia="Arial" w:hAnsi="Arial"/>
          <w:sz w:val="18"/>
          <w:szCs w:val="18"/>
          <w:color w:val="auto"/>
        </w:rPr>
        <w:t>We estimate that the net proceeds from this offering will be approximately $69.8 million (or approximately $80.4 million if the underwriters exercise their option to purchase additional shares of our common stock in full) after deducting the underwriting discounts and commissions and estimated offering expenses payable by us.</w:t>
      </w:r>
    </w:p>
    <w:p>
      <w:pPr>
        <w:spacing w:after="0" w:line="101" w:lineRule="exact"/>
        <w:rPr>
          <w:sz w:val="20"/>
          <w:szCs w:val="20"/>
          <w:color w:val="auto"/>
        </w:rPr>
      </w:pPr>
    </w:p>
    <w:p>
      <w:pPr>
        <w:ind w:right="439"/>
        <w:spacing w:after="0" w:line="267" w:lineRule="auto"/>
        <w:rPr>
          <w:sz w:val="20"/>
          <w:szCs w:val="20"/>
          <w:color w:val="auto"/>
        </w:rPr>
      </w:pPr>
      <w:r>
        <w:rPr>
          <w:rFonts w:ascii="Arial" w:cs="Arial" w:eastAsia="Arial" w:hAnsi="Arial"/>
          <w:sz w:val="18"/>
          <w:szCs w:val="18"/>
          <w:color w:val="auto"/>
        </w:rPr>
        <w:t xml:space="preserve">We currently intend to use the net proceeds from this offering, together with our existing cash resources, to support our activities for firmonertinib and our other pipeline programs and for working capital and other general corporate purposes. See “Use of Proceeds” on page </w:t>
      </w:r>
      <w:r>
        <w:rPr>
          <w:rFonts w:ascii="Arial" w:cs="Arial" w:eastAsia="Arial" w:hAnsi="Arial"/>
          <w:sz w:val="18"/>
          <w:szCs w:val="18"/>
          <w:u w:val="single" w:color="auto"/>
          <w:color w:val="0000EE"/>
        </w:rPr>
        <w:t>S-10</w:t>
      </w:r>
      <w:r>
        <w:rPr>
          <w:rFonts w:ascii="Arial" w:cs="Arial" w:eastAsia="Arial" w:hAnsi="Arial"/>
          <w:sz w:val="18"/>
          <w:szCs w:val="18"/>
          <w:color w:val="auto"/>
        </w:rPr>
        <w:t xml:space="preserve"> of this prospectus supplement for a more complete description of the intended use of proceeds from this offering.</w:t>
      </w:r>
    </w:p>
    <w:p>
      <w:pPr>
        <w:spacing w:after="0" w:line="76" w:lineRule="exact"/>
        <w:rPr>
          <w:sz w:val="20"/>
          <w:szCs w:val="20"/>
          <w:color w:val="auto"/>
        </w:rPr>
      </w:pPr>
    </w:p>
    <w:p>
      <w:pPr>
        <w:ind w:right="459"/>
        <w:spacing w:after="0" w:line="256" w:lineRule="auto"/>
        <w:rPr>
          <w:sz w:val="20"/>
          <w:szCs w:val="20"/>
          <w:color w:val="auto"/>
        </w:rPr>
      </w:pPr>
      <w:r>
        <w:rPr>
          <w:rFonts w:ascii="Arial" w:cs="Arial" w:eastAsia="Arial" w:hAnsi="Arial"/>
          <w:sz w:val="18"/>
          <w:szCs w:val="18"/>
          <w:color w:val="auto"/>
        </w:rPr>
        <w:t xml:space="preserve">An investment in our common stock and pre-funded warrants involves a high degree of risk. See the information contained in or incorporated by reference under “Risk Factors” on page </w:t>
      </w:r>
      <w:r>
        <w:rPr>
          <w:rFonts w:ascii="Arial" w:cs="Arial" w:eastAsia="Arial" w:hAnsi="Arial"/>
          <w:sz w:val="18"/>
          <w:szCs w:val="18"/>
          <w:u w:val="single" w:color="auto"/>
          <w:color w:val="0000EE"/>
        </w:rPr>
        <w:t>S-7</w:t>
      </w:r>
      <w:r>
        <w:rPr>
          <w:rFonts w:ascii="Arial" w:cs="Arial" w:eastAsia="Arial" w:hAnsi="Arial"/>
          <w:sz w:val="18"/>
          <w:szCs w:val="18"/>
          <w:color w:val="auto"/>
        </w:rPr>
        <w:t xml:space="preserve"> of this prospectus supplement and on Page 3 of the accompanying prospectus, as well as the other information included in or incorporated by reference in this prospectus supplement and the accompanying prospectus.</w:t>
      </w:r>
    </w:p>
    <w:p>
      <w:pPr>
        <w:spacing w:after="0" w:line="200" w:lineRule="exact"/>
        <w:rPr>
          <w:sz w:val="20"/>
          <w:szCs w:val="20"/>
          <w:color w:val="auto"/>
        </w:rPr>
      </w:pPr>
    </w:p>
    <w:p>
      <w:pPr>
        <w:sectPr>
          <w:pgSz w:w="11900" w:h="16838" w:orient="portrait"/>
          <w:cols w:equalWidth="0" w:num="2">
            <w:col w:w="4040" w:space="480"/>
            <w:col w:w="5359"/>
          </w:cols>
          <w:pgMar w:left="580" w:top="97" w:right="1440" w:bottom="1440" w:gutter="0" w:footer="0" w:header="0"/>
          <w:type w:val="continuous"/>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Nasdaq Global Market</w:t>
      </w:r>
    </w:p>
    <w:p>
      <w:pPr>
        <w:spacing w:after="0" w:line="27" w:lineRule="exact"/>
        <w:rPr>
          <w:sz w:val="20"/>
          <w:szCs w:val="20"/>
          <w:color w:val="auto"/>
        </w:rPr>
      </w:pPr>
    </w:p>
    <w:p>
      <w:pPr>
        <w:ind w:left="4520" w:right="579" w:hanging="3059"/>
        <w:spacing w:after="0" w:line="255" w:lineRule="auto"/>
        <w:tabs>
          <w:tab w:leader="none" w:pos="4500" w:val="left"/>
        </w:tabs>
        <w:rPr>
          <w:sz w:val="20"/>
          <w:szCs w:val="20"/>
          <w:color w:val="auto"/>
        </w:rPr>
      </w:pPr>
      <w:r>
        <w:rPr>
          <w:rFonts w:ascii="Arial" w:cs="Arial" w:eastAsia="Arial" w:hAnsi="Arial"/>
          <w:sz w:val="18"/>
          <w:szCs w:val="18"/>
          <w:b w:val="1"/>
          <w:bCs w:val="1"/>
          <w:color w:val="auto"/>
        </w:rPr>
        <w:t>symbol</w:t>
      </w:r>
      <w:r>
        <w:rPr>
          <w:sz w:val="20"/>
          <w:szCs w:val="20"/>
          <w:color w:val="auto"/>
        </w:rPr>
        <w:tab/>
      </w:r>
      <w:r>
        <w:rPr>
          <w:rFonts w:ascii="Arial" w:cs="Arial" w:eastAsia="Arial" w:hAnsi="Arial"/>
          <w:sz w:val="18"/>
          <w:szCs w:val="18"/>
          <w:color w:val="auto"/>
        </w:rPr>
        <w:t>Our common stock is listed on Nasdaq under the symbol “AVBP.” We do not intend to apply for listing of the pre-funded warrants on Nasdaq or any securities exchange or nationally recognized trading system.</w:t>
      </w:r>
    </w:p>
    <w:p>
      <w:pPr>
        <w:spacing w:after="0" w:line="101" w:lineRule="exact"/>
        <w:rPr>
          <w:sz w:val="20"/>
          <w:szCs w:val="20"/>
          <w:color w:val="auto"/>
        </w:rPr>
      </w:pPr>
    </w:p>
    <w:p>
      <w:pPr>
        <w:ind w:left="1280" w:right="699" w:firstLine="360"/>
        <w:spacing w:after="0" w:line="268"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an aggregate of 34,040,996 shares of common stock outstanding as of March 31, 2025 and excludes:</w:t>
      </w:r>
    </w:p>
    <w:p>
      <w:pPr>
        <w:spacing w:after="0" w:line="63" w:lineRule="exact"/>
        <w:rPr>
          <w:sz w:val="20"/>
          <w:szCs w:val="20"/>
          <w:color w:val="auto"/>
        </w:rPr>
      </w:pPr>
    </w:p>
    <w:p>
      <w:pPr>
        <w:ind w:left="2000" w:right="439" w:hanging="362"/>
        <w:spacing w:after="0" w:line="282"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4,059,300 shares of common stock issuable upon the exercise of outstanding stock options as of March 31, 2025, issued under our 2021 Employee, Director and Consultant Equity Incentive Plan, as amended (2021 Plan), or our 2024 Employee, Director and Consultant Equity Incentive Plan (2024 Plan), having a weighted-average exercise price of $14.96 per share;</w:t>
      </w:r>
    </w:p>
    <w:p>
      <w:pPr>
        <w:spacing w:after="0" w:line="53" w:lineRule="exact"/>
        <w:rPr>
          <w:rFonts w:ascii="Arial" w:cs="Arial" w:eastAsia="Arial" w:hAnsi="Arial"/>
          <w:sz w:val="17"/>
          <w:szCs w:val="17"/>
          <w:color w:val="auto"/>
        </w:rPr>
      </w:pPr>
    </w:p>
    <w:p>
      <w:pPr>
        <w:ind w:left="2000" w:right="559" w:hanging="362"/>
        <w:spacing w:after="0" w:line="259"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3,829,956 shares of common stock reserved for issuance pursuant to future awards under our 2024 Plan, as well as automatic increases in the number of shares of common stock reserved for future issuance under the 2024 Plan, plus any shares underlying outstanding stock awards granted under our 2021 Plan that expire or are repurchased, forfeited, cancelled or withheld; and</w:t>
      </w:r>
    </w:p>
    <w:p>
      <w:pPr>
        <w:spacing w:after="0" w:line="71" w:lineRule="exact"/>
        <w:rPr>
          <w:rFonts w:ascii="Arial" w:cs="Arial" w:eastAsia="Arial" w:hAnsi="Arial"/>
          <w:sz w:val="18"/>
          <w:szCs w:val="18"/>
          <w:color w:val="auto"/>
        </w:rPr>
      </w:pPr>
    </w:p>
    <w:p>
      <w:pPr>
        <w:ind w:left="2000" w:right="479" w:hanging="362"/>
        <w:spacing w:after="0" w:line="279"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3,428,766 shares of common stock issued and sold after March 31, 2025 pursuant to our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with Jefferies LLC.</w:t>
      </w:r>
    </w:p>
    <w:p>
      <w:pPr>
        <w:spacing w:after="0" w:line="6" w:lineRule="exact"/>
        <w:rPr>
          <w:sz w:val="20"/>
          <w:szCs w:val="20"/>
          <w:color w:val="auto"/>
        </w:rPr>
      </w:pPr>
    </w:p>
    <w:p>
      <w:pPr>
        <w:ind w:left="1280" w:right="679" w:firstLine="360"/>
        <w:spacing w:after="0" w:line="287" w:lineRule="auto"/>
        <w:rPr>
          <w:sz w:val="20"/>
          <w:szCs w:val="20"/>
          <w:color w:val="auto"/>
        </w:rPr>
      </w:pPr>
      <w:r>
        <w:rPr>
          <w:rFonts w:ascii="Arial" w:cs="Arial" w:eastAsia="Arial" w:hAnsi="Arial"/>
          <w:sz w:val="18"/>
          <w:szCs w:val="18"/>
          <w:color w:val="auto"/>
        </w:rPr>
        <w:t>Unless otherwise indicated, all information in this prospectus supplement assumes no exercise of outstanding stock options described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0" w:lineRule="exact"/>
        <w:rPr>
          <w:sz w:val="20"/>
          <w:szCs w:val="20"/>
          <w:color w:val="auto"/>
        </w:rPr>
      </w:pPr>
    </w:p>
    <w:p>
      <w:pPr>
        <w:ind w:left="1260" w:right="459"/>
        <w:spacing w:after="0" w:line="243"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Investing in our common stock and pre-funded warrants involves a high degree of risk and uncertainty. In </w:t>
      </w:r>
      <w:hyperlink r:id="rId29">
        <w:r>
          <w:rPr>
            <w:rFonts w:ascii="Arial" w:cs="Arial" w:eastAsia="Arial" w:hAnsi="Arial"/>
            <w:sz w:val="18"/>
            <w:szCs w:val="18"/>
            <w:i w:val="1"/>
            <w:iCs w:val="1"/>
            <w:color w:val="auto"/>
          </w:rPr>
          <w:t xml:space="preserve">addition to risks and uncertainties discussed under the section captioned “Risk Factors” contained in </w:t>
        </w:r>
        <w:r>
          <w:rPr>
            <w:rFonts w:ascii="Arial" w:cs="Arial" w:eastAsia="Arial" w:hAnsi="Arial"/>
            <w:sz w:val="18"/>
            <w:szCs w:val="18"/>
            <w:i w:val="1"/>
            <w:iCs w:val="1"/>
            <w:u w:val="single" w:color="auto"/>
            <w:color w:val="0000EE"/>
          </w:rPr>
          <w:t>our</w:t>
        </w:r>
      </w:hyperlink>
      <w:r>
        <w:rPr>
          <w:rFonts w:ascii="Arial" w:cs="Arial" w:eastAsia="Arial" w:hAnsi="Arial"/>
          <w:sz w:val="18"/>
          <w:szCs w:val="18"/>
          <w:i w:val="1"/>
          <w:iCs w:val="1"/>
          <w:color w:val="auto"/>
        </w:rPr>
        <w:t xml:space="preserve"> </w:t>
      </w:r>
      <w:hyperlink r:id="rId29">
        <w:r>
          <w:rPr>
            <w:rFonts w:ascii="Arial" w:cs="Arial" w:eastAsia="Arial" w:hAnsi="Arial"/>
            <w:sz w:val="18"/>
            <w:szCs w:val="18"/>
            <w:i w:val="1"/>
            <w:iCs w:val="1"/>
            <w:u w:val="single" w:color="auto"/>
            <w:color w:val="0000EE"/>
          </w:rPr>
          <w:t>Annual Report on Form 10-K for the year ended December 31, 2024</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and in our subsequent filings with</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the SEC incorporated by reference in this prospectus, together with the other information included in this prospectus and documents incorporated by reference in this prospectus, and in any free writing prospectus that we have authorized for use in connection with this offering, you should read in their entirety and carefully consider the risks described below before making an investment decision with respect to this offering. Any of the following risks could have a material adverse effect on our business, financial condition, results of operations or cash flow. This could cause the trading price of our common stock to decline, which could cause you to lose all or part of your investment.</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w:t>
      </w:r>
    </w:p>
    <w:p>
      <w:pPr>
        <w:spacing w:after="0" w:line="227" w:lineRule="exact"/>
        <w:rPr>
          <w:sz w:val="20"/>
          <w:szCs w:val="20"/>
          <w:color w:val="auto"/>
        </w:rPr>
      </w:pPr>
    </w:p>
    <w:p>
      <w:pPr>
        <w:ind w:left="1260" w:right="819"/>
        <w:spacing w:after="0" w:line="294"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The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giving effect to this offering. If you purchase common stock in this offering, you will incur an immediate and substantial dilution in net tangible book value of $12.32 per share, after giving effect to the sale by us of 2,482,692 shares and pre-funded warrants to purchase up to 1,363,469 shares of common stock in this offering at the public offering price of $19.50 per share and $19.4999 per pre-funded warrant. Furthermore, if the pre-funded warrants offered hereby are exercised, you will experience further dilution. For a further description of the dilution that you will experience immediately after this offering, see “Dilution.” In addition, in the past, we have issued options to acquire common stock at prices significantly below the offering price. To the extent these outstanding options are ultimately exercised, you will incur additional dilution.</w:t>
      </w:r>
    </w:p>
    <w:p>
      <w:pPr>
        <w:spacing w:after="0" w:line="157" w:lineRule="exact"/>
        <w:rPr>
          <w:sz w:val="20"/>
          <w:szCs w:val="20"/>
          <w:color w:val="auto"/>
        </w:rPr>
      </w:pPr>
    </w:p>
    <w:p>
      <w:pPr>
        <w:ind w:left="1260" w:right="639"/>
        <w:spacing w:after="0" w:line="264"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and you may not agree with how we use the proceeds and the proceeds may not be invested successfully.</w:t>
      </w:r>
    </w:p>
    <w:p>
      <w:pPr>
        <w:spacing w:after="0" w:line="84"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Our management will have broad discretion as to the use of the net proceeds from this offering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us.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56"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55" w:lineRule="exact"/>
        <w:rPr>
          <w:sz w:val="20"/>
          <w:szCs w:val="20"/>
          <w:color w:val="auto"/>
        </w:rPr>
      </w:pPr>
    </w:p>
    <w:p>
      <w:pPr>
        <w:ind w:left="1260" w:right="599"/>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72" w:lineRule="exact"/>
        <w:rPr>
          <w:sz w:val="20"/>
          <w:szCs w:val="20"/>
          <w:color w:val="auto"/>
        </w:rPr>
      </w:pPr>
    </w:p>
    <w:p>
      <w:pPr>
        <w:jc w:val="both"/>
        <w:ind w:left="1260" w:right="439" w:firstLine="360"/>
        <w:spacing w:after="0" w:line="283" w:lineRule="auto"/>
        <w:rPr>
          <w:sz w:val="20"/>
          <w:szCs w:val="20"/>
          <w:color w:val="auto"/>
        </w:rPr>
      </w:pPr>
      <w:r>
        <w:rPr>
          <w:rFonts w:ascii="Arial" w:cs="Arial" w:eastAsia="Arial" w:hAnsi="Arial"/>
          <w:sz w:val="17"/>
          <w:szCs w:val="17"/>
          <w:color w:val="auto"/>
        </w:rPr>
        <w:t>We have never declared or paid cash dividends on our capital stock. We anticipate that we will retain our earnings, if any, for future growth and therefore do not anticipate paying cash dividends in the future. As a result, only appreciation of the price of our common stock will provide a return to stockholders.</w:t>
      </w: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right="759"/>
        <w:spacing w:after="0" w:line="325" w:lineRule="auto"/>
        <w:rPr>
          <w:sz w:val="20"/>
          <w:szCs w:val="20"/>
          <w:color w:val="auto"/>
        </w:rPr>
      </w:pPr>
      <w:r>
        <w:rPr>
          <w:rFonts w:ascii="Arial" w:cs="Arial" w:eastAsia="Arial" w:hAnsi="Arial"/>
          <w:sz w:val="17"/>
          <w:szCs w:val="17"/>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4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markets could depress the market price of our common stock and impair our ability to raise capital through the sale of additional equity securities. We, our directors and our executive officers have agreed not to sell, dispose of or hedge any common stock or securities convertible into or exchangeable for shares of common stock during the period from the date of this prospectus supplement continuing through and including the date 90 days after the date of this prospectus supplement, subject to certain exceptions. The underwriters may, in their discretion, release the restrictions on any such shares at any time without notice. We cannot predict the effect that future sales of our common stock would have on the market price of our common stock.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142"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w:t>
      </w:r>
    </w:p>
    <w:p>
      <w:pPr>
        <w:spacing w:after="0" w:line="178" w:lineRule="exact"/>
        <w:rPr>
          <w:sz w:val="20"/>
          <w:szCs w:val="20"/>
          <w:color w:val="auto"/>
        </w:rPr>
      </w:pPr>
    </w:p>
    <w:p>
      <w:pPr>
        <w:ind w:left="1260" w:right="839"/>
        <w:spacing w:after="0" w:line="294" w:lineRule="auto"/>
        <w:rPr>
          <w:sz w:val="20"/>
          <w:szCs w:val="20"/>
          <w:color w:val="auto"/>
        </w:rPr>
      </w:pPr>
      <w:r>
        <w:rPr>
          <w:rFonts w:ascii="Arial" w:cs="Arial" w:eastAsia="Arial" w:hAnsi="Arial"/>
          <w:sz w:val="18"/>
          <w:szCs w:val="18"/>
          <w:b w:val="1"/>
          <w:bCs w:val="1"/>
          <w:i w:val="1"/>
          <w:iCs w:val="1"/>
          <w:color w:val="auto"/>
        </w:rPr>
        <w:t>We will not receive a significant amount or any additional funds upon the exercise of the pre-funded warrants.</w:t>
      </w:r>
    </w:p>
    <w:p>
      <w:pPr>
        <w:spacing w:after="0" w:line="71"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Each pre-funded warrant is exercisable for $0.0001 per share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any additional funds upon the exercise of the pre-funded warrants.</w:t>
      </w:r>
    </w:p>
    <w:p>
      <w:pPr>
        <w:spacing w:after="0" w:line="166" w:lineRule="exact"/>
        <w:rPr>
          <w:sz w:val="20"/>
          <w:szCs w:val="20"/>
          <w:color w:val="auto"/>
        </w:rPr>
      </w:pPr>
    </w:p>
    <w:p>
      <w:pPr>
        <w:ind w:left="1260" w:right="819"/>
        <w:spacing w:after="0" w:line="325" w:lineRule="auto"/>
        <w:rPr>
          <w:sz w:val="20"/>
          <w:szCs w:val="20"/>
          <w:color w:val="auto"/>
        </w:rPr>
      </w:pPr>
      <w:r>
        <w:rPr>
          <w:rFonts w:ascii="Arial" w:cs="Arial" w:eastAsia="Arial" w:hAnsi="Arial"/>
          <w:sz w:val="17"/>
          <w:szCs w:val="17"/>
          <w:b w:val="1"/>
          <w:bCs w:val="1"/>
          <w:i w:val="1"/>
          <w:iCs w:val="1"/>
          <w:color w:val="auto"/>
        </w:rPr>
        <w:t>Holders of pre-funded warrants purchased in this offering will have no rights as stockholders until such holders exercise their pre-funded warrants and acquire our common stock.</w:t>
      </w:r>
    </w:p>
    <w:p>
      <w:pPr>
        <w:spacing w:after="0" w:line="4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Until holders of pre-funded warrants acquire our common stock upon exercise of the pre-funded warrants, holders of pre-funded warrants will have no rights with respect to the common stock underlying such pre-funded warrants. Upon exercise of the pre-funded warrants, the holders will be entitled to exercise the rights of a stockholder only as to matters for which the record date occurs after the exercise date.</w:t>
      </w:r>
    </w:p>
    <w:p>
      <w:pPr>
        <w:spacing w:after="0" w:line="181" w:lineRule="exact"/>
        <w:rPr>
          <w:sz w:val="20"/>
          <w:szCs w:val="20"/>
          <w:color w:val="auto"/>
        </w:rPr>
      </w:pPr>
    </w:p>
    <w:p>
      <w:pPr>
        <w:ind w:left="1260" w:right="619"/>
        <w:spacing w:after="0" w:line="294" w:lineRule="auto"/>
        <w:rPr>
          <w:sz w:val="20"/>
          <w:szCs w:val="20"/>
          <w:color w:val="auto"/>
        </w:rPr>
      </w:pPr>
      <w:r>
        <w:rPr>
          <w:rFonts w:ascii="Arial" w:cs="Arial" w:eastAsia="Arial" w:hAnsi="Arial"/>
          <w:sz w:val="18"/>
          <w:szCs w:val="18"/>
          <w:b w:val="1"/>
          <w:bCs w:val="1"/>
          <w:i w:val="1"/>
          <w:iCs w:val="1"/>
          <w:color w:val="auto"/>
        </w:rPr>
        <w:t>Significant holders or beneficial holders of our common stock may not be permitted to exercise pre-funded warrants that they hold.</w:t>
      </w:r>
    </w:p>
    <w:p>
      <w:pPr>
        <w:spacing w:after="0" w:line="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 holder of a pre-funded warrant will not be entitled to exercise any portion of any pre-funded warrant which, upon giving effect to such exercise, would cause (i) the aggregate number of shares of common stock beneficially owned by the holder (together with its affiliates) to exceed 4.99% (or, at the holder’s option upon issuance, 9.99%) of the number of our shares of common stock outstanding immediately after giving effect to the exercise, or (ii) the combined voting power of our securities beneficially owned by the holder (together with its affiliates) to exceed 4.99% (or, at the holder’s option upon issuance, 9.99%) of the combined voting power of all of our securities then outstanding immediately after giving effect to the exercise, as such percentage ownership is determined in accordance with the terms of the pre-funded warrants, which percentage may be increased or decreased upon 61 days’ prior notice (subject to a limit of 19.99% to the extent required under Nasdaq Marketplace Rules). As a result, you may not be able to exercise your pre-funded warrants for our common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0" w:lineRule="exact"/>
        <w:rPr>
          <w:sz w:val="20"/>
          <w:szCs w:val="20"/>
          <w:color w:val="auto"/>
        </w:rPr>
      </w:pPr>
    </w:p>
    <w:p>
      <w:pPr>
        <w:ind w:left="1260" w:right="639" w:firstLine="360"/>
        <w:spacing w:after="0" w:line="251" w:lineRule="auto"/>
        <w:rPr>
          <w:sz w:val="20"/>
          <w:szCs w:val="20"/>
          <w:color w:val="auto"/>
        </w:rPr>
      </w:pPr>
      <w:r>
        <w:rPr>
          <w:rFonts w:ascii="Arial" w:cs="Arial" w:eastAsia="Arial" w:hAnsi="Arial"/>
          <w:sz w:val="17"/>
          <w:szCs w:val="17"/>
          <w:color w:val="auto"/>
        </w:rPr>
        <w:t>This prospectus supplement, the accompanying prospectus and the documents we have filed with the SEC that are incorporated by reference contain “forward-looking statements” within the meaning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27A of the Securities Act of 1933, as amended (Securities Act) and Section 21E of the Exchange</w:t>
      </w:r>
    </w:p>
    <w:p>
      <w:pPr>
        <w:spacing w:after="0" w:line="7" w:lineRule="exact"/>
        <w:rPr>
          <w:sz w:val="20"/>
          <w:szCs w:val="20"/>
          <w:color w:val="auto"/>
        </w:rPr>
      </w:pPr>
    </w:p>
    <w:p>
      <w:pPr>
        <w:ind w:left="1260" w:right="699"/>
        <w:spacing w:after="0"/>
        <w:rPr>
          <w:sz w:val="20"/>
          <w:szCs w:val="20"/>
          <w:color w:val="auto"/>
        </w:rPr>
      </w:pPr>
      <w:r>
        <w:rPr>
          <w:rFonts w:ascii="Arial" w:cs="Arial" w:eastAsia="Arial" w:hAnsi="Arial"/>
          <w:sz w:val="17"/>
          <w:szCs w:val="17"/>
          <w:color w:val="auto"/>
        </w:rPr>
        <w:t>Act. These statements relate to future events or to our future operating or financial performance and involve known and unknown risks, uncertainties and other factors which may cause our actual results,</w:t>
      </w:r>
    </w:p>
    <w:p>
      <w:pPr>
        <w:ind w:left="1260"/>
        <w:spacing w:after="0" w:line="235" w:lineRule="auto"/>
        <w:rPr>
          <w:sz w:val="20"/>
          <w:szCs w:val="20"/>
          <w:color w:val="auto"/>
        </w:rPr>
      </w:pPr>
      <w:r>
        <w:rPr>
          <w:rFonts w:ascii="Arial" w:cs="Arial" w:eastAsia="Arial" w:hAnsi="Arial"/>
          <w:sz w:val="18"/>
          <w:szCs w:val="18"/>
          <w:color w:val="auto"/>
        </w:rPr>
        <w:t>performance or achievements to be materially different from any future results, performances or</w:t>
      </w:r>
    </w:p>
    <w:p>
      <w:pPr>
        <w:ind w:left="1260" w:right="419"/>
        <w:spacing w:after="0" w:line="237" w:lineRule="auto"/>
        <w:rPr>
          <w:sz w:val="20"/>
          <w:szCs w:val="20"/>
          <w:color w:val="auto"/>
        </w:rPr>
      </w:pPr>
      <w:r>
        <w:rPr>
          <w:rFonts w:ascii="Arial" w:cs="Arial" w:eastAsia="Arial" w:hAnsi="Arial"/>
          <w:sz w:val="18"/>
          <w:szCs w:val="18"/>
          <w:color w:val="auto"/>
        </w:rPr>
        <w:t>achievements expressed or implied by the forward-looking statements. These forward-looking statements include, among other things, statements about:</w:t>
      </w:r>
    </w:p>
    <w:p>
      <w:pPr>
        <w:spacing w:after="0" w:line="59" w:lineRule="exact"/>
        <w:rPr>
          <w:sz w:val="20"/>
          <w:szCs w:val="20"/>
          <w:color w:val="auto"/>
        </w:rPr>
      </w:pPr>
    </w:p>
    <w:p>
      <w:pPr>
        <w:ind w:left="1980" w:right="129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product candidates, including our product development plans and strategies;</w:t>
      </w:r>
    </w:p>
    <w:p>
      <w:pPr>
        <w:spacing w:after="0" w:line="17" w:lineRule="exact"/>
        <w:rPr>
          <w:rFonts w:ascii="Arial" w:cs="Arial" w:eastAsia="Arial" w:hAnsi="Arial"/>
          <w:sz w:val="18"/>
          <w:szCs w:val="18"/>
          <w:color w:val="auto"/>
        </w:rPr>
      </w:pPr>
    </w:p>
    <w:p>
      <w:pPr>
        <w:ind w:left="1980" w:right="1199" w:hanging="360"/>
        <w:spacing w:after="0" w:line="318"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our addressable market, market growth, future revenue, key performance indicators, expenses, capital requirements and our needs for additional financing;</w:t>
      </w:r>
    </w:p>
    <w:p>
      <w:pPr>
        <w:spacing w:after="0" w:line="8" w:lineRule="exact"/>
        <w:rPr>
          <w:rFonts w:ascii="Arial" w:cs="Arial" w:eastAsia="Arial" w:hAnsi="Arial"/>
          <w:sz w:val="17"/>
          <w:szCs w:val="17"/>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03" w:lineRule="exact"/>
        <w:rPr>
          <w:rFonts w:ascii="Arial" w:cs="Arial" w:eastAsia="Arial" w:hAnsi="Arial"/>
          <w:sz w:val="18"/>
          <w:szCs w:val="18"/>
          <w:color w:val="auto"/>
        </w:rPr>
      </w:pPr>
    </w:p>
    <w:p>
      <w:pPr>
        <w:ind w:left="1980" w:right="49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7"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 and approvals;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90"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31" w:lineRule="exact"/>
        <w:rPr>
          <w:rFonts w:ascii="Arial" w:cs="Arial" w:eastAsia="Arial" w:hAnsi="Arial"/>
          <w:sz w:val="18"/>
          <w:szCs w:val="18"/>
          <w:color w:val="auto"/>
        </w:rPr>
      </w:pPr>
    </w:p>
    <w:p>
      <w:pPr>
        <w:ind w:left="1980" w:right="85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7"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03" w:lineRule="exact"/>
        <w:rPr>
          <w:rFonts w:ascii="Arial" w:cs="Arial" w:eastAsia="Arial" w:hAnsi="Arial"/>
          <w:sz w:val="18"/>
          <w:szCs w:val="18"/>
          <w:color w:val="auto"/>
        </w:rPr>
      </w:pPr>
    </w:p>
    <w:p>
      <w:pPr>
        <w:ind w:left="1980" w:right="119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capital requirements and needs for additional financing;</w:t>
      </w:r>
    </w:p>
    <w:p>
      <w:pPr>
        <w:spacing w:after="0" w:line="31"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source sufficient clinical product for our clinical trials and, if our product candidates are approved and commercialized, commercial product;</w:t>
      </w:r>
    </w:p>
    <w:p>
      <w:pPr>
        <w:spacing w:after="0" w:line="17" w:lineRule="exact"/>
        <w:rPr>
          <w:rFonts w:ascii="Arial" w:cs="Arial" w:eastAsia="Arial" w:hAnsi="Arial"/>
          <w:sz w:val="18"/>
          <w:szCs w:val="18"/>
          <w:color w:val="auto"/>
        </w:rPr>
      </w:pPr>
    </w:p>
    <w:p>
      <w:pPr>
        <w:ind w:left="1980" w:right="659" w:hanging="360"/>
        <w:spacing w:after="0" w:line="28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tariffs and changes in economic policies, volatility in inflation, volatility in interest rates, or market disruptions on our business; and</w:t>
      </w:r>
    </w:p>
    <w:p>
      <w:pPr>
        <w:spacing w:after="0" w:line="31"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beginning on page </w:t>
      </w:r>
      <w:r>
        <w:rPr>
          <w:rFonts w:ascii="Arial" w:cs="Arial" w:eastAsia="Arial" w:hAnsi="Arial"/>
          <w:sz w:val="18"/>
          <w:szCs w:val="18"/>
          <w:u w:val="single" w:color="auto"/>
          <w:color w:val="0000EE"/>
        </w:rPr>
        <w:t>S-7</w:t>
      </w:r>
      <w:r>
        <w:rPr>
          <w:rFonts w:ascii="Arial" w:cs="Arial" w:eastAsia="Arial" w:hAnsi="Arial"/>
          <w:sz w:val="18"/>
          <w:szCs w:val="18"/>
          <w:color w:val="auto"/>
        </w:rPr>
        <w:t xml:space="preserve"> of this prospectus supplement, page 3 of the accompanying prospectus and in the documents incorporated by reference into this prospectus supplement and the accompanying prospectus. Also, these forward-looking statements represent our estimates and assumptions only as of the date of the document containing the applicable statement.</w:t>
      </w:r>
    </w:p>
    <w:p>
      <w:pPr>
        <w:spacing w:after="0" w:line="56"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You should read this prospectus supplement, the accompanying prospectus and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estimate that the net proceeds we will receive from this offering will be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$69.8 million (or approximately $80.4 million if the underwriters exercise their option to purchase</w:t>
      </w:r>
    </w:p>
    <w:p>
      <w:pPr>
        <w:ind w:left="1260"/>
        <w:spacing w:after="0"/>
        <w:rPr>
          <w:sz w:val="20"/>
          <w:szCs w:val="20"/>
          <w:color w:val="auto"/>
        </w:rPr>
      </w:pPr>
      <w:r>
        <w:rPr>
          <w:rFonts w:ascii="Arial" w:cs="Arial" w:eastAsia="Arial" w:hAnsi="Arial"/>
          <w:sz w:val="18"/>
          <w:szCs w:val="18"/>
          <w:color w:val="auto"/>
        </w:rPr>
        <w:t>additional shares of our common stock in full), after deducting underwriting discounts and commissions</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estimated offering expenses payable by us. We will receive nominal proceeds, if any, from the</w:t>
      </w:r>
    </w:p>
    <w:p>
      <w:pPr>
        <w:ind w:left="1260"/>
        <w:spacing w:after="0"/>
        <w:rPr>
          <w:sz w:val="20"/>
          <w:szCs w:val="20"/>
          <w:color w:val="auto"/>
        </w:rPr>
      </w:pPr>
      <w:r>
        <w:rPr>
          <w:rFonts w:ascii="Arial" w:cs="Arial" w:eastAsia="Arial" w:hAnsi="Arial"/>
          <w:sz w:val="18"/>
          <w:szCs w:val="18"/>
          <w:color w:val="auto"/>
        </w:rPr>
        <w:t>exercise of the pre-funded warrants.</w:t>
      </w:r>
    </w:p>
    <w:p>
      <w:pPr>
        <w:spacing w:after="0" w:line="72"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We currently intend to use the net proceeds from this offering, together with our existing cash resources, to support our activities for firmonertinib and our other pipeline programs and for working capital and other general corporate purposes.</w:t>
      </w:r>
    </w:p>
    <w:p>
      <w:pPr>
        <w:spacing w:after="0" w:line="40" w:lineRule="exact"/>
        <w:rPr>
          <w:sz w:val="20"/>
          <w:szCs w:val="20"/>
          <w:color w:val="auto"/>
        </w:rPr>
      </w:pPr>
    </w:p>
    <w:p>
      <w:pPr>
        <w:ind w:left="1260" w:right="399" w:firstLine="360"/>
        <w:spacing w:after="0" w:line="245" w:lineRule="auto"/>
        <w:rPr>
          <w:sz w:val="20"/>
          <w:szCs w:val="20"/>
          <w:color w:val="auto"/>
        </w:rPr>
      </w:pPr>
      <w:r>
        <w:rPr>
          <w:rFonts w:ascii="Arial" w:cs="Arial" w:eastAsia="Arial" w:hAnsi="Arial"/>
          <w:sz w:val="18"/>
          <w:szCs w:val="18"/>
          <w:color w:val="auto"/>
        </w:rPr>
        <w:t>Our expected use of the net proceeds from this offering represents our current intentions based upon our present plans and business conditions. The amounts and timing of our actual expenditures will depend on numerous factors, including those described under “Risk Factors” in this prospectus supplement, the accompanying base prospectus and the documents incorporated by reference herein, as well as the amount of cash used in our operations. As a result, our management will have broad discretion to allocate the net proceeds we receive in connection with this offering.</w:t>
      </w:r>
    </w:p>
    <w:p>
      <w:pPr>
        <w:spacing w:after="0" w:line="55" w:lineRule="exact"/>
        <w:rPr>
          <w:sz w:val="20"/>
          <w:szCs w:val="20"/>
          <w:color w:val="auto"/>
        </w:rPr>
      </w:pPr>
    </w:p>
    <w:p>
      <w:pPr>
        <w:ind w:left="1260" w:right="419" w:firstLine="360"/>
        <w:spacing w:after="0" w:line="283" w:lineRule="auto"/>
        <w:rPr>
          <w:sz w:val="20"/>
          <w:szCs w:val="20"/>
          <w:color w:val="auto"/>
        </w:rPr>
      </w:pPr>
      <w:r>
        <w:rPr>
          <w:rFonts w:ascii="Arial" w:cs="Arial" w:eastAsia="Arial" w:hAnsi="Arial"/>
          <w:sz w:val="17"/>
          <w:szCs w:val="17"/>
          <w:color w:val="auto"/>
        </w:rPr>
        <w:t>Pending their use, we plan to invest the net proceeds from this offering in short- and intermediate-term, interest-bearing obligations, investment-grade instruments, certificates of deposit or direct or guaranteed obligations of the U.S. government or apply them to the reduction of short-term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have never paid cash dividends on any of our capital stock and we currently intend to retain our future earnings, if any, to fund the development and growth of our business. We do not intend to pay cash dividends to holders of our common stock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63" w:lineRule="exact"/>
        <w:rPr>
          <w:sz w:val="20"/>
          <w:szCs w:val="20"/>
          <w:color w:val="auto"/>
        </w:rPr>
      </w:pPr>
    </w:p>
    <w:p>
      <w:pPr>
        <w:jc w:val="both"/>
        <w:ind w:left="1260" w:right="439" w:firstLine="360"/>
        <w:spacing w:after="0" w:line="238" w:lineRule="auto"/>
        <w:rPr>
          <w:sz w:val="20"/>
          <w:szCs w:val="20"/>
          <w:color w:val="auto"/>
        </w:rPr>
      </w:pPr>
      <w:r>
        <w:rPr>
          <w:rFonts w:ascii="Arial" w:cs="Arial" w:eastAsia="Arial" w:hAnsi="Arial"/>
          <w:sz w:val="18"/>
          <w:szCs w:val="18"/>
          <w:color w:val="auto"/>
        </w:rPr>
        <w:t>If you invest in our common stock, your ownership interest will be diluted immediately to the extent of the difference between the offering price per share of our common stock and the as adjusted net tangible book value per share of our common stock after this offering.</w:t>
      </w:r>
    </w:p>
    <w:p>
      <w:pPr>
        <w:spacing w:after="0" w:line="32" w:lineRule="exact"/>
        <w:rPr>
          <w:sz w:val="20"/>
          <w:szCs w:val="20"/>
          <w:color w:val="auto"/>
        </w:rPr>
      </w:pPr>
    </w:p>
    <w:p>
      <w:pPr>
        <w:ind w:left="1260" w:right="419" w:firstLine="360"/>
        <w:spacing w:after="0" w:line="233" w:lineRule="auto"/>
        <w:rPr>
          <w:sz w:val="20"/>
          <w:szCs w:val="20"/>
          <w:color w:val="auto"/>
        </w:rPr>
      </w:pPr>
      <w:r>
        <w:rPr>
          <w:rFonts w:ascii="Arial" w:cs="Arial" w:eastAsia="Arial" w:hAnsi="Arial"/>
          <w:sz w:val="18"/>
          <w:szCs w:val="18"/>
          <w:color w:val="auto"/>
        </w:rPr>
        <w:t>As of March 31, 2025, our historical net tangible book value was $192.5 million, or $5.66 per share of common stock. Historical net tangible book value per share represents the amount of our total tangible assets less total liabilities, divided by 34,040,996, the number of shares of common stock outstanding on March 31, 2025.</w:t>
      </w:r>
    </w:p>
    <w:p>
      <w:pPr>
        <w:spacing w:after="0" w:line="20" w:lineRule="exact"/>
        <w:rPr>
          <w:sz w:val="20"/>
          <w:szCs w:val="20"/>
          <w:color w:val="auto"/>
        </w:rPr>
      </w:pPr>
    </w:p>
    <w:p>
      <w:pPr>
        <w:ind w:left="1260" w:right="459" w:firstLine="360"/>
        <w:spacing w:after="0" w:line="223" w:lineRule="auto"/>
        <w:rPr>
          <w:sz w:val="20"/>
          <w:szCs w:val="20"/>
          <w:color w:val="auto"/>
        </w:rPr>
      </w:pPr>
      <w:r>
        <w:rPr>
          <w:rFonts w:ascii="Arial" w:cs="Arial" w:eastAsia="Arial" w:hAnsi="Arial"/>
          <w:sz w:val="18"/>
          <w:szCs w:val="18"/>
          <w:color w:val="auto"/>
        </w:rPr>
        <w:t>After giving effect to the sale of 2,482,692 shares of our common stock in this offering at the public offering price of $19.50 per share and pre-funded warrants to purchase up to 1,363,469 shares of common stock at the public offering price of $19.4999 per pre-funded warrant (which equals the public offering price per share less the $0.0001 per share exercise price of each such pre-funded warrant) (and excluding common stock issued and any proceeds received upon exercise of the pre-funded warrants and assuming equity classification of the pre-funded warrants), and after deducting underwriting discounts and commissions and estimated offering expenses payable by us, our as adjusted net tangible book value as of March 31, 2025 would have been $262.4, or $7.18 per share. This amount represents an immediate increase in net tangible book value of $1.53 per share to our existing stockholders and an immediate dilution in net tangible book value of approximately $12.32 per share to new investors purchasing shares of our common stock and pre-funded warrants in this offering. We determine dilution by subtracting the net tangible book value per share after the offering from the amount of cash that a new investor paid for a share of common stock. We have not yet assessed the accounting for the pre-funded warrants.</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9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6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 ​​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​​$ 19.50​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6540" w:type="dxa"/>
            <w:vAlign w:val="bottom"/>
          </w:tcPr>
          <w:p>
            <w:pPr>
              <w:ind w:left="160"/>
              <w:spacing w:after="0"/>
              <w:rPr>
                <w:sz w:val="20"/>
                <w:szCs w:val="20"/>
                <w:color w:val="auto"/>
              </w:rPr>
            </w:pPr>
            <w:r>
              <w:rPr>
                <w:rFonts w:ascii="Arial" w:cs="Arial" w:eastAsia="Arial" w:hAnsi="Arial"/>
                <w:sz w:val="18"/>
                <w:szCs w:val="18"/>
                <w:color w:val="auto"/>
              </w:rPr>
              <w:t>Historical net tangible book value per share as of March 31, 2025</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​​$5.66​​</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​1.53​​</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​Net tangible book value per share after the offering</w:t>
            </w:r>
          </w:p>
        </w:tc>
        <w:tc>
          <w:tcPr>
            <w:tcW w:w="680" w:type="dxa"/>
            <w:vAlign w:val="bottom"/>
            <w:gridSpan w:val="3"/>
          </w:tcPr>
          <w:p>
            <w:pPr>
              <w:jc w:val="right"/>
              <w:ind w:right="210"/>
              <w:spacing w:after="0"/>
              <w:rPr>
                <w:sz w:val="20"/>
                <w:szCs w:val="20"/>
                <w:color w:val="auto"/>
              </w:rPr>
            </w:pPr>
            <w:r>
              <w:rPr>
                <w:rFonts w:ascii="Arial" w:cs="Arial" w:eastAsia="Arial" w:hAnsi="Arial"/>
                <w:sz w:val="18"/>
                <w:szCs w:val="18"/>
                <w:color w:val="auto"/>
              </w:rPr>
              <w:t>​ ​​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 ​ 7.18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7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Dilution per share to new investors</w:t>
            </w:r>
          </w:p>
        </w:tc>
        <w:tc>
          <w:tcPr>
            <w:tcW w:w="300" w:type="dxa"/>
            <w:vAlign w:val="bottom"/>
            <w:tcBorders>
              <w:top w:val="single" w:sz="8" w:color="CCEEFF"/>
            </w:tcBorders>
            <w:gridSpan w:val="2"/>
            <w:vMerge w:val="restart"/>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380" w:type="dxa"/>
            <w:vAlign w:val="bottom"/>
            <w:tcBorders>
              <w:top w:val="single" w:sz="8" w:color="CCEEFF"/>
            </w:tcBorders>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vMerge w:val="restart"/>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12.32</w:t>
            </w:r>
          </w:p>
        </w:tc>
        <w:tc>
          <w:tcPr>
            <w:tcW w:w="60" w:type="dxa"/>
            <w:vAlign w:val="bottom"/>
            <w:vMerge w:val="restart"/>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
        </w:trPr>
        <w:tc>
          <w:tcPr>
            <w:tcW w:w="200" w:type="dxa"/>
            <w:vAlign w:val="bottom"/>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65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60" w:type="dxa"/>
            <w:vAlign w:val="bottom"/>
            <w:gridSpan w:val="2"/>
            <w:shd w:val="clear" w:color="auto" w:fill="CCEEFF"/>
          </w:tcPr>
          <w:p>
            <w:pPr>
              <w:ind w:left="40"/>
              <w:spacing w:after="0" w:line="7" w:lineRule="exact"/>
              <w:rPr>
                <w:sz w:val="20"/>
                <w:szCs w:val="20"/>
                <w:color w:val="auto"/>
              </w:rPr>
            </w:pPr>
            <w:r>
              <w:rPr>
                <w:rFonts w:ascii="Arial" w:cs="Arial" w:eastAsia="Arial" w:hAnsi="Arial"/>
                <w:sz w:val="1"/>
                <w:sz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843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23"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If the underwriters exercise in full their option to purchase an additional 576,923 shares of our common stock at the public offering price of $19.50 per share, the as adjusted net tangible book value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 share after giving effect to this offering, and after deducting underwriting discounts and commissions</w:t>
      </w:r>
    </w:p>
    <w:p>
      <w:pPr>
        <w:spacing w:after="0" w:line="7" w:lineRule="exact"/>
        <w:rPr>
          <w:sz w:val="20"/>
          <w:szCs w:val="20"/>
          <w:color w:val="auto"/>
        </w:rPr>
      </w:pPr>
    </w:p>
    <w:p>
      <w:pPr>
        <w:ind w:left="1260" w:right="479"/>
        <w:spacing w:after="0"/>
        <w:rPr>
          <w:sz w:val="20"/>
          <w:szCs w:val="20"/>
          <w:color w:val="auto"/>
        </w:rPr>
      </w:pPr>
      <w:r>
        <w:rPr>
          <w:rFonts w:ascii="Arial" w:cs="Arial" w:eastAsia="Arial" w:hAnsi="Arial"/>
          <w:sz w:val="17"/>
          <w:szCs w:val="17"/>
          <w:color w:val="auto"/>
        </w:rPr>
        <w:t>and estimated offering expenses payable by us, would be $7.36 per share, representing an immediate increase to existing shareholders of $1.70 per share, and immediate dilution in net tangible book value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$12.14 per share to investors participating in this offering.</w:t>
      </w:r>
    </w:p>
    <w:p>
      <w:pPr>
        <w:spacing w:after="0" w:line="45"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If holders of pre-funded warrants exercise the pre-funded warrants (and the underwriters exercise their option to purchase additional shares in full), the as adjusted net tangible book value per share of our</w:t>
      </w:r>
    </w:p>
    <w:p>
      <w:pPr>
        <w:spacing w:after="0" w:line="1" w:lineRule="exact"/>
        <w:rPr>
          <w:sz w:val="20"/>
          <w:szCs w:val="20"/>
          <w:color w:val="auto"/>
        </w:rPr>
      </w:pPr>
    </w:p>
    <w:p>
      <w:pPr>
        <w:ind w:left="1260" w:right="479"/>
        <w:spacing w:after="0" w:line="279" w:lineRule="auto"/>
        <w:rPr>
          <w:sz w:val="20"/>
          <w:szCs w:val="20"/>
          <w:color w:val="auto"/>
        </w:rPr>
      </w:pPr>
      <w:r>
        <w:rPr>
          <w:rFonts w:ascii="Arial" w:cs="Arial" w:eastAsia="Arial" w:hAnsi="Arial"/>
          <w:sz w:val="17"/>
          <w:szCs w:val="17"/>
          <w:color w:val="auto"/>
        </w:rPr>
        <w:t>common stock after giving effect to this offering would be $7.10 per share, and the dilution in net tangible book value per share to investors purchasing common stock in this offering would be $12.40 per share.</w:t>
      </w:r>
    </w:p>
    <w:p>
      <w:pPr>
        <w:ind w:left="1620"/>
        <w:spacing w:after="0"/>
        <w:rPr>
          <w:sz w:val="20"/>
          <w:szCs w:val="20"/>
          <w:color w:val="auto"/>
        </w:rPr>
      </w:pPr>
      <w:r>
        <w:rPr>
          <w:rFonts w:ascii="Arial" w:cs="Arial" w:eastAsia="Arial" w:hAnsi="Arial"/>
          <w:sz w:val="18"/>
          <w:szCs w:val="18"/>
          <w:color w:val="auto"/>
        </w:rPr>
        <w:t>The table above excludes:</w:t>
      </w:r>
    </w:p>
    <w:p>
      <w:pPr>
        <w:spacing w:after="0" w:line="77" w:lineRule="exact"/>
        <w:rPr>
          <w:sz w:val="20"/>
          <w:szCs w:val="20"/>
          <w:color w:val="auto"/>
        </w:rPr>
      </w:pPr>
    </w:p>
    <w:p>
      <w:pPr>
        <w:ind w:left="1980" w:right="559" w:hanging="360"/>
        <w:spacing w:after="0" w:line="268"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4,059,300 shares of common stock issuable upon the exercise of outstanding stock options as of March 31, 2025, issued under our 2021 Plan or our 2024 Plan, having a weighted-average exercise price of $14.96 per share;</w:t>
      </w:r>
    </w:p>
    <w:p>
      <w:pPr>
        <w:spacing w:after="0" w:line="35" w:lineRule="exact"/>
        <w:rPr>
          <w:rFonts w:ascii="Arial" w:cs="Arial" w:eastAsia="Arial" w:hAnsi="Arial"/>
          <w:sz w:val="18"/>
          <w:szCs w:val="18"/>
          <w:color w:val="auto"/>
        </w:rPr>
      </w:pPr>
    </w:p>
    <w:p>
      <w:pPr>
        <w:ind w:left="1980" w:right="579" w:hanging="360"/>
        <w:spacing w:after="0" w:line="259"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3,829,956 shares of common stock reserved for issuance pursuant to future awards under our 2024 Plan, as well as automatic increases in the number of shares of common stock reserved for future issuance under the 2024 Plan, plus any shares underlying outstanding stock awards granted under our 2021 Plan that expire or are repurchased, forfeited, cancelled or withheld; and</w:t>
      </w:r>
      <w:r>
        <w:rPr>
          <w:rFonts w:ascii="Times New Roman" w:cs="Times New Roman" w:eastAsia="Times New Roman" w:hAnsi="Times New Roman"/>
          <w:sz w:val="18"/>
          <w:szCs w:val="18"/>
          <w:color w:val="auto"/>
        </w:rPr>
        <w:t>​</w:t>
      </w:r>
    </w:p>
    <w:p>
      <w:pPr>
        <w:spacing w:after="0" w:line="56" w:lineRule="exact"/>
        <w:rPr>
          <w:rFonts w:ascii="Arial" w:cs="Arial" w:eastAsia="Arial" w:hAnsi="Arial"/>
          <w:sz w:val="18"/>
          <w:szCs w:val="18"/>
          <w:color w:val="auto"/>
        </w:rPr>
      </w:pPr>
    </w:p>
    <w:p>
      <w:pPr>
        <w:ind w:left="1980" w:right="499" w:hanging="360"/>
        <w:spacing w:after="0" w:line="245"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3,428,766 shares of common stock issued and sold after March 31, 2025 pursuant to our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with Jefferies LLC.</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To the extent that outstanding options are exercised, you will experience further dilution. In addition,</w:t>
      </w:r>
    </w:p>
    <w:p>
      <w:pPr>
        <w:spacing w:after="0" w:line="7" w:lineRule="exact"/>
        <w:rPr>
          <w:sz w:val="20"/>
          <w:szCs w:val="20"/>
          <w:color w:val="auto"/>
        </w:rPr>
      </w:pPr>
    </w:p>
    <w:p>
      <w:pPr>
        <w:ind w:left="1260" w:right="499"/>
        <w:spacing w:after="0"/>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that additional</w:t>
      </w:r>
    </w:p>
    <w:p>
      <w:pPr>
        <w:spacing w:after="0" w:line="1"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capital is raised through the sale of equity or convertible debt securities, the issuance of these securities may result in further dilution to our stockholders.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PRE-FUNDED WARRANTS</w:t>
      </w:r>
    </w:p>
    <w:p>
      <w:pPr>
        <w:spacing w:after="0" w:line="63"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Form</w:t>
      </w:r>
    </w:p>
    <w:p>
      <w:pPr>
        <w:spacing w:after="0" w:line="77"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pre-funded warrants will be issued as individual warrant agreements to the purchasers. The form of pre-funded warrant will be filed as an exhibit to a Current Report on Form 8-K that we will file with the SEC.</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pre-funded warrants will not expire until they are fully exercised.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Exercisability</w:t>
      </w:r>
    </w:p>
    <w:p>
      <w:pPr>
        <w:spacing w:after="0" w:line="63" w:lineRule="exact"/>
        <w:rPr>
          <w:sz w:val="20"/>
          <w:szCs w:val="20"/>
          <w:color w:val="auto"/>
        </w:rPr>
      </w:pPr>
    </w:p>
    <w:p>
      <w:pPr>
        <w:ind w:left="1260" w:right="459" w:firstLine="360"/>
        <w:spacing w:after="0" w:line="224" w:lineRule="auto"/>
        <w:rPr>
          <w:sz w:val="20"/>
          <w:szCs w:val="20"/>
          <w:color w:val="auto"/>
        </w:rPr>
      </w:pPr>
      <w:r>
        <w:rPr>
          <w:rFonts w:ascii="Arial" w:cs="Arial" w:eastAsia="Arial" w:hAnsi="Arial"/>
          <w:sz w:val="18"/>
          <w:szCs w:val="18"/>
          <w:color w:val="auto"/>
        </w:rPr>
        <w:t>The pre-funded warrants are exercisable at any time after their original issuance. The pre-funded warrants will be exercisable, at the option of the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pre-funded warrants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warrants. In lieu of fractional shares, we will, at our election, either pay a cash adjustment in respect of such final fraction in an amount equal to such fraction multiplied by the Exercise Price (as defined in the pre-funded warrant) or round up to the next whole share.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Exercise Limitations</w:t>
      </w:r>
    </w:p>
    <w:p>
      <w:pPr>
        <w:spacing w:after="0" w:line="63" w:lineRule="exact"/>
        <w:rPr>
          <w:sz w:val="20"/>
          <w:szCs w:val="20"/>
          <w:color w:val="auto"/>
        </w:rPr>
      </w:pPr>
    </w:p>
    <w:p>
      <w:pPr>
        <w:ind w:left="1260" w:right="539" w:firstLine="360"/>
        <w:spacing w:after="0" w:line="224" w:lineRule="auto"/>
        <w:rPr>
          <w:sz w:val="20"/>
          <w:szCs w:val="20"/>
          <w:color w:val="auto"/>
        </w:rPr>
      </w:pPr>
      <w:r>
        <w:rPr>
          <w:rFonts w:ascii="Arial" w:cs="Arial" w:eastAsia="Arial" w:hAnsi="Arial"/>
          <w:sz w:val="18"/>
          <w:szCs w:val="18"/>
          <w:color w:val="auto"/>
        </w:rPr>
        <w:t>We may not effect the exercise of any pre-funded warrant, and a holder will not be entitled to exercise any portion of any pre-funded warrant to the extent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our common stock outstanding immediately after giving effect to the issuance of shares of common stock issuable upon exercise of such pre-funded warrant). A holder, upon notice to the Company, may increase or decrease the beneficial ownership limitation under the pre-funded warrant, provided that it in no event exceeds 19.99% of the number of shares of our common stock outstanding immediately after giving effect to the issuance of shares of common stock upon exercise of the pre-funded warrant. Any such increase in the percentage will not be effective until the 61st day after such notice is delivered to the Company.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Exercise Price</w:t>
      </w:r>
    </w:p>
    <w:p>
      <w:pPr>
        <w:spacing w:after="0" w:line="77" w:lineRule="exact"/>
        <w:rPr>
          <w:sz w:val="20"/>
          <w:szCs w:val="20"/>
          <w:color w:val="auto"/>
        </w:rPr>
      </w:pPr>
    </w:p>
    <w:p>
      <w:pPr>
        <w:jc w:val="both"/>
        <w:ind w:left="1260" w:right="479" w:firstLine="360"/>
        <w:spacing w:after="0" w:line="230" w:lineRule="auto"/>
        <w:rPr>
          <w:sz w:val="20"/>
          <w:szCs w:val="20"/>
          <w:color w:val="auto"/>
        </w:rPr>
      </w:pPr>
      <w:r>
        <w:rPr>
          <w:rFonts w:ascii="Arial" w:cs="Arial" w:eastAsia="Arial" w:hAnsi="Arial"/>
          <w:sz w:val="18"/>
          <w:szCs w:val="18"/>
          <w:color w:val="auto"/>
        </w:rPr>
        <w:t>The exercise price of our shares of common stock purchasable upon the exercise of the pre-funded warrants is $0.0001 per share.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Adjustments</w:t>
      </w:r>
    </w:p>
    <w:p>
      <w:pPr>
        <w:spacing w:after="0" w:line="63" w:lineRule="exact"/>
        <w:rPr>
          <w:sz w:val="20"/>
          <w:szCs w:val="20"/>
          <w:color w:val="auto"/>
        </w:rPr>
      </w:pPr>
    </w:p>
    <w:p>
      <w:pPr>
        <w:ind w:left="1260" w:right="419" w:firstLine="360"/>
        <w:spacing w:after="0" w:line="224" w:lineRule="auto"/>
        <w:rPr>
          <w:sz w:val="20"/>
          <w:szCs w:val="20"/>
          <w:color w:val="auto"/>
        </w:rPr>
      </w:pPr>
      <w:r>
        <w:rPr>
          <w:rFonts w:ascii="Arial" w:cs="Arial" w:eastAsia="Arial" w:hAnsi="Arial"/>
          <w:sz w:val="18"/>
          <w:szCs w:val="18"/>
          <w:color w:val="auto"/>
        </w:rPr>
        <w:t xml:space="preserve">In addition to the adjustments described under “Exercise Price” above, if we grant, issue or sell any common stock equivalents or rights to purchase stock, warrants, securities or other property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all record holders of any class of shares of our common stock or declare or make any dividend or other distribution of our assets (or rights to acquire our assets) to holders of shares of common stock, by way of return of capital or otherwise, then, in each case, each pre-funded warrant holder will be entitled to acquire such rights or participate in such distribution, on the same terms as the holder could have acquired or participated if the holder held the number of shares of common stock acquirable upon complete exercise of the pre-funded warrant without regard to any exercise limitations, subject to certain exceptions to the extent participation would result in the holder exceeding its beneficial ownership limitation under the pre-funded warrant.</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Transferability</w:t>
      </w:r>
    </w:p>
    <w:p>
      <w:pPr>
        <w:spacing w:after="0" w:line="63" w:lineRule="exact"/>
        <w:rPr>
          <w:sz w:val="20"/>
          <w:szCs w:val="20"/>
          <w:color w:val="auto"/>
        </w:rPr>
      </w:pPr>
    </w:p>
    <w:p>
      <w:pPr>
        <w:ind w:left="1260" w:right="939" w:firstLine="360"/>
        <w:spacing w:after="0" w:line="271" w:lineRule="auto"/>
        <w:rPr>
          <w:sz w:val="20"/>
          <w:szCs w:val="20"/>
          <w:color w:val="auto"/>
        </w:rPr>
      </w:pPr>
      <w:r>
        <w:rPr>
          <w:rFonts w:ascii="Arial" w:cs="Arial" w:eastAsia="Arial" w:hAnsi="Arial"/>
          <w:sz w:val="18"/>
          <w:szCs w:val="18"/>
          <w:color w:val="auto"/>
        </w:rPr>
        <w:t>Subject to applicable laws, the pre-funded warrants may be offered for transferred or assigned without our consent, in accordance with the terms of the pre-funded warrants.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Listing</w:t>
      </w:r>
    </w:p>
    <w:p>
      <w:pPr>
        <w:spacing w:after="0" w:line="63"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8"/>
          <w:szCs w:val="18"/>
          <w:color w:val="auto"/>
        </w:rPr>
        <w:t>We do not intend to list the pre-funded warrants on Nasdaq, any other national securities exchange or any other nationally recognized trading system.</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Fundamental Transactions</w:t>
      </w:r>
    </w:p>
    <w:p>
      <w:pPr>
        <w:spacing w:after="0" w:line="77"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Upon the consummation of a fundamental transaction (as described in the pre-funded warrants, and generally including any reclassification or compulsory share exchange of our common stock, the sale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 or substantially all of our properties or assets, our consolidation or merger with or into another person,</w:t>
      </w:r>
    </w:p>
    <w:p>
      <w:pPr>
        <w:spacing w:after="0" w:line="7" w:lineRule="exact"/>
        <w:rPr>
          <w:sz w:val="20"/>
          <w:szCs w:val="20"/>
          <w:color w:val="auto"/>
        </w:rPr>
      </w:pPr>
    </w:p>
    <w:p>
      <w:pPr>
        <w:ind w:left="1260" w:right="499"/>
        <w:spacing w:after="0"/>
        <w:rPr>
          <w:sz w:val="20"/>
          <w:szCs w:val="20"/>
          <w:color w:val="auto"/>
        </w:rPr>
      </w:pPr>
      <w:r>
        <w:rPr>
          <w:rFonts w:ascii="Arial" w:cs="Arial" w:eastAsia="Arial" w:hAnsi="Arial"/>
          <w:sz w:val="17"/>
          <w:szCs w:val="17"/>
          <w:color w:val="auto"/>
        </w:rPr>
        <w:t>or that results in the acquisition of more than 50% of our outstanding common stock, or a business combination, including a reorganization or recapitalization, whereby the counterparty acquires more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 of the voting power of our outstanding common stock), a holder of the pre-funded warrants will be</w:t>
      </w:r>
    </w:p>
    <w:p>
      <w:pPr>
        <w:spacing w:after="0" w:line="7" w:lineRule="exact"/>
        <w:rPr>
          <w:sz w:val="20"/>
          <w:szCs w:val="20"/>
          <w:color w:val="auto"/>
        </w:rPr>
      </w:pPr>
    </w:p>
    <w:p>
      <w:pPr>
        <w:ind w:left="1260" w:right="579"/>
        <w:spacing w:after="0" w:line="226" w:lineRule="auto"/>
        <w:rPr>
          <w:sz w:val="20"/>
          <w:szCs w:val="20"/>
          <w:color w:val="auto"/>
        </w:rPr>
      </w:pPr>
      <w:r>
        <w:rPr>
          <w:rFonts w:ascii="Arial" w:cs="Arial" w:eastAsia="Arial" w:hAnsi="Arial"/>
          <w:sz w:val="18"/>
          <w:szCs w:val="18"/>
          <w:color w:val="auto"/>
        </w:rPr>
        <w:t>entitled to receive, upon exercise of the pre-funded warrants, the kind and amount of securities, cash or other property that such holder would have received had they exercised the pre-funded warrants</w:t>
      </w:r>
    </w:p>
    <w:p>
      <w:pPr>
        <w:spacing w:after="0" w:line="2" w:lineRule="exact"/>
        <w:rPr>
          <w:sz w:val="20"/>
          <w:szCs w:val="20"/>
          <w:color w:val="auto"/>
        </w:rPr>
      </w:pPr>
    </w:p>
    <w:p>
      <w:pPr>
        <w:ind w:left="1260" w:right="1219"/>
        <w:spacing w:after="0" w:line="250" w:lineRule="auto"/>
        <w:rPr>
          <w:sz w:val="20"/>
          <w:szCs w:val="20"/>
          <w:color w:val="auto"/>
        </w:rPr>
      </w:pPr>
      <w:r>
        <w:rPr>
          <w:rFonts w:ascii="Arial" w:cs="Arial" w:eastAsia="Arial" w:hAnsi="Arial"/>
          <w:sz w:val="18"/>
          <w:szCs w:val="18"/>
          <w:color w:val="auto"/>
        </w:rPr>
        <w:t>immediately prior to such fundamental transaction, without regard to any limitations on exercise contained in the pre-funded warrants.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Rights as a Stockholder</w:t>
      </w:r>
    </w:p>
    <w:p>
      <w:pPr>
        <w:spacing w:after="0" w:line="63"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Except by virtue of such holder’s ownership of shares of our common stock, the holder of a pre-funded warrant does not have the rights or privileges of a holder of shares of our common stock, including any voting rights, until such holder exercises the 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UNDERWRITING</w:t>
      </w:r>
    </w:p>
    <w:p>
      <w:pPr>
        <w:spacing w:after="0" w:line="15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securities being offered. Subject to certain conditions, each underwriter has severally agreed to purchase the number of shares and pre-funded warrants indicated in the following table. Goldman Sachs</w:t>
      </w:r>
    </w:p>
    <w:p>
      <w:pPr>
        <w:spacing w:after="0" w:line="1" w:lineRule="exact"/>
        <w:rPr>
          <w:sz w:val="20"/>
          <w:szCs w:val="20"/>
          <w:color w:val="auto"/>
        </w:rPr>
      </w:pPr>
    </w:p>
    <w:p>
      <w:pPr>
        <w:ind w:left="1260" w:right="459"/>
        <w:spacing w:after="0" w:line="266" w:lineRule="auto"/>
        <w:tabs>
          <w:tab w:leader="none" w:pos="142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 LLC, Citigroup Global Markets Inc. and Guggenheim Securities, LLC are the representatives of the underwriters.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60" w:type="dxa"/>
            <w:vAlign w:val="bottom"/>
            <w:gridSpan w:val="3"/>
          </w:tcPr>
          <w:p>
            <w:pPr>
              <w:jc w:val="center"/>
              <w:ind w:left="1136"/>
              <w:spacing w:after="0"/>
              <w:rPr>
                <w:sz w:val="20"/>
                <w:szCs w:val="20"/>
                <w:color w:val="auto"/>
              </w:rPr>
            </w:pPr>
            <w:r>
              <w:rPr>
                <w:rFonts w:ascii="Arial" w:cs="Arial" w:eastAsia="Arial" w:hAnsi="Arial"/>
                <w:sz w:val="18"/>
                <w:szCs w:val="18"/>
                <w:color w:val="auto"/>
                <w:w w:val="99"/>
              </w:rPr>
              <w:t>Number of</w:t>
            </w:r>
          </w:p>
        </w:tc>
        <w:tc>
          <w:tcPr>
            <w:tcW w:w="280" w:type="dxa"/>
            <w:vAlign w:val="bottom"/>
          </w:tcPr>
          <w:p>
            <w:pPr>
              <w:spacing w:after="0"/>
              <w:rPr>
                <w:sz w:val="17"/>
                <w:szCs w:val="17"/>
                <w:color w:val="auto"/>
              </w:rPr>
            </w:pPr>
          </w:p>
        </w:tc>
        <w:tc>
          <w:tcPr>
            <w:tcW w:w="1700" w:type="dxa"/>
            <w:vAlign w:val="bottom"/>
            <w:gridSpan w:val="4"/>
          </w:tcPr>
          <w:p>
            <w:pPr>
              <w:ind w:left="40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20" w:type="dxa"/>
            <w:vAlign w:val="bottom"/>
          </w:tcPr>
          <w:p>
            <w:pPr>
              <w:spacing w:after="0"/>
              <w:rPr>
                <w:sz w:val="20"/>
                <w:szCs w:val="20"/>
                <w:color w:val="auto"/>
              </w:rPr>
            </w:pPr>
            <w:r>
              <w:rPr>
                <w:rFonts w:ascii="Arial" w:cs="Arial" w:eastAsia="Arial" w:hAnsi="Arial"/>
                <w:sz w:val="18"/>
                <w:szCs w:val="18"/>
                <w:color w:val="auto"/>
                <w:w w:val="97"/>
              </w:rPr>
              <w:t>Underwriters</w:t>
            </w:r>
          </w:p>
        </w:tc>
        <w:tc>
          <w:tcPr>
            <w:tcW w:w="3140" w:type="dxa"/>
            <w:vAlign w:val="bottom"/>
          </w:tcPr>
          <w:p>
            <w:pPr>
              <w:spacing w:after="0"/>
              <w:rPr>
                <w:sz w:val="20"/>
                <w:szCs w:val="20"/>
                <w:color w:val="auto"/>
              </w:rPr>
            </w:pPr>
          </w:p>
        </w:tc>
        <w:tc>
          <w:tcPr>
            <w:tcW w:w="1260" w:type="dxa"/>
            <w:vAlign w:val="bottom"/>
          </w:tcPr>
          <w:p>
            <w:pPr>
              <w:ind w:left="10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Shares</w:t>
            </w:r>
          </w:p>
        </w:tc>
        <w:tc>
          <w:tcPr>
            <w:tcW w:w="2040" w:type="dxa"/>
            <w:vAlign w:val="bottom"/>
            <w:gridSpan w:val="6"/>
          </w:tcPr>
          <w:p>
            <w:pPr>
              <w:jc w:val="right"/>
              <w:spacing w:after="0"/>
              <w:rPr>
                <w:sz w:val="20"/>
                <w:szCs w:val="20"/>
                <w:color w:val="auto"/>
              </w:rPr>
            </w:pPr>
            <w:r>
              <w:rPr>
                <w:rFonts w:ascii="Arial" w:cs="Arial" w:eastAsia="Arial" w:hAnsi="Arial"/>
                <w:sz w:val="18"/>
                <w:szCs w:val="18"/>
                <w:color w:val="auto"/>
              </w:rPr>
              <w:t>​ ​ Pre-Funded Warrants​</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868,943</w:t>
            </w:r>
          </w:p>
        </w:tc>
        <w:tc>
          <w:tcPr>
            <w:tcW w:w="2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477,215</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546,192</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299,963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496,538</w:t>
            </w:r>
          </w:p>
        </w:tc>
        <w:tc>
          <w:tcPr>
            <w:tcW w:w="2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272,694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LifeSci Capital LLC</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223,442</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122,712</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198,615</w:t>
            </w:r>
          </w:p>
        </w:tc>
        <w:tc>
          <w:tcPr>
            <w:tcW w:w="2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109,078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B. Riley Securities, Inc.</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49,654</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27,269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Wainwright &amp; Co., LLC</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49,654</w:t>
            </w:r>
          </w:p>
        </w:tc>
        <w:tc>
          <w:tcPr>
            <w:tcW w:w="2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27,269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Arial" w:cs="Arial" w:eastAsia="Arial" w:hAnsi="Arial"/>
                <w:sz w:val="18"/>
                <w:szCs w:val="18"/>
                <w:color w:val="auto"/>
              </w:rPr>
              <w:t>JonesTrading Institutional Services LLC</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 ​ ​</w:t>
            </w:r>
          </w:p>
        </w:tc>
        <w:tc>
          <w:tcPr>
            <w:tcW w:w="720" w:type="dxa"/>
            <w:vAlign w:val="bottom"/>
          </w:tcPr>
          <w:p>
            <w:pPr>
              <w:jc w:val="right"/>
              <w:spacing w:after="0"/>
              <w:rPr>
                <w:sz w:val="20"/>
                <w:szCs w:val="20"/>
                <w:color w:val="auto"/>
              </w:rPr>
            </w:pPr>
            <w:r>
              <w:rPr>
                <w:rFonts w:ascii="Arial" w:cs="Arial" w:eastAsia="Arial" w:hAnsi="Arial"/>
                <w:sz w:val="18"/>
                <w:szCs w:val="18"/>
                <w:color w:val="auto"/>
              </w:rPr>
              <w:t>49,654</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27,269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​2,482,692</w:t>
            </w:r>
          </w:p>
        </w:tc>
        <w:tc>
          <w:tcPr>
            <w:tcW w:w="28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​1,363,469</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8"/>
        </w:trPr>
        <w:tc>
          <w:tcPr>
            <w:tcW w:w="102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4"/>
                <w:szCs w:val="4"/>
                <w:color w:val="auto"/>
              </w:rPr>
              <w:t>​ ​ ​</w:t>
            </w:r>
          </w:p>
        </w:tc>
        <w:tc>
          <w:tcPr>
            <w:tcW w:w="720" w:type="dxa"/>
            <w:vAlign w:val="bottom"/>
            <w:shd w:val="clear" w:color="auto" w:fill="CCEEFF"/>
          </w:tcPr>
          <w:p>
            <w:pPr>
              <w:spacing w:after="0"/>
              <w:rPr>
                <w:sz w:val="7"/>
                <w:szCs w:val="7"/>
                <w:color w:val="auto"/>
              </w:rPr>
            </w:pPr>
          </w:p>
        </w:tc>
        <w:tc>
          <w:tcPr>
            <w:tcW w:w="280" w:type="dxa"/>
            <w:vAlign w:val="bottom"/>
            <w:tcBorders>
              <w:left w:val="single" w:sz="8" w:color="CCEEFF"/>
            </w:tcBorders>
            <w:vMerge w:val="continue"/>
            <w:shd w:val="clear" w:color="auto" w:fill="CCEEFF"/>
          </w:tcPr>
          <w:p>
            <w:pPr>
              <w:spacing w:after="0"/>
              <w:rPr>
                <w:sz w:val="7"/>
                <w:szCs w:val="7"/>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-213360</wp:posOffset>
            </wp:positionV>
            <wp:extent cx="291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-213360</wp:posOffset>
            </wp:positionV>
            <wp:extent cx="4406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91" w:lineRule="exact"/>
        <w:rPr>
          <w:sz w:val="20"/>
          <w:szCs w:val="20"/>
          <w:color w:val="auto"/>
        </w:rPr>
      </w:pPr>
    </w:p>
    <w:p>
      <w:pPr>
        <w:ind w:left="1260" w:right="879" w:firstLine="360"/>
        <w:spacing w:after="0" w:line="268" w:lineRule="auto"/>
        <w:rPr>
          <w:sz w:val="20"/>
          <w:szCs w:val="20"/>
          <w:color w:val="auto"/>
        </w:rPr>
      </w:pPr>
      <w:r>
        <w:rPr>
          <w:rFonts w:ascii="Arial" w:cs="Arial" w:eastAsia="Arial" w:hAnsi="Arial"/>
          <w:sz w:val="18"/>
          <w:szCs w:val="18"/>
          <w:color w:val="auto"/>
        </w:rPr>
        <w:t>The underwriters are committed to take and pay for all of the securities being offered, if any are taken, other than the shares covered by the option described below unless and until this option is exercised.</w:t>
      </w:r>
    </w:p>
    <w:p>
      <w:pPr>
        <w:spacing w:after="0" w:line="103" w:lineRule="exact"/>
        <w:rPr>
          <w:sz w:val="20"/>
          <w:szCs w:val="20"/>
          <w:color w:val="auto"/>
        </w:rPr>
      </w:pPr>
    </w:p>
    <w:p>
      <w:pPr>
        <w:ind w:left="1260" w:right="659" w:firstLine="360"/>
        <w:spacing w:after="0" w:line="262" w:lineRule="auto"/>
        <w:rPr>
          <w:sz w:val="20"/>
          <w:szCs w:val="20"/>
          <w:color w:val="auto"/>
        </w:rPr>
      </w:pPr>
      <w:r>
        <w:rPr>
          <w:rFonts w:ascii="Arial" w:cs="Arial" w:eastAsia="Arial" w:hAnsi="Arial"/>
          <w:sz w:val="18"/>
          <w:szCs w:val="18"/>
          <w:color w:val="auto"/>
        </w:rPr>
        <w:t>The underwriters have an option to buy up to an additional 576,923 shares of common stock from us.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09"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following table shows the per share, per pre-funded warrant and total underwriting discounts and commissions to be paid to the underwriters by us. Such amounts are shown assuming both no exercise and full exercise of the underwriters’ option to purchase 576,923 additional shares of common stock.</w:t>
      </w:r>
    </w:p>
    <w:tbl>
      <w:tblPr>
        <w:tblLayout w:type="fixed"/>
        <w:tblInd w:w="1260" w:type="dxa"/>
        <w:tblCellMar>
          <w:top w:w="0" w:type="dxa"/>
          <w:left w:w="0" w:type="dxa"/>
          <w:bottom w:w="0" w:type="dxa"/>
          <w:right w:w="0" w:type="dxa"/>
        </w:tblCellMar>
      </w:tblPr>
      <w:tr>
        <w:trPr>
          <w:trHeight w:val="374"/>
        </w:trPr>
        <w:tc>
          <w:tcPr>
            <w:tcW w:w="840" w:type="dxa"/>
            <w:vAlign w:val="bottom"/>
          </w:tcPr>
          <w:p>
            <w:pPr>
              <w:spacing w:after="0"/>
              <w:rPr>
                <w:sz w:val="20"/>
                <w:szCs w:val="20"/>
                <w:color w:val="auto"/>
              </w:rPr>
            </w:pPr>
            <w:r>
              <w:rPr>
                <w:rFonts w:ascii="Arial" w:cs="Arial" w:eastAsia="Arial" w:hAnsi="Arial"/>
                <w:sz w:val="18"/>
                <w:szCs w:val="18"/>
                <w:color w:val="auto"/>
                <w:w w:val="97"/>
              </w:rPr>
              <w:t>Paid by us</w:t>
            </w:r>
          </w:p>
        </w:tc>
        <w:tc>
          <w:tcPr>
            <w:tcW w:w="2860" w:type="dxa"/>
            <w:vAlign w:val="bottom"/>
          </w:tcPr>
          <w:p>
            <w:pPr>
              <w:spacing w:after="0"/>
              <w:rPr>
                <w:sz w:val="24"/>
                <w:szCs w:val="24"/>
                <w:color w:val="auto"/>
              </w:rPr>
            </w:pPr>
          </w:p>
        </w:tc>
        <w:tc>
          <w:tcPr>
            <w:tcW w:w="4560" w:type="dxa"/>
            <w:vAlign w:val="bottom"/>
            <w:gridSpan w:val="7"/>
          </w:tcPr>
          <w:p>
            <w:pPr>
              <w:ind w:left="1780"/>
              <w:spacing w:after="0" w:line="374"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No Exercise  </w:t>
            </w:r>
            <w:r>
              <w:rPr>
                <w:rFonts w:ascii="Arial" w:cs="Arial" w:eastAsia="Arial" w:hAnsi="Arial"/>
                <w:sz w:val="35"/>
                <w:szCs w:val="35"/>
                <w:color w:val="auto"/>
                <w:vertAlign w:val="subscript"/>
              </w:rPr>
              <w:t>​ ​</w:t>
            </w:r>
            <w:r>
              <w:rPr>
                <w:rFonts w:ascii="Arial" w:cs="Arial" w:eastAsia="Arial" w:hAnsi="Arial"/>
                <w:sz w:val="18"/>
                <w:szCs w:val="18"/>
                <w:color w:val="auto"/>
              </w:rPr>
              <w:t xml:space="preserve"> Full Exercise </w:t>
            </w:r>
            <w:r>
              <w:rPr>
                <w:rFonts w:ascii="Arial" w:cs="Arial" w:eastAsia="Arial" w:hAnsi="Arial"/>
                <w:sz w:val="35"/>
                <w:szCs w:val="35"/>
                <w:color w:val="auto"/>
                <w:vertAlign w:val="subscript"/>
              </w:rPr>
              <w:t>​</w:t>
            </w:r>
          </w:p>
        </w:tc>
      </w:tr>
      <w:tr>
        <w:trPr>
          <w:trHeight w:val="20"/>
        </w:trPr>
        <w:tc>
          <w:tcPr>
            <w:tcW w:w="8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86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1.17​​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Per Pre-Funded Warrant</w:t>
            </w:r>
          </w:p>
        </w:tc>
        <w:tc>
          <w:tcPr>
            <w:tcW w:w="2420" w:type="dxa"/>
            <w:vAlign w:val="bottom"/>
            <w:gridSpan w:val="2"/>
          </w:tcPr>
          <w:p>
            <w:pPr>
              <w:ind w:left="1780"/>
              <w:spacing w:after="0" w:line="269" w:lineRule="exact"/>
              <w:rPr>
                <w:sz w:val="20"/>
                <w:szCs w:val="20"/>
                <w:color w:val="auto"/>
              </w:rPr>
            </w:pPr>
            <w:r>
              <w:rPr>
                <w:rFonts w:ascii="Arial" w:cs="Arial" w:eastAsia="Arial" w:hAnsi="Arial"/>
                <w:sz w:val="17"/>
                <w:szCs w:val="17"/>
                <w:color w:val="auto"/>
              </w:rPr>
              <w:t>​ ​​</w:t>
            </w:r>
            <w:r>
              <w:rPr>
                <w:rFonts w:ascii="Arial" w:cs="Arial" w:eastAsia="Arial" w:hAnsi="Arial"/>
                <w:sz w:val="31"/>
                <w:szCs w:val="31"/>
                <w:color w:val="auto"/>
                <w:vertAlign w:val="superscript"/>
              </w:rPr>
              <w:t>$</w:t>
            </w:r>
          </w:p>
        </w:tc>
        <w:tc>
          <w:tcPr>
            <w:tcW w:w="1380" w:type="dxa"/>
            <w:vAlign w:val="bottom"/>
            <w:gridSpan w:val="3"/>
          </w:tcPr>
          <w:p>
            <w:pPr>
              <w:ind w:left="340"/>
              <w:spacing w:after="0" w:line="269" w:lineRule="exact"/>
              <w:rPr>
                <w:sz w:val="20"/>
                <w:szCs w:val="20"/>
                <w:color w:val="auto"/>
              </w:rPr>
            </w:pPr>
            <w:r>
              <w:rPr>
                <w:rFonts w:ascii="Arial" w:cs="Arial" w:eastAsia="Arial" w:hAnsi="Arial"/>
                <w:sz w:val="17"/>
                <w:szCs w:val="17"/>
                <w:color w:val="auto"/>
              </w:rPr>
              <w:t>1.17</w:t>
            </w:r>
            <w:r>
              <w:rPr>
                <w:rFonts w:ascii="Arial" w:cs="Arial" w:eastAsia="Arial" w:hAnsi="Arial"/>
                <w:sz w:val="31"/>
                <w:szCs w:val="31"/>
                <w:color w:val="auto"/>
                <w:vertAlign w:val="subscript"/>
              </w:rPr>
              <w:t>​​ ​​</w:t>
            </w:r>
            <w:r>
              <w:rPr>
                <w:rFonts w:ascii="Arial" w:cs="Arial" w:eastAsia="Arial" w:hAnsi="Arial"/>
                <w:sz w:val="17"/>
                <w:szCs w:val="17"/>
                <w:color w:val="auto"/>
              </w:rPr>
              <w:t>$</w:t>
            </w:r>
          </w:p>
        </w:tc>
        <w:tc>
          <w:tcPr>
            <w:tcW w:w="76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1.17</w:t>
            </w:r>
            <w:r>
              <w:rPr>
                <w:rFonts w:ascii="Arial" w:cs="Arial" w:eastAsia="Arial" w:hAnsi="Arial"/>
                <w:sz w:val="31"/>
                <w:szCs w:val="31"/>
                <w:color w:val="auto"/>
                <w:vertAlign w:val="subscript"/>
              </w:rPr>
              <w:t>​</w:t>
            </w:r>
          </w:p>
        </w:tc>
      </w:tr>
      <w:tr>
        <w:trPr>
          <w:trHeight w:val="20"/>
        </w:trPr>
        <w:tc>
          <w:tcPr>
            <w:tcW w:w="84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84"/>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6"/>
            <w:shd w:val="clear" w:color="auto" w:fill="CCEEFF"/>
          </w:tcPr>
          <w:p>
            <w:pPr>
              <w:ind w:left="17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u w:val="single" w:color="auto"/>
                <w:color w:val="auto"/>
              </w:rPr>
              <w:t>$</w:t>
            </w:r>
            <w:r>
              <w:rPr>
                <w:rFonts w:ascii="Arial" w:cs="Arial" w:eastAsia="Arial" w:hAnsi="Arial"/>
                <w:sz w:val="15"/>
                <w:szCs w:val="15"/>
                <w:color w:val="auto"/>
              </w:rPr>
              <w:t>4,500,008.37</w:t>
            </w:r>
            <w:r>
              <w:rPr>
                <w:rFonts w:ascii="Arial" w:cs="Arial" w:eastAsia="Arial" w:hAnsi="Arial"/>
                <w:sz w:val="28"/>
                <w:szCs w:val="28"/>
                <w:color w:val="auto"/>
                <w:vertAlign w:val="subscript"/>
              </w:rPr>
              <w:t>​​ ​​</w:t>
            </w:r>
            <w:r>
              <w:rPr>
                <w:rFonts w:ascii="Arial" w:cs="Arial" w:eastAsia="Arial" w:hAnsi="Arial"/>
                <w:sz w:val="15"/>
                <w:szCs w:val="15"/>
                <w:u w:val="single" w:color="auto"/>
                <w:color w:val="auto"/>
              </w:rPr>
              <w:t>$</w:t>
            </w:r>
            <w:r>
              <w:rPr>
                <w:rFonts w:ascii="Arial" w:cs="Arial" w:eastAsia="Arial" w:hAnsi="Arial"/>
                <w:sz w:val="15"/>
                <w:szCs w:val="15"/>
                <w:color w:val="auto"/>
              </w:rPr>
              <w:t>5,175,008.28</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4748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20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Shares sold by the underwriters to the public will be offered at the public offering price set forth on the cover of this prospectus. Any shares sold by the underwriters to securities dealers may be sold at a discount of up to $0.702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 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00" w:lineRule="exact"/>
        <w:rPr>
          <w:sz w:val="20"/>
          <w:szCs w:val="20"/>
          <w:color w:val="auto"/>
        </w:rPr>
      </w:pPr>
    </w:p>
    <w:p>
      <w:pPr>
        <w:ind w:left="1260" w:right="519" w:firstLine="360"/>
        <w:spacing w:after="0" w:line="278" w:lineRule="auto"/>
        <w:rPr>
          <w:sz w:val="20"/>
          <w:szCs w:val="20"/>
          <w:color w:val="auto"/>
        </w:rPr>
      </w:pPr>
      <w:r>
        <w:rPr>
          <w:rFonts w:ascii="Arial" w:cs="Arial" w:eastAsia="Arial" w:hAnsi="Arial"/>
          <w:sz w:val="17"/>
          <w:szCs w:val="17"/>
          <w:color w:val="auto"/>
        </w:rPr>
        <w:t>We and each of our directors and executive officers and certain of our stockholders (such persons, the lock-up parties), have agreed that, without the prior written consent of Goldman Sachs &amp; Co. LLC, Citigroup Global Markets Inc. and Guggenheim Securities, LLC, we and they will not, during the period ending 90 days after the date of this prospectus (such period, the lock-up period), subject to certain exceptions, including but not limited to, that after 30 days from the date of this prospectus, we may issue</w:t>
      </w:r>
    </w:p>
    <w:p>
      <w:pPr>
        <w:sectPr>
          <w:pgSz w:w="11900" w:h="16838" w:orient="portrait"/>
          <w:cols w:equalWidth="0" w:num="1">
            <w:col w:w="9879"/>
          </w:cols>
          <w:pgMar w:left="580" w:top="97" w:right="1440" w:bottom="1440" w:gutter="0" w:footer="0" w:header="0"/>
        </w:sect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shares of common stock pursuant to our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with Jefferies LLC (i) offer, sell, contract to sell, pledge, grant any option, right or warrant to purchase, purchase any option or contract to sell, lend or otherwise transfer or dispose of any shares of our common stock, or any options or warrants to purchase any shares of our common stock, or any securities convertible into, exchangeable for or that represent the right to receive shares of our common stock (such shares of our common stock, options, rights, warrants or other securities, collectively, Lock-Up Securities), including without limitation any such Lock-Up Securities currently beneficially owned (as such term is used in Rule 13d-3 of the Exchange Act) or hereafter acquired by any lock-up party,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parties or someone other than the lock-up parties), or transfer of any of the economic consequences of ownership, in whole or in part, directly or indirectly, of any Lock-Up Securities, whether any such transaction or arrangement (or instrument provided for thereunder) would be settled by delivery of our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lock-up parties represent and warrant that they are not, and have not caused or directed any of their affiliates to be or become, currently a party to any agreement or arrangement that provides for, is designed to or reasonably could be expected to lead to or result in any Transfer during the lock-up period.</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Notwithstanding the above, the lock-up parties may:</w:t>
      </w:r>
    </w:p>
    <w:p>
      <w:pPr>
        <w:spacing w:after="0" w:line="144" w:lineRule="exact"/>
        <w:rPr>
          <w:sz w:val="20"/>
          <w:szCs w:val="20"/>
          <w:color w:val="auto"/>
        </w:rPr>
      </w:pPr>
    </w:p>
    <w:p>
      <w:pPr>
        <w:ind w:left="1980" w:right="439" w:hanging="360"/>
        <w:spacing w:after="0" w:line="252"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transfer their Lock-Up Securities (i) as one or more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gifts or charitable contributions, or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purposes, (ii) upon death by will, testamentary document or intestate succession, (iii) if the lock-up party is a natural person, to any member of the lock-up party’s immediate family or to any trust or other legal entity for the direct or indirect benefit of the lock-up party or the immediate family of the lock-up party or, if the lock-up party is a trust, to a trustor, trustee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(a)(i) through</w:t>
      </w:r>
    </w:p>
    <w:p>
      <w:pPr>
        <w:spacing w:after="0" w:line="4" w:lineRule="exact"/>
        <w:rPr>
          <w:rFonts w:ascii="Arial" w:cs="Arial" w:eastAsia="Arial" w:hAnsi="Arial"/>
          <w:sz w:val="18"/>
          <w:szCs w:val="18"/>
          <w:color w:val="auto"/>
        </w:rPr>
      </w:pPr>
    </w:p>
    <w:p>
      <w:pPr>
        <w:ind w:left="1980" w:right="419"/>
        <w:spacing w:after="0" w:line="251" w:lineRule="auto"/>
        <w:rPr>
          <w:rFonts w:ascii="Arial" w:cs="Arial" w:eastAsia="Arial" w:hAnsi="Arial"/>
          <w:sz w:val="18"/>
          <w:szCs w:val="18"/>
          <w:color w:val="auto"/>
        </w:rPr>
      </w:pPr>
      <w:r>
        <w:rPr>
          <w:rFonts w:ascii="Arial" w:cs="Arial" w:eastAsia="Arial" w:hAnsi="Arial"/>
          <w:sz w:val="18"/>
          <w:szCs w:val="18"/>
          <w:color w:val="auto"/>
        </w:rPr>
        <w:t>(iv) above, (vi) if the lock-up party is a corporation, partnership, limited liability company or other business entity, (A) to another corporation, partnership, limited liability company or other business entity that is an affiliate (as defined in Rule 405 under the Securities Act) of the lock-up party, or to any investment fund or other entity which fund or entity is directly or indirectly controlled or managed by the lock-up party or affiliates of the lock-up party (including for the avoidance of doubt, where the lock-up party is a partnership, to its general partner or a successor partnership or fund, or any other funds managed by such partnership), or (B) as part of a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from an employee of ours upon death, disability or termination of employment, in each case, of such employee, (ix) if the lock-up party is not one of our officers or directors, in connection with a sale of the lock-up party’s shares of common stock acquired (A) from the underwriters in this offering or (B) in open market transactions after the closing date of this offering, (x) to us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80" w:right="419"/>
        <w:spacing w:after="0" w:line="256" w:lineRule="auto"/>
        <w:rPr>
          <w:sz w:val="20"/>
          <w:szCs w:val="20"/>
          <w:color w:val="auto"/>
        </w:rPr>
      </w:pPr>
      <w:r>
        <w:rPr>
          <w:rFonts w:ascii="Arial" w:cs="Arial" w:eastAsia="Arial" w:hAnsi="Arial"/>
          <w:sz w:val="17"/>
          <w:szCs w:val="17"/>
          <w:color w:val="auto"/>
        </w:rPr>
        <w:t>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 (xi) in connection with any sales of shares of common stock by lock-up parties to the underwriters pursuant to the underwriting agreement, or (xii) with the prior written consent of Goldman Sachs &amp; Co. LLC, Citigroup Global Markets Inc. and Guggenheim Securities, LLC on behalf of the underwriters; provided that (A) in the case of clauses (a)(i), (ii), (iii), (iv), (v) and</w:t>
      </w:r>
    </w:p>
    <w:p>
      <w:pPr>
        <w:spacing w:after="0" w:line="3" w:lineRule="exact"/>
        <w:rPr>
          <w:sz w:val="20"/>
          <w:szCs w:val="20"/>
          <w:color w:val="auto"/>
        </w:rPr>
      </w:pPr>
    </w:p>
    <w:p>
      <w:pPr>
        <w:ind w:left="1980" w:right="419"/>
        <w:spacing w:after="0" w:line="241" w:lineRule="auto"/>
        <w:rPr>
          <w:sz w:val="20"/>
          <w:szCs w:val="20"/>
          <w:color w:val="auto"/>
        </w:rPr>
      </w:pPr>
      <w:r>
        <w:rPr>
          <w:rFonts w:ascii="Arial" w:cs="Arial" w:eastAsia="Arial" w:hAnsi="Arial"/>
          <w:sz w:val="18"/>
          <w:szCs w:val="18"/>
          <w:color w:val="auto"/>
        </w:rPr>
        <w:t>(vi)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(C) in the case of clauses (a)(i),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w:t>
      </w:r>
    </w:p>
    <w:p>
      <w:pPr>
        <w:spacing w:after="0" w:line="117" w:lineRule="exact"/>
        <w:rPr>
          <w:sz w:val="20"/>
          <w:szCs w:val="20"/>
          <w:color w:val="auto"/>
        </w:rPr>
      </w:pPr>
    </w:p>
    <w:p>
      <w:pPr>
        <w:ind w:left="1980" w:right="479" w:hanging="360"/>
        <w:spacing w:after="0" w:line="256"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or amend a written plan meeting the requirements of Rule 10b5-1 under the Exchange Act relating to the transfer, sale or other disposition of the lock-up parties’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or amendment of such plan during the lock-up period;</w:t>
      </w:r>
    </w:p>
    <w:p>
      <w:pPr>
        <w:spacing w:after="0" w:line="101" w:lineRule="exact"/>
        <w:rPr>
          <w:rFonts w:ascii="Arial" w:cs="Arial" w:eastAsia="Arial" w:hAnsi="Arial"/>
          <w:sz w:val="18"/>
          <w:szCs w:val="18"/>
          <w:color w:val="auto"/>
        </w:rPr>
      </w:pPr>
    </w:p>
    <w:p>
      <w:pPr>
        <w:ind w:left="1980" w:right="419" w:hanging="360"/>
        <w:spacing w:after="0" w:line="25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transfer the Lock-Up Securities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third-party tender offer, merger, consolidation or other similar transaction that is approved by our board of directors and made to all holders of our capital stock involving a change of control of the Company; provided that in the event that such tender offer, merger, consolidation or other similar transaction is not completed, the lock-up parties’ Lock-Up Securities shall remain subject to the provisions of the lock-up agreement; and</w:t>
      </w:r>
    </w:p>
    <w:p>
      <w:pPr>
        <w:spacing w:after="0" w:line="101" w:lineRule="exact"/>
        <w:rPr>
          <w:rFonts w:ascii="Arial" w:cs="Arial" w:eastAsia="Arial" w:hAnsi="Arial"/>
          <w:sz w:val="18"/>
          <w:szCs w:val="18"/>
          <w:color w:val="auto"/>
        </w:rPr>
      </w:pPr>
    </w:p>
    <w:p>
      <w:pPr>
        <w:ind w:left="1980" w:right="419" w:hanging="360"/>
        <w:spacing w:after="0" w:line="254"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any charge, mortgage, lien, pledge, restriction, security interest or other encumbrance that is placed in respect of any Lock-Up Securities in connection with the lock-up party’s (or any of its affiliates’) bona fide margin loans entered into by the lock-up party or its affiliates in the ordinary course of business, and the transfers of any Lock-Up Securities in the event of any foreclosures or enforcements by the beneficiary of such transaction following default by the lock-up party or any of its affiliates of such margin loans; provided, that it shall be a condition to any such charge, mortgage, lien, pledge, restriction, security interest or other encumbrance that, in the event of any transfer of any Lock-Up Securities following default by such lock-up party or any of its affiliates of such margin loans, that the transferee shall sign and deliver a lock up agreement.</w:t>
      </w:r>
    </w:p>
    <w:p>
      <w:pPr>
        <w:spacing w:after="0" w:line="118" w:lineRule="exact"/>
        <w:rPr>
          <w:sz w:val="20"/>
          <w:szCs w:val="20"/>
          <w:color w:val="auto"/>
        </w:rPr>
      </w:pPr>
    </w:p>
    <w:p>
      <w:pPr>
        <w:jc w:val="both"/>
        <w:ind w:left="1260" w:right="659" w:firstLine="360"/>
        <w:spacing w:after="0" w:line="261" w:lineRule="auto"/>
        <w:rPr>
          <w:sz w:val="20"/>
          <w:szCs w:val="20"/>
          <w:color w:val="auto"/>
        </w:rPr>
      </w:pPr>
      <w:r>
        <w:rPr>
          <w:rFonts w:ascii="Arial" w:cs="Arial" w:eastAsia="Arial" w:hAnsi="Arial"/>
          <w:sz w:val="18"/>
          <w:szCs w:val="18"/>
          <w:color w:val="auto"/>
        </w:rPr>
        <w:t>Our common stock is listed on Nasdaq under the symbol “AVBP.” We do not intend to list the pre-funded warrants on Nasdaq, any other national securities exchange or any other nationally recognized trading system.</w:t>
      </w:r>
    </w:p>
    <w:p>
      <w:pPr>
        <w:spacing w:after="0" w:line="94"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39"/>
        <w:spacing w:after="0" w:line="258" w:lineRule="auto"/>
        <w:rPr>
          <w:sz w:val="20"/>
          <w:szCs w:val="20"/>
          <w:color w:val="auto"/>
        </w:rPr>
      </w:pPr>
      <w:r>
        <w:rPr>
          <w:rFonts w:ascii="Arial" w:cs="Arial" w:eastAsia="Arial" w:hAnsi="Arial"/>
          <w:sz w:val="17"/>
          <w:szCs w:val="17"/>
          <w:color w:val="auto"/>
        </w:rPr>
        <w:t>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them because the representatives have repurchased shares sold by or for the account of such underwriter in stabilizing or short covering transactions.</w:t>
      </w:r>
    </w:p>
    <w:p>
      <w:pPr>
        <w:spacing w:after="0" w:line="10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08"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$0.7 million. We have agreed to reimburse the underwriters for certain of their expenses in an amount up to $20,000.</w:t>
      </w:r>
    </w:p>
    <w:p>
      <w:pPr>
        <w:spacing w:after="0" w:line="101" w:lineRule="exact"/>
        <w:rPr>
          <w:sz w:val="20"/>
          <w:szCs w:val="20"/>
          <w:color w:val="auto"/>
        </w:rPr>
      </w:pPr>
    </w:p>
    <w:p>
      <w:pPr>
        <w:ind w:left="1260" w:right="639" w:firstLine="360"/>
        <w:spacing w:after="0" w:line="28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72"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0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158" w:lineRule="exact"/>
        <w:rPr>
          <w:sz w:val="20"/>
          <w:szCs w:val="20"/>
          <w:color w:val="auto"/>
        </w:rPr>
      </w:pPr>
    </w:p>
    <w:p>
      <w:pPr>
        <w:ind w:left="1260" w:right="719" w:firstLine="360"/>
        <w:spacing w:after="0" w:line="318" w:lineRule="auto"/>
        <w:rPr>
          <w:sz w:val="20"/>
          <w:szCs w:val="20"/>
          <w:color w:val="auto"/>
        </w:rPr>
      </w:pPr>
      <w:r>
        <w:rPr>
          <w:rFonts w:ascii="Arial" w:cs="Arial" w:eastAsia="Arial" w:hAnsi="Arial"/>
          <w:sz w:val="17"/>
          <w:szCs w:val="17"/>
          <w:color w:val="auto"/>
        </w:rPr>
        <w:t>In relation to each Member State of the European Economic Area (each a Relevant State), no shares have been offered or will be offered pursuant to the offering to the public in that Relevant State</w:t>
      </w:r>
    </w:p>
    <w:p>
      <w:pPr>
        <w:spacing w:after="0" w:line="3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47" w:lineRule="auto"/>
        <w:rPr>
          <w:sz w:val="20"/>
          <w:szCs w:val="20"/>
          <w:color w:val="auto"/>
        </w:rPr>
      </w:pPr>
      <w:r>
        <w:rPr>
          <w:rFonts w:ascii="Arial" w:cs="Arial" w:eastAsia="Arial" w:hAnsi="Arial"/>
          <w:sz w:val="18"/>
          <w:szCs w:val="18"/>
          <w:color w:val="auto"/>
        </w:rPr>
        <w:t>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9" w:lineRule="exact"/>
        <w:rPr>
          <w:sz w:val="20"/>
          <w:szCs w:val="20"/>
          <w:color w:val="auto"/>
        </w:rPr>
      </w:pPr>
    </w:p>
    <w:p>
      <w:pPr>
        <w:ind w:left="1980" w:right="879" w:hanging="360"/>
        <w:spacing w:after="0" w:line="287"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44" w:lineRule="exact"/>
        <w:rPr>
          <w:rFonts w:ascii="Arial" w:cs="Arial" w:eastAsia="Arial" w:hAnsi="Arial"/>
          <w:sz w:val="18"/>
          <w:szCs w:val="18"/>
          <w:color w:val="auto"/>
        </w:rPr>
      </w:pPr>
    </w:p>
    <w:p>
      <w:pPr>
        <w:ind w:left="1980" w:right="939" w:hanging="360"/>
        <w:spacing w:after="0" w:line="268"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or</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01"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EU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an EEA State to qualified investors, in circumstances in which the prior consent of the representatives has been obtained to each such proposed offer or resale.</w:t>
      </w:r>
    </w:p>
    <w:p>
      <w:pPr>
        <w:spacing w:after="0" w:line="108" w:lineRule="exact"/>
        <w:rPr>
          <w:sz w:val="20"/>
          <w:szCs w:val="20"/>
          <w:color w:val="auto"/>
        </w:rPr>
      </w:pPr>
    </w:p>
    <w:p>
      <w:pPr>
        <w:ind w:left="1260" w:right="559" w:firstLine="36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2" w:lineRule="exact"/>
        <w:rPr>
          <w:sz w:val="20"/>
          <w:szCs w:val="20"/>
          <w:color w:val="auto"/>
        </w:rPr>
      </w:pPr>
    </w:p>
    <w:p>
      <w:pPr>
        <w:ind w:left="1980" w:right="599" w:hanging="360"/>
        <w:spacing w:after="0" w:line="28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44" w:lineRule="exact"/>
        <w:rPr>
          <w:rFonts w:ascii="Arial" w:cs="Arial" w:eastAsia="Arial" w:hAnsi="Arial"/>
          <w:sz w:val="18"/>
          <w:szCs w:val="18"/>
          <w:color w:val="auto"/>
        </w:rPr>
      </w:pPr>
    </w:p>
    <w:p>
      <w:pPr>
        <w:ind w:left="1980" w:right="419" w:hanging="360"/>
        <w:spacing w:after="0" w:line="268"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49" w:lineRule="exact"/>
        <w:rPr>
          <w:rFonts w:ascii="Arial" w:cs="Arial" w:eastAsia="Arial" w:hAnsi="Arial"/>
          <w:sz w:val="18"/>
          <w:szCs w:val="18"/>
          <w:color w:val="auto"/>
        </w:rPr>
      </w:pPr>
    </w:p>
    <w:p>
      <w:pPr>
        <w:ind w:left="1980" w:right="639" w:hanging="360"/>
        <w:spacing w:after="0" w:line="28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FSMA),</w:t>
      </w:r>
    </w:p>
    <w:p>
      <w:pPr>
        <w:spacing w:after="0" w:line="85" w:lineRule="exact"/>
        <w:rPr>
          <w:sz w:val="20"/>
          <w:szCs w:val="20"/>
          <w:color w:val="auto"/>
        </w:rPr>
      </w:pPr>
    </w:p>
    <w:p>
      <w:pPr>
        <w:ind w:left="1260" w:right="499"/>
        <w:spacing w:after="0" w:line="283" w:lineRule="auto"/>
        <w:rPr>
          <w:sz w:val="20"/>
          <w:szCs w:val="20"/>
          <w:color w:val="auto"/>
        </w:rPr>
      </w:pPr>
      <w:r>
        <w:rPr>
          <w:rFonts w:ascii="Arial" w:cs="Arial" w:eastAsia="Arial" w:hAnsi="Arial"/>
          <w:sz w:val="17"/>
          <w:szCs w:val="17"/>
          <w:color w:val="auto"/>
        </w:rPr>
        <w:t>provided that no such offer of the shares shall require the Company or any underwriter to publish a prospectus pursuant to Section 85 of the FSMA or supplement a prospectus pursuant to Article 23 of the UK Prospectus Regulation. For the purposes of this provision, the expression an “offer to the public”</w:t>
      </w:r>
    </w:p>
    <w:p>
      <w:pPr>
        <w:sectPr>
          <w:pgSz w:w="11900" w:h="16838" w:orient="portrait"/>
          <w:cols w:equalWidth="0" w:num="1">
            <w:col w:w="9879"/>
          </w:cols>
          <w:pgMar w:left="580" w:top="97" w:right="1440" w:bottom="1440" w:gutter="0" w:footer="0" w:header="0"/>
        </w:sectPr>
      </w:pPr>
    </w:p>
    <w:p>
      <w:pPr>
        <w:spacing w:after="0" w:line="32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47" w:lineRule="auto"/>
        <w:rPr>
          <w:sz w:val="20"/>
          <w:szCs w:val="20"/>
          <w:color w:val="auto"/>
        </w:rPr>
      </w:pPr>
      <w:r>
        <w:rPr>
          <w:rFonts w:ascii="Arial" w:cs="Arial" w:eastAsia="Arial" w:hAnsi="Arial"/>
          <w:sz w:val="18"/>
          <w:szCs w:val="18"/>
          <w:color w:val="auto"/>
        </w:rPr>
        <w:t>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1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58" w:lineRule="exact"/>
        <w:rPr>
          <w:sz w:val="20"/>
          <w:szCs w:val="20"/>
          <w:color w:val="auto"/>
        </w:rPr>
      </w:pPr>
    </w:p>
    <w:p>
      <w:pPr>
        <w:ind w:left="1260" w:right="599" w:firstLine="360"/>
        <w:spacing w:after="0" w:line="246" w:lineRule="auto"/>
        <w:rPr>
          <w:sz w:val="20"/>
          <w:szCs w:val="20"/>
          <w:color w:val="auto"/>
        </w:rPr>
      </w:pPr>
      <w:r>
        <w:rPr>
          <w:rFonts w:ascii="Arial" w:cs="Arial" w:eastAsia="Arial" w:hAnsi="Arial"/>
          <w:sz w:val="18"/>
          <w:szCs w:val="18"/>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8" w:lineRule="exact"/>
        <w:rPr>
          <w:sz w:val="20"/>
          <w:szCs w:val="20"/>
          <w:color w:val="auto"/>
        </w:rPr>
      </w:pPr>
    </w:p>
    <w:p>
      <w:pPr>
        <w:ind w:left="1260" w:right="519" w:firstLine="360"/>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left="1260" w:right="939" w:firstLine="360"/>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5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This prospectus does not constitute an offer to the public or a solicitation to purchase or invest in any common stock. No common stock has been offered or will be offered to the public in Switzerland, except that offers of common stock may be made to the public in Switzerland at any time under the following exemptions under the Swiss Financial Services Act (FinSA):</w:t>
      </w:r>
    </w:p>
    <w:p>
      <w:pPr>
        <w:spacing w:after="0" w:line="109" w:lineRule="exact"/>
        <w:rPr>
          <w:sz w:val="20"/>
          <w:szCs w:val="20"/>
          <w:color w:val="auto"/>
        </w:rPr>
      </w:pPr>
    </w:p>
    <w:p>
      <w:pPr>
        <w:ind w:left="1980" w:hanging="360"/>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person who is a professional client as defined under the FinSA;</w:t>
      </w:r>
    </w:p>
    <w:p>
      <w:pPr>
        <w:spacing w:after="0" w:line="144"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500 persons (other than professional clients as defined under the FinSA), subject to obtaining the prior consent of the underwriters for any such offer; or</w:t>
      </w:r>
    </w:p>
    <w:p>
      <w:pPr>
        <w:spacing w:after="0" w:line="85" w:lineRule="exact"/>
        <w:rPr>
          <w:rFonts w:ascii="Arial" w:cs="Arial" w:eastAsia="Arial" w:hAnsi="Arial"/>
          <w:sz w:val="18"/>
          <w:szCs w:val="18"/>
          <w:color w:val="auto"/>
        </w:rPr>
      </w:pPr>
    </w:p>
    <w:p>
      <w:pPr>
        <w:ind w:left="1980" w:right="779" w:hanging="360"/>
        <w:spacing w:after="0" w:line="28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36 FinSA in connection with Article 44 of the Swiss Financial Services Ordinance,</w:t>
      </w:r>
    </w:p>
    <w:p>
      <w:pPr>
        <w:spacing w:after="0" w:line="85"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provided that no such offer of common stock shall require the Company or any underwriter to publish a prospectus pursuant to Article 35 FinSA.</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8"/>
          <w:szCs w:val="18"/>
          <w:color w:val="auto"/>
        </w:rPr>
        <w:t>The common stock has not been and will not be listed or admitted to trading on a trading venue in Switzerland.</w:t>
      </w:r>
    </w:p>
    <w:p>
      <w:pPr>
        <w:spacing w:after="0" w:line="8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Neither this document nor any other offering or marketing material relating to the common stock constitutes a prospectus as such term is understood pursuant to the FinSA and neither this document nor any other offering or marketing material relating to the common stock may be publicly distributed or otherwise made publicly available in Switzerland.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Arab Emirates</w:t>
      </w:r>
    </w:p>
    <w:p>
      <w:pPr>
        <w:spacing w:after="0" w:line="14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1980" w:right="1259" w:hanging="360"/>
        <w:spacing w:after="0" w:line="28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44" w:lineRule="exact"/>
        <w:rPr>
          <w:rFonts w:ascii="Arial" w:cs="Arial" w:eastAsia="Arial" w:hAnsi="Arial"/>
          <w:sz w:val="18"/>
          <w:szCs w:val="18"/>
          <w:color w:val="auto"/>
        </w:rPr>
      </w:pPr>
    </w:p>
    <w:p>
      <w:pPr>
        <w:ind w:left="1980" w:right="579" w:hanging="360"/>
        <w:spacing w:after="0" w:line="262"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68" w:lineRule="exact"/>
        <w:rPr>
          <w:rFonts w:ascii="Arial" w:cs="Arial" w:eastAsia="Arial" w:hAnsi="Arial"/>
          <w:sz w:val="18"/>
          <w:szCs w:val="18"/>
          <w:color w:val="auto"/>
        </w:rPr>
      </w:pPr>
    </w:p>
    <w:p>
      <w:pPr>
        <w:ind w:left="1980" w:right="579" w:hanging="360"/>
        <w:spacing w:after="0" w:line="268"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3"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0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5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8"/>
          <w:szCs w:val="18"/>
          <w:color w:val="auto"/>
        </w:rPr>
        <w:t>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19"/>
        <w:spacing w:after="0" w:line="247" w:lineRule="auto"/>
        <w:rPr>
          <w:sz w:val="20"/>
          <w:szCs w:val="20"/>
          <w:color w:val="auto"/>
        </w:rPr>
      </w:pPr>
      <w:r>
        <w:rPr>
          <w:rFonts w:ascii="Arial" w:cs="Arial" w:eastAsia="Arial" w:hAnsi="Arial"/>
          <w:sz w:val="18"/>
          <w:szCs w:val="18"/>
          <w:color w:val="auto"/>
        </w:rPr>
        <w:t>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4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shares of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common stock may not be circulated or distributed, nor may the common stock be offered or sold, or be made the subject of an invitation for subscription or purchase, whether directly or indirectly, to persons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275(1A) of the SFA, and in accordance with the conditions specified in Section 275 of the SFA, or</w:t>
      </w:r>
    </w:p>
    <w:p>
      <w:pPr>
        <w:spacing w:after="0" w:line="7" w:lineRule="exact"/>
        <w:rPr>
          <w:sz w:val="20"/>
          <w:szCs w:val="20"/>
          <w:color w:val="auto"/>
        </w:rPr>
      </w:pPr>
    </w:p>
    <w:p>
      <w:pPr>
        <w:ind w:left="1260" w:right="519"/>
        <w:spacing w:after="0" w:line="250" w:lineRule="auto"/>
        <w:tabs>
          <w:tab w:leader="none" w:pos="15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59" w:lineRule="exact"/>
        <w:rPr>
          <w:sz w:val="20"/>
          <w:szCs w:val="20"/>
          <w:color w:val="auto"/>
        </w:rPr>
      </w:pPr>
    </w:p>
    <w:p>
      <w:pPr>
        <w:ind w:left="1980" w:right="419" w:hanging="360"/>
        <w:spacing w:after="0" w:line="268"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5" w:lineRule="exact"/>
        <w:rPr>
          <w:rFonts w:ascii="Arial" w:cs="Arial" w:eastAsia="Arial" w:hAnsi="Arial"/>
          <w:sz w:val="18"/>
          <w:szCs w:val="18"/>
          <w:color w:val="auto"/>
        </w:rPr>
      </w:pPr>
    </w:p>
    <w:p>
      <w:pPr>
        <w:ind w:left="1980" w:right="859" w:hanging="360"/>
        <w:spacing w:after="0" w:line="318"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securities or securities-based derivatives contract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62" w:lineRule="exact"/>
        <w:rPr>
          <w:sz w:val="20"/>
          <w:szCs w:val="20"/>
          <w:color w:val="auto"/>
        </w:rPr>
      </w:pPr>
    </w:p>
    <w:p>
      <w:pPr>
        <w:ind w:left="1980" w:right="459" w:hanging="360"/>
        <w:spacing w:after="0" w:line="314"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Arial" w:cs="Arial" w:eastAsia="Arial" w:hAnsi="Arial"/>
          <w:sz w:val="17"/>
          <w:szCs w:val="17"/>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90"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 based Derivatives Contracts) Regulations 2018.</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Singapore SFA Product Classification - Solely for the purposes of its obligations pursuant to sections 309B(1)(a) and 309B(1)(c) of the SFA, the Company has determined, and hereby notifies all relevant persons (as defined in Section 309A of the SFA) that the shares of common stock are “prescribed capital markets products” (as​ defined in the Securities and Futures (Capital Markets Products)</w:t>
      </w:r>
    </w:p>
    <w:p>
      <w:pPr>
        <w:spacing w:after="0" w:line="2" w:lineRule="exact"/>
        <w:rPr>
          <w:sz w:val="20"/>
          <w:szCs w:val="20"/>
          <w:color w:val="auto"/>
        </w:rPr>
      </w:pPr>
    </w:p>
    <w:p>
      <w:pPr>
        <w:jc w:val="both"/>
        <w:ind w:left="1260" w:right="479"/>
        <w:spacing w:after="0" w:line="258" w:lineRule="auto"/>
        <w:rPr>
          <w:sz w:val="20"/>
          <w:szCs w:val="20"/>
          <w:color w:val="auto"/>
        </w:rPr>
      </w:pPr>
      <w:r>
        <w:rPr>
          <w:rFonts w:ascii="Arial" w:cs="Arial" w:eastAsia="Arial" w:hAnsi="Arial"/>
          <w:sz w:val="18"/>
          <w:szCs w:val="18"/>
          <w:color w:val="auto"/>
        </w:rPr>
        <w:t>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Israel</w:t>
      </w:r>
    </w:p>
    <w:p>
      <w:pPr>
        <w:spacing w:after="0" w:line="15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5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color w:val="auto"/>
        </w:rPr>
        <w:t>The validity of the issuance of the shares of common stock offered by us in this offering will be passed upon for us by Mintz, Levin, Cohn, Ferris, Glovsky and Popeo, P.C., Boston, Massachusetts. Latham &amp; Watkins LLP, New York, New York, is acting as counsel for the underwriters in connection with this offering.</w:t>
      </w:r>
    </w:p>
    <w:p>
      <w:pPr>
        <w:spacing w:after="0" w:line="17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44"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The financial statements of ArriVent BioPharma, Inc. as of December 31, 2024 and 2023,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8" w:lineRule="exact"/>
        <w:rPr>
          <w:sz w:val="20"/>
          <w:szCs w:val="20"/>
          <w:color w:val="auto"/>
        </w:rPr>
      </w:pPr>
    </w:p>
    <w:p>
      <w:pPr>
        <w:jc w:val="both"/>
        <w:ind w:left="1260" w:right="779" w:firstLine="360"/>
        <w:spacing w:after="0" w:line="268"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03" w:lineRule="exact"/>
        <w:rPr>
          <w:sz w:val="20"/>
          <w:szCs w:val="20"/>
          <w:color w:val="auto"/>
        </w:rPr>
      </w:pPr>
    </w:p>
    <w:p>
      <w:pPr>
        <w:jc w:val="both"/>
        <w:ind w:left="1260" w:right="639" w:firstLine="360"/>
        <w:spacing w:after="0" w:line="268" w:lineRule="auto"/>
        <w:rPr>
          <w:sz w:val="20"/>
          <w:szCs w:val="20"/>
          <w:color w:val="auto"/>
        </w:rPr>
      </w:pPr>
      <w:r>
        <w:rPr>
          <w:rFonts w:ascii="Arial" w:cs="Arial" w:eastAsia="Arial" w:hAnsi="Arial"/>
          <w:sz w:val="18"/>
          <w:szCs w:val="18"/>
          <w:color w:val="auto"/>
        </w:rPr>
        <w:t>We also maintain a website at https://arrivent.com, through which you can access our SEC filings. The information set forth on our website is not part of this prospectus supplement or the accompanying prospectus.</w:t>
      </w:r>
    </w:p>
    <w:p>
      <w:pPr>
        <w:spacing w:after="0" w:line="90" w:lineRule="exact"/>
        <w:rPr>
          <w:sz w:val="20"/>
          <w:szCs w:val="20"/>
          <w:color w:val="auto"/>
        </w:rPr>
      </w:pPr>
    </w:p>
    <w:p>
      <w:pPr>
        <w:ind w:left="1260" w:right="599" w:firstLine="360"/>
        <w:spacing w:after="0" w:line="271" w:lineRule="auto"/>
        <w:rPr>
          <w:sz w:val="20"/>
          <w:szCs w:val="20"/>
          <w:color w:val="auto"/>
        </w:rPr>
      </w:pPr>
      <w:r>
        <w:rPr>
          <w:rFonts w:ascii="Arial" w:cs="Arial" w:eastAsia="Arial" w:hAnsi="Arial"/>
          <w:sz w:val="17"/>
          <w:szCs w:val="17"/>
          <w:color w:val="auto"/>
        </w:rPr>
        <w:t>This prospectus supplement is part of a registration statement we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INCORPORATION BY REFERENCE</w:t>
      </w:r>
    </w:p>
    <w:p>
      <w:pPr>
        <w:spacing w:after="0" w:line="158"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filed a registration statement on Form S-3ASR under the Securities Act with the SEC with respect to the securities we may offer pursuant to this prospectus supplement. This prospectus supplement omits certain information contained in the registration statement, as permitted by the SEC. You should refer to the registration statement, including the exhibits, for further information about us and the securities we may offer pursuant to this prospectus supplement. Statements in this prospectus supplement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77" w:lineRule="exact"/>
        <w:rPr>
          <w:sz w:val="20"/>
          <w:szCs w:val="20"/>
          <w:color w:val="auto"/>
        </w:rPr>
      </w:pPr>
    </w:p>
    <w:p>
      <w:pPr>
        <w:ind w:left="1980" w:right="619" w:hanging="360"/>
        <w:spacing w:after="0" w:line="287" w:lineRule="auto"/>
        <w:tabs>
          <w:tab w:leader="none" w:pos="1980" w:val="left"/>
        </w:tabs>
        <w:numPr>
          <w:ilvl w:val="0"/>
          <w:numId w:val="16"/>
        </w:numPr>
        <w:rPr>
          <w:rFonts w:ascii="Arial" w:cs="Arial" w:eastAsia="Arial" w:hAnsi="Arial"/>
          <w:sz w:val="18"/>
          <w:szCs w:val="18"/>
          <w:color w:val="0000EE"/>
        </w:rPr>
      </w:pPr>
      <w:hyperlink r:id="rId29">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10-K for the year ended December 31, 2024 that we filed with the</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SEC on March 3, 2025</w:t>
        </w:r>
        <w:r>
          <w:rPr>
            <w:rFonts w:ascii="Arial" w:cs="Arial" w:eastAsia="Arial" w:hAnsi="Arial"/>
            <w:sz w:val="18"/>
            <w:szCs w:val="18"/>
            <w:color w:val="000000"/>
          </w:rPr>
          <w:t>;</w:t>
        </w:r>
      </w:hyperlink>
    </w:p>
    <w:p>
      <w:pPr>
        <w:spacing w:after="0" w:line="44" w:lineRule="exact"/>
        <w:rPr>
          <w:rFonts w:ascii="Arial" w:cs="Arial" w:eastAsia="Arial" w:hAnsi="Arial"/>
          <w:sz w:val="18"/>
          <w:szCs w:val="18"/>
          <w:color w:val="0000EE"/>
        </w:rPr>
      </w:pPr>
    </w:p>
    <w:p>
      <w:pPr>
        <w:ind w:left="1980" w:right="539" w:hanging="360"/>
        <w:spacing w:after="0" w:line="287" w:lineRule="auto"/>
        <w:tabs>
          <w:tab w:leader="none" w:pos="1980" w:val="left"/>
        </w:tabs>
        <w:numPr>
          <w:ilvl w:val="0"/>
          <w:numId w:val="16"/>
        </w:numPr>
        <w:rPr>
          <w:rFonts w:ascii="Arial" w:cs="Arial" w:eastAsia="Arial" w:hAnsi="Arial"/>
          <w:sz w:val="18"/>
          <w:szCs w:val="18"/>
          <w:color w:val="0000EE"/>
        </w:rPr>
      </w:pPr>
      <w:hyperlink r:id="rId52">
        <w:r>
          <w:rPr>
            <w:rFonts w:ascii="Arial" w:cs="Arial" w:eastAsia="Arial" w:hAnsi="Arial"/>
            <w:sz w:val="18"/>
            <w:szCs w:val="18"/>
            <w:color w:val="auto"/>
          </w:rPr>
          <w:t xml:space="preserve">our </w:t>
        </w:r>
        <w:r>
          <w:rPr>
            <w:rFonts w:ascii="Arial" w:cs="Arial" w:eastAsia="Arial" w:hAnsi="Arial"/>
            <w:sz w:val="18"/>
            <w:szCs w:val="18"/>
            <w:u w:val="single" w:color="auto"/>
            <w:color w:val="0000EE"/>
          </w:rPr>
          <w:t>Quarterly Report on Form 10-Q for the quarter ended March 31, 2025 that we filed with the</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SEC on May 12, 2025</w:t>
        </w:r>
        <w:r>
          <w:rPr>
            <w:rFonts w:ascii="Arial" w:cs="Arial" w:eastAsia="Arial" w:hAnsi="Arial"/>
            <w:sz w:val="18"/>
            <w:szCs w:val="18"/>
            <w:color w:val="000000"/>
          </w:rPr>
          <w:t>;</w:t>
        </w:r>
      </w:hyperlink>
    </w:p>
    <w:p>
      <w:pPr>
        <w:spacing w:after="0" w:line="44" w:lineRule="exact"/>
        <w:rPr>
          <w:rFonts w:ascii="Arial" w:cs="Arial" w:eastAsia="Arial" w:hAnsi="Arial"/>
          <w:sz w:val="18"/>
          <w:szCs w:val="18"/>
          <w:color w:val="0000EE"/>
        </w:rPr>
      </w:pPr>
    </w:p>
    <w:p>
      <w:pPr>
        <w:jc w:val="both"/>
        <w:ind w:left="1980" w:right="599" w:hanging="360"/>
        <w:spacing w:after="0" w:line="268" w:lineRule="auto"/>
        <w:tabs>
          <w:tab w:leader="none" w:pos="1980" w:val="left"/>
        </w:tabs>
        <w:numPr>
          <w:ilvl w:val="0"/>
          <w:numId w:val="16"/>
        </w:numPr>
        <w:rPr>
          <w:rFonts w:ascii="Arial" w:cs="Arial" w:eastAsia="Arial" w:hAnsi="Arial"/>
          <w:sz w:val="18"/>
          <w:szCs w:val="18"/>
          <w:color w:val="0000EE"/>
        </w:rPr>
      </w:pPr>
      <w:hyperlink r:id="rId29">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the year ended December 31, 2024</w:t>
        </w:r>
        <w:r>
          <w:rPr>
            <w:rFonts w:ascii="Arial" w:cs="Arial" w:eastAsia="Arial" w:hAnsi="Arial"/>
            <w:sz w:val="18"/>
            <w:szCs w:val="18"/>
            <w:color w:val="000000"/>
          </w:rPr>
          <w:t>, 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that</w:t>
        </w:r>
      </w:hyperlink>
      <w:r>
        <w:rPr>
          <w:rFonts w:ascii="Arial" w:cs="Arial" w:eastAsia="Arial" w:hAnsi="Arial"/>
          <w:sz w:val="18"/>
          <w:szCs w:val="18"/>
          <w:color w:val="0000EE"/>
        </w:rPr>
        <w:t xml:space="preserve"> </w:t>
      </w:r>
      <w:hyperlink r:id="rId53">
        <w:r>
          <w:rPr>
            <w:rFonts w:ascii="Arial" w:cs="Arial" w:eastAsia="Arial" w:hAnsi="Arial"/>
            <w:sz w:val="18"/>
            <w:szCs w:val="18"/>
            <w:u w:val="single" w:color="auto"/>
            <w:color w:val="0000EE"/>
          </w:rPr>
          <w:t>we filed with the SEC on April 28, 2025</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jc w:val="both"/>
        <w:ind w:left="1980" w:right="699" w:hanging="360"/>
        <w:spacing w:after="0" w:line="268" w:lineRule="auto"/>
        <w:tabs>
          <w:tab w:leader="none" w:pos="1980" w:val="left"/>
        </w:tabs>
        <w:numPr>
          <w:ilvl w:val="0"/>
          <w:numId w:val="16"/>
        </w:numPr>
        <w:rPr>
          <w:rFonts w:ascii="Arial" w:cs="Arial" w:eastAsia="Arial" w:hAnsi="Arial"/>
          <w:sz w:val="18"/>
          <w:szCs w:val="18"/>
          <w:color w:val="0000EE"/>
        </w:rPr>
      </w:pPr>
      <w:hyperlink r:id="rId54">
        <w:r>
          <w:rPr>
            <w:rFonts w:ascii="Arial" w:cs="Arial" w:eastAsia="Arial" w:hAnsi="Arial"/>
            <w:sz w:val="18"/>
            <w:szCs w:val="18"/>
            <w:color w:val="auto"/>
          </w:rPr>
          <w:t xml:space="preserve">our Current Reports on Form 8-K that we filed with the SEC on </w:t>
        </w:r>
        <w:r>
          <w:rPr>
            <w:rFonts w:ascii="Arial" w:cs="Arial" w:eastAsia="Arial" w:hAnsi="Arial"/>
            <w:sz w:val="18"/>
            <w:szCs w:val="18"/>
            <w:u w:val="single" w:color="auto"/>
            <w:color w:val="0000EE"/>
          </w:rPr>
          <w:t>January 22,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13,</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5">
        <w:r>
          <w:rPr>
            <w:rFonts w:ascii="Arial" w:cs="Arial" w:eastAsia="Arial" w:hAnsi="Arial"/>
            <w:sz w:val="18"/>
            <w:szCs w:val="18"/>
            <w:u w:val="single" w:color="auto"/>
            <w:color w:val="0000EE"/>
          </w:rPr>
          <w:t>April 28, 2025</w:t>
        </w:r>
      </w:hyperlink>
      <w:hyperlink r:id="rId5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6">
        <w:r>
          <w:rPr>
            <w:rFonts w:ascii="Arial" w:cs="Arial" w:eastAsia="Arial" w:hAnsi="Arial"/>
            <w:sz w:val="18"/>
            <w:szCs w:val="18"/>
            <w:u w:val="single" w:color="auto"/>
            <w:color w:val="0000EE"/>
          </w:rPr>
          <w:t>June 20, 2025</w:t>
        </w:r>
      </w:hyperlink>
      <w:hyperlink r:id="rId54">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57">
        <w:r>
          <w:rPr>
            <w:rFonts w:ascii="Arial" w:cs="Arial" w:eastAsia="Arial" w:hAnsi="Arial"/>
            <w:sz w:val="18"/>
            <w:szCs w:val="18"/>
            <w:u w:val="single" w:color="auto"/>
            <w:color w:val="0000EE"/>
          </w:rPr>
          <w:t xml:space="preserve">June 23, 2025 </w:t>
        </w:r>
      </w:hyperlink>
      <w:hyperlink r:id="rId54">
        <w:r>
          <w:rPr>
            <w:rFonts w:ascii="Arial" w:cs="Arial" w:eastAsia="Arial" w:hAnsi="Arial"/>
            <w:sz w:val="18"/>
            <w:szCs w:val="18"/>
            <w:color w:val="000000"/>
          </w:rPr>
          <w:t>(except for the information furnished</w:t>
        </w:r>
      </w:hyperlink>
      <w:r>
        <w:rPr>
          <w:rFonts w:ascii="Arial" w:cs="Arial" w:eastAsia="Arial" w:hAnsi="Arial"/>
          <w:sz w:val="18"/>
          <w:szCs w:val="18"/>
          <w:color w:val="0000EE"/>
        </w:rPr>
        <w:t xml:space="preserve"> </w:t>
      </w:r>
      <w:r>
        <w:rPr>
          <w:rFonts w:ascii="Arial" w:cs="Arial" w:eastAsia="Arial" w:hAnsi="Arial"/>
          <w:sz w:val="18"/>
          <w:szCs w:val="18"/>
          <w:color w:val="000000"/>
        </w:rPr>
        <w:t>under Items 2.02 or 7.01 and the exhibits furnished thereto);</w:t>
      </w:r>
    </w:p>
    <w:p>
      <w:pPr>
        <w:spacing w:after="0" w:line="62" w:lineRule="exact"/>
        <w:rPr>
          <w:rFonts w:ascii="Arial" w:cs="Arial" w:eastAsia="Arial" w:hAnsi="Arial"/>
          <w:sz w:val="18"/>
          <w:szCs w:val="18"/>
          <w:color w:val="0000EE"/>
        </w:rPr>
      </w:pPr>
    </w:p>
    <w:p>
      <w:pPr>
        <w:ind w:left="1980" w:right="499" w:hanging="360"/>
        <w:spacing w:after="0" w:line="268" w:lineRule="auto"/>
        <w:tabs>
          <w:tab w:leader="none" w:pos="1980" w:val="left"/>
        </w:tabs>
        <w:numPr>
          <w:ilvl w:val="0"/>
          <w:numId w:val="16"/>
        </w:numPr>
        <w:rPr>
          <w:rFonts w:ascii="Arial" w:cs="Arial" w:eastAsia="Arial" w:hAnsi="Arial"/>
          <w:sz w:val="18"/>
          <w:szCs w:val="18"/>
          <w:color w:val="0000EE"/>
        </w:rPr>
      </w:pPr>
      <w:hyperlink r:id="rId58">
        <w:r>
          <w:rPr>
            <w:rFonts w:ascii="Arial" w:cs="Arial" w:eastAsia="Arial" w:hAnsi="Arial"/>
            <w:sz w:val="18"/>
            <w:szCs w:val="18"/>
            <w:color w:val="auto"/>
          </w:rPr>
          <w:t xml:space="preserve">the description of our common stock contained in our </w:t>
        </w:r>
        <w:r>
          <w:rPr>
            <w:rFonts w:ascii="Arial" w:cs="Arial" w:eastAsia="Arial" w:hAnsi="Arial"/>
            <w:sz w:val="18"/>
            <w:szCs w:val="18"/>
            <w:u w:val="single" w:color="auto"/>
            <w:color w:val="0000EE"/>
          </w:rPr>
          <w:t>Registration Statement on Form 8-A12B</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that we filed with the SEC on January 23, 2024</w:t>
        </w:r>
        <w:r>
          <w:rPr>
            <w:rFonts w:ascii="Arial" w:cs="Arial" w:eastAsia="Arial" w:hAnsi="Arial"/>
            <w:sz w:val="18"/>
            <w:szCs w:val="18"/>
            <w:color w:val="000000"/>
          </w:rPr>
          <w:t>, including any amendment or report filed for the</w:t>
        </w:r>
      </w:hyperlink>
      <w:r>
        <w:rPr>
          <w:rFonts w:ascii="Arial" w:cs="Arial" w:eastAsia="Arial" w:hAnsi="Arial"/>
          <w:sz w:val="18"/>
          <w:szCs w:val="18"/>
          <w:color w:val="0000EE"/>
        </w:rPr>
        <w:t xml:space="preserve"> </w:t>
      </w:r>
      <w:r>
        <w:rPr>
          <w:rFonts w:ascii="Arial" w:cs="Arial" w:eastAsia="Arial" w:hAnsi="Arial"/>
          <w:sz w:val="18"/>
          <w:szCs w:val="18"/>
          <w:color w:val="000000"/>
        </w:rPr>
        <w:t>purpose of updating such description; and</w:t>
      </w:r>
    </w:p>
    <w:p>
      <w:pPr>
        <w:spacing w:after="0" w:line="62" w:lineRule="exact"/>
        <w:rPr>
          <w:rFonts w:ascii="Arial" w:cs="Arial" w:eastAsia="Arial" w:hAnsi="Arial"/>
          <w:sz w:val="18"/>
          <w:szCs w:val="18"/>
          <w:color w:val="0000EE"/>
        </w:rPr>
      </w:pPr>
    </w:p>
    <w:p>
      <w:pPr>
        <w:ind w:left="1980" w:right="719" w:hanging="360"/>
        <w:spacing w:after="0" w:line="259"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(other than information furnished pursuant to Item 2.02 or Item 7.01 of Form 8-K or as otherwise permitted by SEC rules) pursuant to Sections 13(a), 13(c), 14 and 15(d) of the Exchange Act after the date of this prospectus supplement and prior to the termination or completion of the offering of securities under this prospectus supplement.</w:t>
      </w:r>
    </w:p>
    <w:p>
      <w:pPr>
        <w:spacing w:after="0" w:line="98" w:lineRule="exact"/>
        <w:rPr>
          <w:rFonts w:ascii="Arial" w:cs="Arial" w:eastAsia="Arial" w:hAnsi="Arial"/>
          <w:sz w:val="18"/>
          <w:szCs w:val="18"/>
          <w:color w:val="auto"/>
        </w:rPr>
      </w:pPr>
    </w:p>
    <w:p>
      <w:pPr>
        <w:ind w:left="1620"/>
        <w:spacing w:after="0"/>
        <w:rPr>
          <w:sz w:val="20"/>
          <w:szCs w:val="20"/>
          <w:color w:val="auto"/>
        </w:rPr>
      </w:pPr>
      <w:r>
        <w:rPr>
          <w:rFonts w:ascii="Arial" w:cs="Arial" w:eastAsia="Arial" w:hAnsi="Arial"/>
          <w:sz w:val="18"/>
          <w:szCs w:val="18"/>
          <w:color w:val="auto"/>
        </w:rPr>
        <w:t>The SEC file number for each of the documents listed above is 001-41929.</w:t>
      </w:r>
    </w:p>
    <w:p>
      <w:pPr>
        <w:spacing w:after="0" w:line="158" w:lineRule="exact"/>
        <w:rPr>
          <w:rFonts w:ascii="Arial" w:cs="Arial" w:eastAsia="Arial" w:hAnsi="Arial"/>
          <w:sz w:val="18"/>
          <w:szCs w:val="18"/>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15" w:lineRule="exact"/>
        <w:rPr>
          <w:rFonts w:ascii="Arial" w:cs="Arial" w:eastAsia="Arial" w:hAnsi="Arial"/>
          <w:sz w:val="18"/>
          <w:szCs w:val="18"/>
          <w:color w:val="auto"/>
        </w:rPr>
      </w:pPr>
    </w:p>
    <w:p>
      <w:pPr>
        <w:ind w:left="1260" w:right="719" w:firstLine="360"/>
        <w:spacing w:after="0" w:line="287" w:lineRule="auto"/>
        <w:rPr>
          <w:sz w:val="20"/>
          <w:szCs w:val="20"/>
          <w:color w:val="auto"/>
        </w:rPr>
      </w:pPr>
      <w:r>
        <w:rPr>
          <w:rFonts w:ascii="Arial" w:cs="Arial" w:eastAsia="Arial" w:hAnsi="Arial"/>
          <w:sz w:val="18"/>
          <w:szCs w:val="18"/>
          <w:color w:val="auto"/>
        </w:rPr>
        <w:t>You may request, orally or in writing, a copy of any or all of the documents incorporated herein by reference. These documents will be provided to you at no cost, by contacting:</w:t>
      </w:r>
    </w:p>
    <w:p>
      <w:pPr>
        <w:spacing w:after="0" w:line="72" w:lineRule="exact"/>
        <w:rPr>
          <w:rFonts w:ascii="Arial" w:cs="Arial" w:eastAsia="Arial" w:hAnsi="Arial"/>
          <w:sz w:val="18"/>
          <w:szCs w:val="18"/>
          <w:color w:val="auto"/>
        </w:rPr>
      </w:pPr>
    </w:p>
    <w:p>
      <w:pPr>
        <w:jc w:val="center"/>
        <w:ind w:right="-820"/>
        <w:spacing w:after="0"/>
        <w:rPr>
          <w:sz w:val="20"/>
          <w:szCs w:val="20"/>
          <w:color w:val="auto"/>
        </w:rPr>
      </w:pPr>
      <w:r>
        <w:rPr>
          <w:rFonts w:ascii="Arial" w:cs="Arial" w:eastAsia="Arial" w:hAnsi="Arial"/>
          <w:sz w:val="18"/>
          <w:szCs w:val="18"/>
          <w:color w:val="auto"/>
        </w:rPr>
        <w:t>ArriVent BioPharma, Inc.</w:t>
      </w:r>
    </w:p>
    <w:p>
      <w:pPr>
        <w:spacing w:after="0" w:line="27" w:lineRule="exact"/>
        <w:rPr>
          <w:rFonts w:ascii="Arial" w:cs="Arial" w:eastAsia="Arial" w:hAnsi="Arial"/>
          <w:sz w:val="18"/>
          <w:szCs w:val="18"/>
          <w:color w:val="auto"/>
        </w:rPr>
      </w:pPr>
    </w:p>
    <w:p>
      <w:pPr>
        <w:jc w:val="center"/>
        <w:ind w:right="-820"/>
        <w:spacing w:after="0"/>
        <w:rPr>
          <w:sz w:val="20"/>
          <w:szCs w:val="20"/>
          <w:color w:val="auto"/>
        </w:rPr>
      </w:pPr>
      <w:r>
        <w:rPr>
          <w:rFonts w:ascii="Arial" w:cs="Arial" w:eastAsia="Arial" w:hAnsi="Arial"/>
          <w:sz w:val="18"/>
          <w:szCs w:val="18"/>
          <w:color w:val="auto"/>
        </w:rPr>
        <w:t>18 Campus Boulevard, Suite 100</w:t>
      </w:r>
    </w:p>
    <w:p>
      <w:pPr>
        <w:spacing w:after="0" w:line="9" w:lineRule="exact"/>
        <w:rPr>
          <w:rFonts w:ascii="Arial" w:cs="Arial" w:eastAsia="Arial" w:hAnsi="Arial"/>
          <w:sz w:val="18"/>
          <w:szCs w:val="18"/>
          <w:color w:val="auto"/>
        </w:rPr>
      </w:pPr>
    </w:p>
    <w:p>
      <w:pPr>
        <w:jc w:val="center"/>
        <w:ind w:right="-820"/>
        <w:spacing w:after="0"/>
        <w:rPr>
          <w:sz w:val="20"/>
          <w:szCs w:val="20"/>
          <w:color w:val="auto"/>
        </w:rPr>
      </w:pPr>
      <w:r>
        <w:rPr>
          <w:rFonts w:ascii="Arial" w:cs="Arial" w:eastAsia="Arial" w:hAnsi="Arial"/>
          <w:sz w:val="18"/>
          <w:szCs w:val="18"/>
          <w:color w:val="auto"/>
        </w:rPr>
        <w:t>Newtown Square, Pennsylvania 19073</w:t>
      </w:r>
    </w:p>
    <w:p>
      <w:pPr>
        <w:spacing w:after="0" w:line="9" w:lineRule="exact"/>
        <w:rPr>
          <w:rFonts w:ascii="Arial" w:cs="Arial" w:eastAsia="Arial" w:hAnsi="Arial"/>
          <w:sz w:val="18"/>
          <w:szCs w:val="18"/>
          <w:color w:val="auto"/>
        </w:rPr>
      </w:pPr>
    </w:p>
    <w:p>
      <w:pPr>
        <w:jc w:val="center"/>
        <w:ind w:right="-82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ind w:right="-860"/>
        <w:spacing w:after="0"/>
        <w:rPr>
          <w:sz w:val="20"/>
          <w:szCs w:val="20"/>
          <w:color w:val="auto"/>
        </w:rPr>
      </w:pPr>
      <w:r>
        <w:rPr>
          <w:rFonts w:ascii="Arial" w:cs="Arial" w:eastAsia="Arial" w:hAnsi="Arial"/>
          <w:sz w:val="18"/>
          <w:szCs w:val="18"/>
          <w:color w:val="auto"/>
        </w:rPr>
        <w:t>Telephone: (628) 277-4836</w:t>
      </w:r>
    </w:p>
    <w:p>
      <w:pPr>
        <w:spacing w:after="0" w:line="396"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S-25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You may also access these documents on our website, https://arrivent.com/. The information contained on, or that can be accessed through, our website is not a part of this prospectus supplement or the accompanying prospectus. We have included our website address in this prospectus supplement solely as an inactive textual reference.</w:t>
      </w:r>
    </w:p>
    <w:p>
      <w:pPr>
        <w:spacing w:after="0" w:line="109"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or the accompanying prospectus or incorporated by reference in this prospectus supplement or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9"/>
          <w:szCs w:val="29"/>
          <w:b w:val="1"/>
          <w:bCs w:val="1"/>
          <w:color w:val="auto"/>
        </w:rPr>
        <w:t>ArriVent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104140</wp:posOffset>
            </wp:positionV>
            <wp:extent cx="2905760" cy="488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9057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PREFERRED STOCK</w:t>
      </w:r>
    </w:p>
    <w:p>
      <w:pPr>
        <w:jc w:val="center"/>
        <w:ind w:right="-800"/>
        <w:spacing w:after="0" w:line="225" w:lineRule="auto"/>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800"/>
        <w:spacing w:after="0" w:line="237" w:lineRule="auto"/>
        <w:rPr>
          <w:sz w:val="20"/>
          <w:szCs w:val="20"/>
          <w:color w:val="auto"/>
        </w:rPr>
      </w:pPr>
      <w:r>
        <w:rPr>
          <w:rFonts w:ascii="Times New Roman" w:cs="Times New Roman" w:eastAsia="Times New Roman" w:hAnsi="Times New Roman"/>
          <w:sz w:val="25"/>
          <w:szCs w:val="25"/>
          <w:b w:val="1"/>
          <w:bCs w:val="1"/>
          <w:color w:val="auto"/>
        </w:rPr>
        <w:t>WARRANTS</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RIGHTS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122555</wp:posOffset>
            </wp:positionV>
            <wp:extent cx="1028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7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This prospectus describes the general terms of these securities and the general manner in which these securities will be offered. This prospectus will allow us to issue, from time to time at prices and on terms to be determined at or prior to the time of the offering,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8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85"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 allotment options will be set forth in a prospectus supplement. The price to the public of such securities and the net proceeds that we expect to receive from such sale will also be set forth in a prospectus supplement.</w:t>
      </w:r>
    </w:p>
    <w:p>
      <w:pPr>
        <w:spacing w:after="0" w:line="29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“AVBP.” On January 30, 2025, the last reported sale price of our common stock was $29.09 per share. The applicable prospectus supplement will contain information, where applicable, as to any other listing, if any, on Nasdaq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134620</wp:posOffset>
            </wp:positionV>
            <wp:extent cx="1028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7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Before deciding whether to invest in our securities, you should consider carefully the risks that we have described on page </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79" w:lineRule="exact"/>
        <w:rPr>
          <w:sz w:val="20"/>
          <w:szCs w:val="20"/>
          <w:color w:val="auto"/>
        </w:rPr>
      </w:pPr>
    </w:p>
    <w:p>
      <w:pPr>
        <w:ind w:left="1260" w:right="6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127000</wp:posOffset>
            </wp:positionV>
            <wp:extent cx="1028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The date of this prospectus is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right="178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334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CERTAIN PROVISIONS OF DELAWARE LAW AND OF OUR AMENDED AND RESTATED</w:t>
      </w:r>
    </w:p>
    <w:p>
      <w:pPr>
        <w:spacing w:after="0" w:line="23" w:lineRule="exact"/>
        <w:rPr>
          <w:sz w:val="20"/>
          <w:szCs w:val="20"/>
          <w:color w:val="auto"/>
        </w:rPr>
      </w:pPr>
    </w:p>
    <w:p>
      <w:pPr>
        <w:ind w:left="1440" w:hanging="180"/>
        <w:spacing w:after="0"/>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INCORPORATION AND AMENDED AND RESTATED BYLAWS</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RIGHTS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rFonts w:ascii="Times New Roman" w:cs="Times New Roman" w:eastAsia="Times New Roman" w:hAnsi="Times New Roman"/>
          <w:sz w:val="18"/>
          <w:szCs w:val="18"/>
          <w:color w:val="auto"/>
        </w:rPr>
      </w:pPr>
    </w:p>
    <w:p>
      <w:pPr>
        <w:ind w:left="1260" w:right="57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-1379220</wp:posOffset>
            </wp:positionV>
            <wp:extent cx="521208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5212080"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-693420</wp:posOffset>
            </wp:positionV>
            <wp:extent cx="521208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279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ectPr>
          <w:pgSz w:w="11900" w:h="16838" w:orient="portrait"/>
          <w:cols w:equalWidth="0" w:num="2">
            <w:col w:w="8540" w:space="580"/>
            <w:col w:w="75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as defined in Rule 405 under the Securities Act of 1933, as amended (the Securities Act), utilizing an automatic “shelf” registration process. Under this shelf registration process, we may from time to time offer shares of our common stock and preferred stock, various series of debt securities and/or warrants or rights to purchase any of such securities described in this prospectus, either individually or in units, in one or more offerings, at prices and on terms to be set forth in one or more supplements to this prospectus at the time of an offering. This prospectus provides you with a general description of the securities we may offer. Each time we offer a type or series of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w:t>
      </w:r>
    </w:p>
    <w:p>
      <w:pPr>
        <w:spacing w:after="0" w:line="12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and the prospectus supplement, as applicable. The prospectus supplement or any applicable free writing prospectus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any applicable free writing prospectuses and the documents incorporated by reference into this prospectus, includes all material information relating to the offering of securities under this prospectus. You should carefully read this prospectus, the applicable prospectus supplement, any applicable free writing prospectus, the information and documents incorporated herein by reference and the additional information under the headings “Where You Can Find More Information” and “Incorporation of Documents by Reference” before making an investment decision.</w:t>
      </w:r>
    </w:p>
    <w:p>
      <w:pPr>
        <w:spacing w:after="0" w:line="10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provided or incorporated by reference in this prospectus, any prospectus supplement or any free writing prospectuses prepared by or on our behalf or to which we have referred you.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any prospectus supplement or any applicable free writing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any prospectus supplement or any applicable free writing prospectus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or any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31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“ArriVent,” “the Company,” “we,” “us,” “our” and similar terms refer to ArriVent BioPharma, Inc. and its subsidiaries.</w:t>
      </w:r>
    </w:p>
    <w:p>
      <w:pPr>
        <w:spacing w:after="0" w:line="35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financial statements, notes to the financial statements and other information incorporated by reference from our other filings with the SEC or included in any applicable prospectus supplement. Investing in our securities involves risks. Therefore, carefully consider the risk factors set forth in this prospectus,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00" w:lineRule="exact"/>
        <w:rPr>
          <w:sz w:val="20"/>
          <w:szCs w:val="20"/>
          <w:color w:val="auto"/>
        </w:rPr>
      </w:pP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80" w:right="399" w:firstLine="360"/>
        <w:spacing w:after="0" w:line="26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 October 2023, and Orphan Drug Designation for treatment of NSCLC with EGFRm or human epidermal growth factor receptor 2 mutations or human epidermal growth factor receptor 4 mutations in</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February 2024.</w:t>
      </w:r>
    </w:p>
    <w:p>
      <w:pPr>
        <w:spacing w:after="0" w:line="153" w:lineRule="exact"/>
        <w:rPr>
          <w:sz w:val="20"/>
          <w:szCs w:val="20"/>
          <w:color w:val="auto"/>
        </w:rPr>
      </w:pPr>
    </w:p>
    <w:p>
      <w:pPr>
        <w:ind w:left="1280" w:right="439" w:firstLine="360"/>
        <w:spacing w:after="0" w:line="252" w:lineRule="auto"/>
        <w:rPr>
          <w:sz w:val="20"/>
          <w:szCs w:val="20"/>
          <w:color w:val="auto"/>
        </w:rPr>
      </w:pPr>
      <w:r>
        <w:rPr>
          <w:rFonts w:ascii="Times New Roman" w:cs="Times New Roman" w:eastAsia="Times New Roman" w:hAnsi="Times New Roman"/>
          <w:sz w:val="18"/>
          <w:szCs w:val="18"/>
          <w:color w:val="auto"/>
        </w:rPr>
        <w:t>In 2021, we licensed from Shanghai Allist Pharmaceuticals Co. Ltd. (Allist) the right to develop and commercialize firmonertinib worldwide, with the exception of greater China, which includes mainland China, Hong Kong, Macau and Taiwan. Firmonertinib is an investigational, novel, EGFRm-selective tyrosine kinase inhibitor (TKI) that we are developing for the treatment of NSCLC patients across a broader set of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 (n=22 out of 28 patients) were observed to experience a reduction in tumor size of at least 30%. If the future clinical trial results of the FAVOUR trial are unfavorable, our clinical development plans for firmonertinib, which include conducting our global, pivotal Phase 3 FURVENT clinical trial in first-line non-squamous locally advanced or metastatic EGFRm NSCLC patients with exon 20 insertion mutations, may be adversely affected. In a separate Phase 1b interim readout from our FURTHER clinical trial evaluating first-line treatment with EGFR PACC mutations we reported in September 2024, 64% of patients (n=14 out of 22 patients) were observed to experience a reduction in tumor size of at least 30%.</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left="1280" w:right="131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related to our business and operations, please refer to the reports </w:t>
      </w:r>
      <w:hyperlink r:id="rId78">
        <w:r>
          <w:rPr>
            <w:rFonts w:ascii="Times New Roman" w:cs="Times New Roman" w:eastAsia="Times New Roman" w:hAnsi="Times New Roman"/>
            <w:sz w:val="18"/>
            <w:szCs w:val="18"/>
            <w:color w:val="auto"/>
          </w:rPr>
          <w:t xml:space="preserve">incorporated herein by reference, including our </w:t>
        </w:r>
        <w:r>
          <w:rPr>
            <w:rFonts w:ascii="Times New Roman" w:cs="Times New Roman" w:eastAsia="Times New Roman" w:hAnsi="Times New Roman"/>
            <w:sz w:val="18"/>
            <w:szCs w:val="18"/>
            <w:u w:val="single" w:color="auto"/>
            <w:color w:val="0000EE"/>
          </w:rPr>
          <w:t>Annual Report on Form 10-K for the year ended</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subsequent reports filed with the SEC, as described under the caption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“Incorporation of Documents by Reference” on page </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000000"/>
        </w:rPr>
        <w:t xml:space="preserve"> of this prospectus.</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2"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April 14, 2021. Our principal executive offices are located at 18 Campus Boulevard, Suite 100, Newtown Square, PA 19073, and our telephone number is (628) 277-4836. Our website address is https://arrivent.com/.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stock.</w:t>
      </w:r>
    </w:p>
    <w:p>
      <w:pPr>
        <w:spacing w:after="0" w:line="120" w:lineRule="exact"/>
        <w:rPr>
          <w:sz w:val="20"/>
          <w:szCs w:val="20"/>
          <w:color w:val="auto"/>
        </w:rPr>
      </w:pPr>
    </w:p>
    <w:p>
      <w:pPr>
        <w:ind w:left="1280" w:right="639" w:firstLine="360"/>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(the Exchange Act), are available free of charge through the investor relations page of our internet website as soon as reasonably practicable after we electronically file such material with, or furnish it to, the SEC.</w:t>
      </w:r>
    </w:p>
    <w:p>
      <w:pPr>
        <w:spacing w:after="0" w:line="102"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All trademarks appearing in this prospectus are the property of their respective holders. Use or display by us of other parties’ trademarks, or products in this prospectus is not intended to, and does not, imply a relationship with, or endorsements or sponsorship of, us by the trademark.</w:t>
      </w:r>
    </w:p>
    <w:p>
      <w:pPr>
        <w:spacing w:after="0" w:line="104" w:lineRule="exact"/>
        <w:rPr>
          <w:sz w:val="20"/>
          <w:szCs w:val="20"/>
          <w:color w:val="auto"/>
        </w:rPr>
      </w:pPr>
    </w:p>
    <w:p>
      <w:pPr>
        <w:ind w:left="1280" w:right="8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ArriVent BioPharma, Inc.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subsequent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4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prospectus and the documents incorporated by reference in this prospectus include forward-looking statements within the meaning of Section 27A of the Securities Act and Section 21E of the Exchange Act that relate to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“anticipate,” “believe,” “contemplate,” “continue,” “could,” “estimate,” “expect,” “intend,” “may,” “plan,” “potential,” “predict,” “project,” “seek,” “should,” “target,” “will,” “would,” or the negative of these words or other comparable terminology, are intended to identify forward- looking statements, although not all forward-looking statements contain these identifying words. Although we believe that we have a reasonable basis for each forward -looking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from those expressed or </w:t>
      </w:r>
      <w:hyperlink r:id="rId78">
        <w:r>
          <w:rPr>
            <w:rFonts w:ascii="Times New Roman" w:cs="Times New Roman" w:eastAsia="Times New Roman" w:hAnsi="Times New Roman"/>
            <w:sz w:val="18"/>
            <w:szCs w:val="18"/>
            <w:color w:val="auto"/>
          </w:rPr>
          <w:t xml:space="preserve">implied by any forward-looking statement. The sections in our periodic reports, including our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Report on Form 10-K for the fiscal year ended December 31, 2023</w:t>
        </w:r>
        <w:r>
          <w:rPr>
            <w:rFonts w:ascii="Times New Roman" w:cs="Times New Roman" w:eastAsia="Times New Roman" w:hAnsi="Times New Roman"/>
            <w:sz w:val="18"/>
            <w:szCs w:val="18"/>
            <w:color w:val="000000"/>
          </w:rPr>
          <w:t xml:space="preserve">, entitled “Business,” “Risk Factors,” </w:t>
        </w:r>
      </w:hyperlink>
      <w:r>
        <w:rPr>
          <w:rFonts w:ascii="Times New Roman" w:cs="Times New Roman" w:eastAsia="Times New Roman" w:hAnsi="Times New Roman"/>
          <w:sz w:val="18"/>
          <w:szCs w:val="18"/>
          <w:color w:val="0000EE"/>
        </w:rPr>
        <w:t xml:space="preserve">and </w:t>
      </w:r>
      <w:r>
        <w:rPr>
          <w:rFonts w:ascii="Times New Roman" w:cs="Times New Roman" w:eastAsia="Times New Roman" w:hAnsi="Times New Roman"/>
          <w:sz w:val="18"/>
          <w:szCs w:val="18"/>
          <w:color w:val="000000"/>
        </w:rPr>
        <w:t>“Management’s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287" w:lineRule="exact"/>
        <w:rPr>
          <w:sz w:val="20"/>
          <w:szCs w:val="20"/>
          <w:color w:val="auto"/>
        </w:rPr>
      </w:pPr>
    </w:p>
    <w:p>
      <w:pPr>
        <w:ind w:left="1800" w:right="67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firmonertinib or any of our other current or future product candidates, including our product development plans and strategies;</w:t>
      </w:r>
    </w:p>
    <w:p>
      <w:pPr>
        <w:spacing w:after="0" w:line="28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4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2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except as required by law.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the sale of securities under this prospectus for, together with our existing cash resources, to support our activities for firmonertinib and our other pipeline programs and for working capital and other general corporate purposes.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Additional information on the use of net proceeds from the sale of securities covered by this prospectus may be set forth in the prospectus supplement relating to the specific offering. Pending application of the net proceeds as described above, we may initially invest the net proceeds in short-term, investment-grade, or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and our amended and restated bylaws, which are exhibits to the registration statement of which this prospectus forms a part, and by applicable law. The terms of our common stock and preferred stock may also be affected by Delaware law.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$0.0001 per share, and 10,000,000 shares of preferred stock, par value $0.0001 per share, all of which is undesignated. As of September 30, 2024, there were 33,694,355 shares of our common stock issued and outstanding. As of September 30, 2024, we had approximately 59 record holders of our capital stock.</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are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 Except as described under the “— Certain Provisions of Delaware Law and of Our Amended and Restated Certificate of Incorporation and Amended and Restated Bylaws” section below, a majority vote of the holders of common stock is generally required to take action under our amended and restated certificate of incorporation and amended and restated bylaws.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following description of our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rights, preferences, privileges and restrictions of the preferred stock of each series will be fixed by the certificate of designation relating to that series.</w:t>
      </w:r>
    </w:p>
    <w:p>
      <w:pPr>
        <w:spacing w:after="0" w:line="33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As of September 30, 2024, there were no shares of preferred stock outstanding. Our board of directors is authorized, without action by our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w:t>
      </w: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7" w:lineRule="auto"/>
        <w:rPr>
          <w:sz w:val="20"/>
          <w:szCs w:val="20"/>
          <w:color w:val="auto"/>
        </w:rPr>
      </w:pPr>
      <w:r>
        <w:rPr>
          <w:rFonts w:ascii="Times New Roman" w:cs="Times New Roman" w:eastAsia="Times New Roman" w:hAnsi="Times New Roman"/>
          <w:sz w:val="18"/>
          <w:szCs w:val="18"/>
          <w:color w:val="auto"/>
        </w:rPr>
        <w:t>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the “— Certain Provisions of Delaware Law and of Our Amended and Restated Certificate of Incorporation and Amended and Restated Bylaws” section of this prospectus.</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board of directors may specify the following characteristics of any preferred stock:</w:t>
      </w:r>
    </w:p>
    <w:p>
      <w:pPr>
        <w:spacing w:after="0" w:line="117"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shares;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 any accumulated dividends upon the liquidation, dissolution or winding up of ArriVent’s affairs;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 and, if so, the terms and provisions relating to the purpose and operation of the fund;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optional or other special rights, privileges or qualifications, limitations or restrictions;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preferred stock issued will be fully paid and nonassessable upon issuance.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our Series B Preferred Stock financing in December 2022, we entered into an Amended and Restated Investors’ Rights Agreement (the Investors’ Rights Agreement), dated December 16, 2022, with certain holders of more than 5% of our outstanding capital stock, including LAV Fund VI, L.P. (together with its affiliates, LAV Funds), and VSUM VIII Holdings Limited (together with its affiliates, VSUM), as well as OrbiMed Asia Partners IV, L.P. and OrbiMed Private Investments VIII, L.P. (together with its affiliates, OrbiMed) and Sofinnova Venture Partners XI, L.P. (Sofinnova), each of which, besides VSUM and LAV Funds, is affiliated with certain of our directors and officers. Pursuant to the Investors’ Rights Agreement, these stockholders have registration rights with respect to certain issuances of our capital stock. The registration rights include the right to demand that we file a registration statement or request that their shares be covered by a registration statement that we have otherwise filed, subject, in each case, to certain exceptions.</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Demand Registration Rights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of registrable securities outstanding under the Investors’ Rights Agreement may require us to file a registration statement under the Securities Act on a Form S-1 at our expense, subject to certain exceptions, with an anticipated aggregate offering price, net of the offering expenses, of more than $20.0 million, in which case we will be required to effect the registration as soon as practicable, and in any event within 60 days. We are required to effect only two demand registrations pursuant to this provision of the Investors’ Rights Agreement. Any time after we are eligible to use a registration statement on Form S-3 under the Securities Act, the holders of at least 10% of our registrable securities under the Investors’ Rights Agreement may require us to file a registration statement on Form S-3 at our expense, subject to certain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color w:val="auto"/>
        </w:rPr>
        <w:t>exceptions, with respect to the then outstanding registrable securities of such holders having an anticipated aggregate offering price, net of the offering expenses, of at least $5.0 million, in which case we will be required to effect the registration as soon as practicable, and in any event within 45 days. If we determine that it would be detrimental to us and our stockholders to effect a requested registration, we may postpone each such registration for a period of up to 60 days; provided that we may neither invoke this right more than once in any 12-month period nor effect a registration for our own account or any other stockholder during such 60 day period.</w:t>
      </w:r>
    </w:p>
    <w:p>
      <w:pPr>
        <w:spacing w:after="0" w:line="121"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The foregoing demand registration rights are subject to a number of additional exceptions and limitations.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Piggyback Registration Rights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we propose to file a registration statement under the Securities Act for the purposes of a public offering of our securities, including, but not limited to, registration statements relating to a secondary offering of our securities but excluding (i) a registration statement relating to the sale or grant of securities to employees pursuant to a stock option, stock purchase, equity incentive or similar plan; (ii) with respect to any corporate reorganization or transaction under Rule 145 of the Securities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p>
    <w:p>
      <w:pPr>
        <w:spacing w:after="0" w:line="124"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foregoing piggyback registration rights are subject to a number of additional exceptions and limitations.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pay all registration expenses along with reasonable fees and disbursements, not to exceed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$50,000 of one counsel for the selling stockholders selected by the holders of a majority of the registrable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securities to be registered, other than underwriting discounts and commissions, related to any demand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piggyback registration.</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Expiration of Registration Rights</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registration rights of any holder terminate upon the earliest to occur of (i) the closing of certain liquidation events and (ii) such time after closing of our initial public offering in January 2024 as Rule 144 or another similar exemption under the Securities Act is available for the sale of all such holder’s registrable securities without limitation, during a three-month period without registration.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“AVBP.”</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00" w:right="979" w:hanging="308"/>
        <w:spacing w:after="0" w:line="317" w:lineRule="auto"/>
        <w:rPr>
          <w:sz w:val="20"/>
          <w:szCs w:val="20"/>
          <w:color w:val="auto"/>
        </w:rPr>
      </w:pPr>
      <w:r>
        <w:rPr>
          <w:rFonts w:ascii="Times New Roman" w:cs="Times New Roman" w:eastAsia="Times New Roman" w:hAnsi="Times New Roman"/>
          <w:sz w:val="17"/>
          <w:szCs w:val="17"/>
          <w:b w:val="1"/>
          <w:bCs w:val="1"/>
          <w:color w:val="auto"/>
        </w:rPr>
        <w:t>CERTAIN PROVISIONS OF DELAWARE LAW AND OF OUR AMENDED AND RESTATED CERTIFICATE OF INCORPORATION AND AMENDED AND RESTATED BYLAWS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4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serving three-year terms, with one class being elected each year. Our amended and restated certificate of incorporation also provides that directors may be removed only for cause and then only by the affirmative vote of the holders of seventy-five percent of the shares then entitled to vote at an election of directors. Furthermore, any vacancy on our board of directors, however occurring, including a vacancy resulting from an increase in the size of our board of directors, will only be able to be filled by the affirmative vote of a majority of our directors then in office, even if less than a quorum.</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46"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Meetings of Stockholders</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4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w:t>
      </w:r>
    </w:p>
    <w:p>
      <w:pPr>
        <w:spacing w:after="0" w:line="11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to Bylaws and Certificate of Incorporation</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seventy-five percent of the outstanding shares entitled to vote on the amendment, and not less than seventy-five percent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seventy- five percent of the outstanding shares entitled to vote on the amendment, or, if the board of directors recommends that the stockholders approve the amendment, by the affirmative vote of the majority of the outstanding shares entitled to vote on the amendment.</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16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4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2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w:t>
      </w:r>
    </w:p>
    <w:p>
      <w:pPr>
        <w:spacing w:after="0" w:line="54" w:lineRule="exact"/>
        <w:rPr>
          <w:sz w:val="20"/>
          <w:szCs w:val="20"/>
          <w:color w:val="auto"/>
        </w:rPr>
      </w:pPr>
    </w:p>
    <w:p>
      <w:pPr>
        <w:ind w:left="1800" w:right="6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spacing w:after="0" w:line="282" w:lineRule="auto"/>
        <w:rPr>
          <w:sz w:val="20"/>
          <w:szCs w:val="20"/>
          <w:color w:val="auto"/>
        </w:rPr>
      </w:pPr>
      <w:r>
        <w:rPr>
          <w:rFonts w:ascii="Times New Roman" w:cs="Times New Roman" w:eastAsia="Times New Roman" w:hAnsi="Times New Roman"/>
          <w:sz w:val="18"/>
          <w:szCs w:val="18"/>
          <w:color w:val="auto"/>
        </w:rPr>
        <w:t>stockholders by the affirmative vote of at least two-thirds of the outstanding voting stock that is not owned by the interested stockholder.</w:t>
      </w:r>
    </w:p>
    <w:p>
      <w:pPr>
        <w:spacing w:after="0" w:line="9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Exclusive Jurisdiction of Certain Actions</w:t>
      </w:r>
    </w:p>
    <w:p>
      <w:pPr>
        <w:spacing w:after="0" w:line="16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or other state courts of the State of Delaware) will be the sole and exclusive forum for any state law claim for: (1) any derivative action or proceeding brought on our behalf; (2) any action or proceeding asserting a claim of breach of a fiduciary duty or other wrongdoing by any of our directors, officers, employees or agents to us or our stockholders; (3) any action or proceeding asserting a claim against us arising pursuant to any provision of the Delaware General Corporation Law or our certificate of incorporation or bylaws (in each case, as they may be amended from time to time);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or (6) any action asserting a claim against us or any of our directors, officers or employees that is governed by the internal affairs doctrine. The choice of forum provision does not apply to any actions arising under the Exchange Act. Our amended and restated certificate of incorporation further provides that, unless we consent in writing to an alternative forum, the United States District Court for the District of Pennsylvania will be the exclusive forum for resolving any complaint asserting a cause of action arising under the Securities Act. We have chosen the United States District Court for the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w:t>
      </w:r>
    </w:p>
    <w:p>
      <w:pPr>
        <w:spacing w:after="0" w:line="34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any of our current or former director, officer, other employee, agent, or stockholder to the Company, which may discourage such claims against us or any of our current or former director, officer, other employee, agent, or stockholder to the Company and result in increased costs for investors to bring a claim.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Limitation of Liability and Indemnification</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director or officer of our company shall be personally liable to us or our stockholders for monetary damages for any breach of fiduciary duty as a director or officer, except for liability (1) for any breach of the director’s or officer’s duty of loyalty to us or our stockholders, (2) for acts or omissions not in good faith or which involve intentional misconduct or a knowing violation of law, (3) with respect to a director, under Section 174 of the Delaware General Corporation Law, and with respect to an officer, from any action by or in the right of the Registrant, or (4) for any transaction from which a director or an officer derived an improper personal benefit. In addition, our amended and restated certificate of incorporation provides that if the Delaware General Corporation Law is amended to authorize the further elimination or limitation of the liability of directors of officers, then the liability of a director or officer of our company shall be eliminated or limited to the fullest extent permitted by the Delaware General Corporation Law, as so amended.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VII, Section 2 of our amended and restated bylaws further provides for the advancement of expenses to each of our directors and, in the discretion of the board of directors, to certain officers and employees.</w:t>
      </w:r>
    </w:p>
    <w:p>
      <w:pPr>
        <w:spacing w:after="0" w:line="3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our amended and restated bylaws provide that the right of each of our directors and officers to indemnification and advancement of expenses shall be a contract right and shall not be exclusive of any other right now possessed or hereafter acquired under any statute, provision of our amended and restated certificate of incorporation or our amended and restated bylaws, agreement, vote of stockholders or otherwise. Furthermore, Article VII, Section 5 of our amended and restated bylaws authorizes us to provide insurance for our directors, officers and employees, against any liability, whether or not we would have the power to indemnify such person against such liability under the Delaware General Corporation Law or the provisions of Article VII, Section 1 of our amended and restated bylaws.</w:t>
      </w:r>
    </w:p>
    <w:p>
      <w:pPr>
        <w:spacing w:after="0" w:line="11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 and our amended and restated bylaws.</w:t>
      </w:r>
    </w:p>
    <w:p>
      <w:pPr>
        <w:spacing w:after="0" w:line="112"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foregoing discussion of our amended and restated certificate of incorporation and our amended and restated bylaws, indemnification agreements and Delaware law is not intended to be exhaustive and is qualified in its entirety by such amended and restated certificate of incorporation, our amended and restated bylaws, indemnification agreements or law.</w:t>
      </w:r>
    </w:p>
    <w:p>
      <w:pPr>
        <w:spacing w:after="0" w:line="9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19"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(the Trust Indenture Act) as in effect on the date of the indenture. We use the term “debenture trustee” to refer to either the trustee under the senior indenture or the trustee under the subordinated indenture, as applicable.</w:t>
      </w:r>
    </w:p>
    <w:p>
      <w:pPr>
        <w:spacing w:after="0" w:line="32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Each indenture provides that the specific terms of any series of debt securities shall be set forth in, or determined pursuant to, an authorizing resolution and/or a supplemental indenture, if any, relating to such series.</w:t>
      </w:r>
    </w:p>
    <w:p>
      <w:pPr>
        <w:spacing w:after="0" w:line="114"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68"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10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15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Consolidation, Merger or Sale; No Protection in Event of a Change of Control or Highly Leveraged Transaction</w:t>
      </w:r>
    </w:p>
    <w:p>
      <w:pPr>
        <w:spacing w:after="0" w:line="16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4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54" w:lineRule="exact"/>
        <w:rPr>
          <w:sz w:val="20"/>
          <w:szCs w:val="20"/>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15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color w:val="auto"/>
        </w:rPr>
        <w:t>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1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38"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29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6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8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1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8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54"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13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8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7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54"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4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 -entry securities that will be deposited with, or on behalf of, The Depository Trust Company or another depositary named by us and identified in a prospectus supplement with respect to that series.</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ind w:left="1800" w:right="439" w:hanging="180"/>
        <w:spacing w:after="0" w:line="263"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9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59"/>
        <w:spacing w:after="0" w:line="266" w:lineRule="auto"/>
        <w:rPr>
          <w:sz w:val="20"/>
          <w:szCs w:val="20"/>
          <w:color w:val="auto"/>
        </w:rPr>
      </w:pPr>
      <w:r>
        <w:rPr>
          <w:rFonts w:ascii="Times New Roman" w:cs="Times New Roman" w:eastAsia="Times New Roman" w:hAnsi="Times New Roman"/>
          <w:sz w:val="18"/>
          <w:szCs w:val="18"/>
          <w:color w:val="auto"/>
        </w:rPr>
        <w:t>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40"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Each warrant will entitle the holder to purchase for cash such shares of our common stock and/or our preferred stock and/or our debt securities at such exercise price as shall be in each case be set forth in, or be determinable as set forth in, the prospectus supplement relating to the warrants offered thereby. Warrants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08"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warrants may be exercised as set forth in the prospectus supplement relating to the warrants offered. Upon receipt of payment and the warrant certificate properly completed and duly executed at the corporate trust office of the warrant agent or any other office indicated in the prospectus supplement, we will, as soon as practicable, forward the shares of our common stock and/or our preferred stock and/or our debt securities purchasable upon such exercise. If less than all of the warrants represented by such warrant certificate are exercised, a new warrant certificate will be issued for the remaining warrants.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name and address of the warrant agent for any warrants we offer, if one is appointed, will be set forth in the applicable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we appoint a warrant agent, 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2024, we had no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117"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0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provisions, if any;</w:t>
      </w:r>
    </w:p>
    <w:p>
      <w:pPr>
        <w:spacing w:after="0" w:line="11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securityholders are entitled to oversubscription rights,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9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name and address of the rights agent for any rights we offer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35"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85"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w:t>
      </w:r>
    </w:p>
    <w:p>
      <w:pPr>
        <w:spacing w:after="0" w:line="2"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or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29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40" w:lineRule="exact"/>
        <w:rPr>
          <w:sz w:val="20"/>
          <w:szCs w:val="20"/>
          <w:color w:val="auto"/>
        </w:rPr>
      </w:pPr>
    </w:p>
    <w:p>
      <w:pPr>
        <w:ind w:left="1800" w:right="6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67"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Capital Stock,” “Description of Debt Securities,” “Description of Warrants,” and “Description of Rights” will apply to each unit, as applicable, and to any common stock, preferred stock, debt security, warrant, or right included in each unit, as applicable.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3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and preferred stock, various series of debt securities and/or warrants or rights to purchase any of such securities, either individually or in units,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2"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 and the various factors considered in determining such price.</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w:t>
      </w:r>
    </w:p>
    <w:p>
      <w:pPr>
        <w:spacing w:after="0" w:line="110"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w:t>
      </w:r>
    </w:p>
    <w:p>
      <w:pPr>
        <w:ind w:left="1260" w:right="719"/>
        <w:spacing w:after="0" w:line="245" w:lineRule="auto"/>
        <w:tabs>
          <w:tab w:leader="none" w:pos="15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 through a combination of such methods. We may distribute the securities from time to time in one or more transactions at:</w:t>
      </w:r>
    </w:p>
    <w:p>
      <w:pPr>
        <w:spacing w:after="0" w:line="7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0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61" w:lineRule="auto"/>
        <w:rPr>
          <w:sz w:val="20"/>
          <w:szCs w:val="20"/>
          <w:color w:val="auto"/>
        </w:rPr>
      </w:pPr>
      <w:r>
        <w:rPr>
          <w:rFonts w:ascii="Times New Roman" w:cs="Times New Roman" w:eastAsia="Times New Roman" w:hAnsi="Times New Roman"/>
          <w:sz w:val="18"/>
          <w:szCs w:val="18"/>
          <w:color w:val="auto"/>
        </w:rPr>
        <w:t>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underwriters and other persons acting as our agents will not have any responsibility in respect of the validity or performance of delayed delivery contracts. 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1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(FINRA).</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Nasdaq. The applicable prospectus supplement will contain information, where applicable, as to any other listing, if any, on Nasdaq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stabilize or maintain the market price of the securities at a level above that which might otherwise prevail in the open market. These transactions may be discontinued at any time.</w:t>
      </w:r>
    </w:p>
    <w:p>
      <w:pPr>
        <w:spacing w:after="0" w:line="94"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Mintz, Levin, Cohn, Ferris, Glovsky and Popeo, P.C., Boston, Massachusetts, will pass upon the validity of the issuance of the securities to be offered by this prospectus.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financial statements of ArriVent BioPharma, Inc. as of December 31, 2023 and 2022,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and file annual, quarterly and current reports, proxy statements and other information with the SEC. SEC filings are available at the SEC’s web site at http://www.sec.gov.</w:t>
      </w:r>
    </w:p>
    <w:p>
      <w:pPr>
        <w:spacing w:after="0" w:line="102"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of 1933, as amended,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also maintain a website at https://arrivent.com/ with information about our company and through which you may access these materials and other filings with the SEC free of charge as soon as reasonably practicable after they are filed electronically with, or furnished to, the SEC. Except for the documents incorporated by reference as described below under “Incorporation of Certain Documents by Reference,” information contained on our website or any other website is not incorporated into this prospectus and does not constitute a part of this prospectus. Our website address referenced above is intended to be an inactive textual reference only and not an active hyperlink to our website.</w:t>
      </w:r>
    </w:p>
    <w:p>
      <w:pPr>
        <w:spacing w:after="0" w:line="1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w:t>
      </w:r>
    </w:p>
    <w:p>
      <w:pPr>
        <w:spacing w:after="0" w:line="32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Copies of all or any part of the registration statement, including the documents incorporated by</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reference or the exhibits, may be obtained upon payment of the prescribed rates at the offices of the SEC listed above in “Where You Can Find More Information.” The documents we are incorporating by reference are:</w:t>
      </w:r>
    </w:p>
    <w:p>
      <w:pPr>
        <w:spacing w:after="0" w:line="283" w:lineRule="exact"/>
        <w:rPr>
          <w:sz w:val="20"/>
          <w:szCs w:val="20"/>
          <w:color w:val="auto"/>
        </w:rPr>
      </w:pPr>
    </w:p>
    <w:p>
      <w:pPr>
        <w:ind w:left="1800" w:right="439" w:hanging="180"/>
        <w:spacing w:after="0" w:line="282" w:lineRule="auto"/>
        <w:tabs>
          <w:tab w:leader="none" w:pos="1800" w:val="left"/>
        </w:tabs>
        <w:numPr>
          <w:ilvl w:val="0"/>
          <w:numId w:val="35"/>
        </w:numPr>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our Annual Report on Form 10-K for the fiscal year ended December 31, 2023, that we filed with the</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SEC on March 28,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6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107">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9">
        <w:r>
          <w:rPr>
            <w:rFonts w:ascii="Times New Roman" w:cs="Times New Roman" w:eastAsia="Times New Roman" w:hAnsi="Times New Roman"/>
            <w:sz w:val="18"/>
            <w:szCs w:val="18"/>
            <w:u w:val="single" w:color="auto"/>
            <w:color w:val="0000EE"/>
          </w:rPr>
          <w:t>November 14, 2024</w:t>
        </w:r>
      </w:hyperlink>
      <w:r>
        <w:rPr>
          <w:rFonts w:ascii="Times New Roman" w:cs="Times New Roman" w:eastAsia="Times New Roman" w:hAnsi="Times New Roman"/>
          <w:sz w:val="18"/>
          <w:szCs w:val="18"/>
          <w:color w:val="auto"/>
        </w:rPr>
        <w:t>, respectively;</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that we filed with the SEC on </w:t>
      </w:r>
      <w:hyperlink r:id="rId110">
        <w:r>
          <w:rPr>
            <w:rFonts w:ascii="Times New Roman" w:cs="Times New Roman" w:eastAsia="Times New Roman" w:hAnsi="Times New Roman"/>
            <w:sz w:val="18"/>
            <w:szCs w:val="18"/>
            <w:u w:val="single" w:color="auto"/>
            <w:color w:val="0000EE"/>
          </w:rPr>
          <w:t>January 30, 2024</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w:t>
      </w:r>
      <w:hyperlink r:id="rId112">
        <w:r>
          <w:rPr>
            <w:rFonts w:ascii="Times New Roman" w:cs="Times New Roman" w:eastAsia="Times New Roman" w:hAnsi="Times New Roman"/>
            <w:sz w:val="18"/>
            <w:szCs w:val="18"/>
            <w:color w:val="auto"/>
          </w:rPr>
          <w:t xml:space="preserve">amended on </w:t>
        </w:r>
        <w:r>
          <w:rPr>
            <w:rFonts w:ascii="Times New Roman" w:cs="Times New Roman" w:eastAsia="Times New Roman" w:hAnsi="Times New Roman"/>
            <w:sz w:val="18"/>
            <w:szCs w:val="18"/>
            <w:u w:val="single" w:color="auto"/>
            <w:color w:val="0000EE"/>
          </w:rPr>
          <w:t>July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July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9,</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(Item 8.01 only),</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 xml:space="preserve">and January 22, 2025 </w:t>
        </w:r>
      </w:hyperlink>
      <w:hyperlink r:id="rId112">
        <w:r>
          <w:rPr>
            <w:rFonts w:ascii="Times New Roman" w:cs="Times New Roman" w:eastAsia="Times New Roman" w:hAnsi="Times New Roman"/>
            <w:sz w:val="18"/>
            <w:szCs w:val="18"/>
            <w:color w:val="000000"/>
          </w:rPr>
          <w:t>(Item 1.01 only), respectively;</w:t>
        </w:r>
      </w:hyperlink>
    </w:p>
    <w:p>
      <w:pPr>
        <w:sectPr>
          <w:pgSz w:w="11900" w:h="16838" w:orient="portrait"/>
          <w:cols w:equalWidth="0" w:num="1">
            <w:col w:w="9879"/>
          </w:cols>
          <w:pgMar w:left="580" w:top="97" w:right="1440" w:bottom="1440" w:gutter="0" w:footer="0" w:header="0"/>
        </w:sectPr>
      </w:pPr>
    </w:p>
    <w:p>
      <w:pPr>
        <w:spacing w:after="0" w:line="351"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59" w:hanging="180"/>
        <w:spacing w:after="0" w:line="266" w:lineRule="auto"/>
        <w:tabs>
          <w:tab w:leader="none" w:pos="1800" w:val="left"/>
        </w:tabs>
        <w:numPr>
          <w:ilvl w:val="0"/>
          <w:numId w:val="36"/>
        </w:numPr>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auto"/>
          </w:rPr>
          <w:t xml:space="preserve">the description of our common stock included in our </w:t>
        </w:r>
        <w:r>
          <w:rPr>
            <w:rFonts w:ascii="Times New Roman" w:cs="Times New Roman" w:eastAsia="Times New Roman" w:hAnsi="Times New Roman"/>
            <w:sz w:val="18"/>
            <w:szCs w:val="18"/>
            <w:u w:val="single" w:color="auto"/>
            <w:color w:val="0000EE"/>
          </w:rPr>
          <w:t>registration statement on Form 8-A12B, that we</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filed with the SEC on January 23, 2024</w:t>
        </w:r>
        <w:r>
          <w:rPr>
            <w:rFonts w:ascii="Times New Roman" w:cs="Times New Roman" w:eastAsia="Times New Roman" w:hAnsi="Times New Roman"/>
            <w:sz w:val="18"/>
            <w:szCs w:val="18"/>
            <w:color w:val="000000"/>
          </w:rPr>
          <w:t>, as updated or amended in any amendment or report filed for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purpose; and</w:t>
      </w:r>
    </w:p>
    <w:p>
      <w:pPr>
        <w:spacing w:after="0" w:line="67" w:lineRule="exact"/>
        <w:rPr>
          <w:rFonts w:ascii="Times New Roman" w:cs="Times New Roman" w:eastAsia="Times New Roman" w:hAnsi="Times New Roman"/>
          <w:sz w:val="18"/>
          <w:szCs w:val="18"/>
          <w:color w:val="0000EE"/>
        </w:rPr>
      </w:pPr>
    </w:p>
    <w:p>
      <w:pPr>
        <w:ind w:left="1800" w:right="41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documents (other than information furnished pursuant to Item 2.02 or Item 7.01 of Form 8-K or as otherwise permitted by SEC rules) filed after the date of this prospectus and prior to the termination or completion of the offering hereunder pursuant to Sections 13(a), 13(c), 14 or 15(d) of the Securities Ex-change Act of 1934.</w:t>
      </w:r>
    </w:p>
    <w:p>
      <w:pPr>
        <w:spacing w:after="0" w:line="112"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001-41929.</w:t>
      </w:r>
    </w:p>
    <w:p>
      <w:pPr>
        <w:spacing w:after="0" w:line="158" w:lineRule="exact"/>
        <w:rPr>
          <w:rFonts w:ascii="Times New Roman" w:cs="Times New Roman" w:eastAsia="Times New Roman" w:hAnsi="Times New Roman"/>
          <w:sz w:val="18"/>
          <w:szCs w:val="18"/>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323" w:lineRule="exact"/>
        <w:rPr>
          <w:rFonts w:ascii="Times New Roman" w:cs="Times New Roman" w:eastAsia="Times New Roman" w:hAnsi="Times New Roman"/>
          <w:sz w:val="18"/>
          <w:szCs w:val="18"/>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will provide, without charge and upon oral or written request, to each person, including any beneficial owner, to whom a copy of this prospectus has been delivered, a copy of any of the documents referred to above as being incorporated by reference into this prospectus but not delivered with it. You may obtain a copy of these filings, at no cost, by writing or calling us at ArriVent BioPharma, Inc., Attn: Investor Relations, 18 Campus Boulevard, Suite 100, Newtown Square, PA 19073, (628) 277-4836. Exhibits to the filings will not be provided, however, unless those exhibits have been specifically incorporated by reference in this prospectus.</w:t>
      </w:r>
    </w:p>
    <w:p>
      <w:pPr>
        <w:spacing w:after="0" w:line="336" w:lineRule="exact"/>
        <w:rPr>
          <w:rFonts w:ascii="Times New Roman" w:cs="Times New Roman" w:eastAsia="Times New Roman" w:hAnsi="Times New Roman"/>
          <w:sz w:val="18"/>
          <w:szCs w:val="18"/>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80"/>
        <w:spacing w:after="0"/>
        <w:rPr>
          <w:sz w:val="20"/>
          <w:szCs w:val="20"/>
          <w:color w:val="auto"/>
        </w:rPr>
      </w:pPr>
      <w:r>
        <w:rPr>
          <w:rFonts w:ascii="Arial" w:cs="Arial" w:eastAsia="Arial" w:hAnsi="Arial"/>
          <w:sz w:val="25"/>
          <w:szCs w:val="25"/>
          <w:color w:val="auto"/>
        </w:rPr>
        <w:t>2,482,692 Shares of Common Stock</w:t>
      </w:r>
    </w:p>
    <w:p>
      <w:pPr>
        <w:spacing w:after="0" w:line="199" w:lineRule="exact"/>
        <w:rPr>
          <w:sz w:val="20"/>
          <w:szCs w:val="20"/>
          <w:color w:val="auto"/>
        </w:rPr>
      </w:pPr>
    </w:p>
    <w:p>
      <w:pPr>
        <w:jc w:val="right"/>
        <w:ind w:right="619"/>
        <w:spacing w:after="0"/>
        <w:rPr>
          <w:sz w:val="20"/>
          <w:szCs w:val="20"/>
          <w:color w:val="auto"/>
        </w:rPr>
      </w:pPr>
      <w:r>
        <w:rPr>
          <w:rFonts w:ascii="Arial" w:cs="Arial" w:eastAsia="Arial" w:hAnsi="Arial"/>
          <w:sz w:val="25"/>
          <w:szCs w:val="25"/>
          <w:color w:val="auto"/>
        </w:rPr>
        <w:t>Pre-Funded Warrants to Purchase Up to 1,363,469 Shares of Common</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5"/>
          <w:szCs w:val="25"/>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2842895</wp:posOffset>
            </wp:positionV>
            <wp:extent cx="1028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570865</wp:posOffset>
            </wp:positionV>
            <wp:extent cx="2905760" cy="488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29057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Joint Book-Running Managers</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348"/>
        </w:trPr>
        <w:tc>
          <w:tcPr>
            <w:tcW w:w="3300" w:type="dxa"/>
            <w:vAlign w:val="bottom"/>
            <w:gridSpan w:val="2"/>
          </w:tcPr>
          <w:p>
            <w:pPr>
              <w:spacing w:after="0"/>
              <w:rPr>
                <w:sz w:val="20"/>
                <w:szCs w:val="20"/>
                <w:color w:val="auto"/>
              </w:rPr>
            </w:pPr>
            <w:r>
              <w:rPr>
                <w:rFonts w:ascii="Arial" w:cs="Arial" w:eastAsia="Arial" w:hAnsi="Arial"/>
                <w:sz w:val="25"/>
                <w:szCs w:val="25"/>
                <w:b w:val="1"/>
                <w:bCs w:val="1"/>
                <w:color w:val="auto"/>
              </w:rPr>
              <w:t>​Goldman Sachs &amp; Co. LLC ​</w:t>
            </w:r>
          </w:p>
        </w:tc>
        <w:tc>
          <w:tcPr>
            <w:tcW w:w="1660" w:type="dxa"/>
            <w:vAlign w:val="bottom"/>
            <w:gridSpan w:val="2"/>
          </w:tcPr>
          <w:p>
            <w:pPr>
              <w:ind w:left="160"/>
              <w:spacing w:after="0"/>
              <w:rPr>
                <w:sz w:val="20"/>
                <w:szCs w:val="20"/>
                <w:color w:val="auto"/>
              </w:rPr>
            </w:pPr>
            <w:r>
              <w:rPr>
                <w:rFonts w:ascii="Arial" w:cs="Arial" w:eastAsia="Arial" w:hAnsi="Arial"/>
                <w:sz w:val="25"/>
                <w:szCs w:val="25"/>
                <w:b w:val="1"/>
                <w:bCs w:val="1"/>
                <w:color w:val="auto"/>
              </w:rPr>
              <w:t>​  Citigroup​</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rPr>
              <w:t>​</w:t>
            </w:r>
          </w:p>
        </w:tc>
        <w:tc>
          <w:tcPr>
            <w:tcW w:w="2940" w:type="dxa"/>
            <w:vAlign w:val="bottom"/>
            <w:gridSpan w:val="2"/>
          </w:tcPr>
          <w:p>
            <w:pPr>
              <w:jc w:val="right"/>
              <w:spacing w:after="0"/>
              <w:rPr>
                <w:sz w:val="20"/>
                <w:szCs w:val="20"/>
                <w:color w:val="auto"/>
              </w:rPr>
            </w:pPr>
            <w:r>
              <w:rPr>
                <w:rFonts w:ascii="Arial" w:cs="Arial" w:eastAsia="Arial" w:hAnsi="Arial"/>
                <w:sz w:val="25"/>
                <w:szCs w:val="25"/>
                <w:b w:val="1"/>
                <w:bCs w:val="1"/>
                <w:color w:val="auto"/>
              </w:rPr>
              <w:t>Guggenheim Securities​</w:t>
            </w:r>
          </w:p>
        </w:tc>
      </w:tr>
      <w:tr>
        <w:trPr>
          <w:trHeight w:val="301"/>
        </w:trPr>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i w:val="1"/>
                <w:iCs w:val="1"/>
                <w:color w:val="auto"/>
              </w:rPr>
              <w:t>Lead Managers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40"/>
        </w:trPr>
        <w:tc>
          <w:tcPr>
            <w:tcW w:w="2220" w:type="dxa"/>
            <w:vAlign w:val="bottom"/>
          </w:tcPr>
          <w:p>
            <w:pPr>
              <w:spacing w:after="0"/>
              <w:rPr>
                <w:sz w:val="20"/>
                <w:szCs w:val="20"/>
                <w:color w:val="auto"/>
              </w:rPr>
            </w:pPr>
            <w:r>
              <w:rPr>
                <w:rFonts w:ascii="Arial" w:cs="Arial" w:eastAsia="Arial" w:hAnsi="Arial"/>
                <w:sz w:val="22"/>
                <w:szCs w:val="22"/>
                <w:b w:val="1"/>
                <w:bCs w:val="1"/>
                <w:color w:val="auto"/>
              </w:rPr>
              <w:t>​LifeSci Capital​</w:t>
            </w:r>
          </w:p>
        </w:tc>
        <w:tc>
          <w:tcPr>
            <w:tcW w:w="1080" w:type="dxa"/>
            <w:vAlign w:val="bottom"/>
          </w:tcPr>
          <w:p>
            <w:pPr>
              <w:ind w:left="440"/>
              <w:spacing w:after="0"/>
              <w:rPr>
                <w:sz w:val="20"/>
                <w:szCs w:val="20"/>
                <w:color w:val="auto"/>
              </w:rPr>
            </w:pPr>
            <w:r>
              <w:rPr>
                <w:rFonts w:ascii="Arial" w:cs="Arial" w:eastAsia="Arial" w:hAnsi="Arial"/>
                <w:sz w:val="22"/>
                <w:szCs w:val="22"/>
                <w:b w:val="1"/>
                <w:bCs w:val="1"/>
                <w:color w:val="auto"/>
              </w:rPr>
              <w:t>​</w:t>
            </w:r>
          </w:p>
        </w:tc>
        <w:tc>
          <w:tcPr>
            <w:tcW w:w="1660" w:type="dxa"/>
            <w:vAlign w:val="bottom"/>
            <w:gridSpan w:val="2"/>
          </w:tcPr>
          <w:p>
            <w:pPr>
              <w:ind w:left="540"/>
              <w:spacing w:after="0"/>
              <w:rPr>
                <w:sz w:val="20"/>
                <w:szCs w:val="20"/>
                <w:color w:val="auto"/>
              </w:rPr>
            </w:pPr>
            <w:r>
              <w:rPr>
                <w:rFonts w:ascii="Arial" w:cs="Arial" w:eastAsia="Arial" w:hAnsi="Arial"/>
                <w:sz w:val="22"/>
                <w:szCs w:val="22"/>
                <w:b w:val="1"/>
                <w:bCs w:val="1"/>
                <w:color w:val="auto"/>
              </w:rPr>
              <w:t>​</w:t>
            </w:r>
          </w:p>
        </w:tc>
        <w:tc>
          <w:tcPr>
            <w:tcW w:w="360" w:type="dxa"/>
            <w:vAlign w:val="bottom"/>
          </w:tcPr>
          <w:p>
            <w:pPr>
              <w:ind w:left="40"/>
              <w:spacing w:after="0"/>
              <w:rPr>
                <w:sz w:val="20"/>
                <w:szCs w:val="20"/>
                <w:color w:val="auto"/>
              </w:rPr>
            </w:pPr>
            <w:r>
              <w:rPr>
                <w:rFonts w:ascii="Arial" w:cs="Arial" w:eastAsia="Arial" w:hAnsi="Arial"/>
                <w:sz w:val="22"/>
                <w:szCs w:val="22"/>
                <w:b w:val="1"/>
                <w:bCs w:val="1"/>
                <w:color w:val="auto"/>
              </w:rPr>
              <w:t>​</w:t>
            </w:r>
          </w:p>
        </w:tc>
        <w:tc>
          <w:tcPr>
            <w:tcW w:w="56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22"/>
                <w:szCs w:val="22"/>
                <w:b w:val="1"/>
                <w:bCs w:val="1"/>
                <w:color w:val="auto"/>
              </w:rPr>
              <w:t>Oppenheimer &amp; Co.​</w:t>
            </w:r>
          </w:p>
        </w:tc>
      </w:tr>
      <w:tr>
        <w:trPr>
          <w:trHeight w:val="302"/>
        </w:trPr>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i w:val="1"/>
                <w:iCs w:val="1"/>
                <w:color w:val="auto"/>
              </w:rPr>
              <w:t>Co-Managers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7"/>
        </w:trPr>
        <w:tc>
          <w:tcPr>
            <w:tcW w:w="2220" w:type="dxa"/>
            <w:vAlign w:val="bottom"/>
          </w:tcPr>
          <w:p>
            <w:pPr>
              <w:spacing w:after="0"/>
              <w:rPr>
                <w:sz w:val="20"/>
                <w:szCs w:val="20"/>
                <w:color w:val="auto"/>
              </w:rPr>
            </w:pPr>
            <w:r>
              <w:rPr>
                <w:rFonts w:ascii="Arial" w:cs="Arial" w:eastAsia="Arial" w:hAnsi="Arial"/>
                <w:sz w:val="22"/>
                <w:szCs w:val="22"/>
                <w:b w:val="1"/>
                <w:bCs w:val="1"/>
                <w:color w:val="auto"/>
              </w:rPr>
              <w:t>B​. Riley Securities</w:t>
            </w:r>
          </w:p>
        </w:tc>
        <w:tc>
          <w:tcPr>
            <w:tcW w:w="3100" w:type="dxa"/>
            <w:vAlign w:val="bottom"/>
            <w:gridSpan w:val="4"/>
          </w:tcPr>
          <w:p>
            <w:pPr>
              <w:ind w:left="380"/>
              <w:spacing w:after="0"/>
              <w:rPr>
                <w:sz w:val="20"/>
                <w:szCs w:val="20"/>
                <w:color w:val="auto"/>
              </w:rPr>
            </w:pPr>
            <w:r>
              <w:rPr>
                <w:rFonts w:ascii="Arial" w:cs="Arial" w:eastAsia="Arial" w:hAnsi="Arial"/>
                <w:sz w:val="22"/>
                <w:szCs w:val="22"/>
                <w:b w:val="1"/>
                <w:bCs w:val="1"/>
                <w:color w:val="auto"/>
              </w:rPr>
              <w:t>​ ​  H.C. Wainwright &amp; Co.</w:t>
            </w:r>
          </w:p>
        </w:tc>
        <w:tc>
          <w:tcPr>
            <w:tcW w:w="560" w:type="dxa"/>
            <w:vAlign w:val="bottom"/>
          </w:tcPr>
          <w:p>
            <w:pPr>
              <w:ind w:left="80"/>
              <w:spacing w:after="0"/>
              <w:rPr>
                <w:sz w:val="20"/>
                <w:szCs w:val="20"/>
                <w:color w:val="auto"/>
              </w:rPr>
            </w:pPr>
            <w:r>
              <w:rPr>
                <w:rFonts w:ascii="Arial" w:cs="Arial" w:eastAsia="Arial" w:hAnsi="Arial"/>
                <w:sz w:val="22"/>
                <w:szCs w:val="22"/>
                <w:b w:val="1"/>
                <w:bCs w:val="1"/>
                <w:color w:val="auto"/>
              </w:rPr>
              <w:t>​ ​</w:t>
            </w:r>
          </w:p>
        </w:tc>
        <w:tc>
          <w:tcPr>
            <w:tcW w:w="2380" w:type="dxa"/>
            <w:vAlign w:val="bottom"/>
          </w:tcPr>
          <w:p>
            <w:pPr>
              <w:jc w:val="right"/>
              <w:spacing w:after="0"/>
              <w:rPr>
                <w:sz w:val="20"/>
                <w:szCs w:val="20"/>
                <w:color w:val="auto"/>
              </w:rPr>
            </w:pPr>
            <w:r>
              <w:rPr>
                <w:rFonts w:ascii="Arial" w:cs="Arial" w:eastAsia="Arial" w:hAnsi="Arial"/>
                <w:sz w:val="22"/>
                <w:szCs w:val="22"/>
                <w:b w:val="1"/>
                <w:bCs w:val="1"/>
                <w:color w:val="auto"/>
              </w:rPr>
              <w:t>Jones​</w:t>
            </w:r>
          </w:p>
        </w:tc>
      </w:tr>
      <w:tr>
        <w:trPr>
          <w:trHeight w:val="447"/>
        </w:trPr>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831850</wp:posOffset>
            </wp:positionV>
            <wp:extent cx="5212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40" w:type="dxa"/>
            <w:vAlign w:val="bottom"/>
            <w:tcBorders>
              <w:top w:val="single" w:sz="8" w:color="auto"/>
              <w:left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2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right w:val="single" w:sz="8" w:color="auto"/>
            </w:tcBorders>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or Carry</w:t>
            </w:r>
          </w:p>
        </w:tc>
        <w:tc>
          <w:tcPr>
            <w:tcW w:w="11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1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4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Forward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0"/>
        </w:trPr>
        <w:tc>
          <w:tcPr>
            <w:tcW w:w="1140" w:type="dxa"/>
            <w:vAlign w:val="bottom"/>
            <w:tcBorders>
              <w:left w:val="single" w:sz="8" w:color="auto"/>
              <w:bottom w:val="single" w:sz="8" w:color="auto"/>
              <w:right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6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Fees to be</w:t>
            </w:r>
          </w:p>
        </w:tc>
        <w:tc>
          <w:tcPr>
            <w:tcW w:w="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Equity</w:t>
            </w:r>
          </w:p>
        </w:tc>
        <w:tc>
          <w:tcPr>
            <w:tcW w:w="24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Rule 457(r)</w:t>
            </w:r>
          </w:p>
        </w:tc>
        <w:tc>
          <w:tcPr>
            <w:tcW w:w="1120" w:type="dxa"/>
            <w:vAlign w:val="bottom"/>
            <w:tcBorders>
              <w:right w:val="single" w:sz="8" w:color="auto"/>
            </w:tcBorders>
          </w:tcPr>
          <w:p>
            <w:pPr>
              <w:jc w:val="center"/>
              <w:ind w:right="14"/>
              <w:spacing w:after="0" w:line="196" w:lineRule="exact"/>
              <w:rPr>
                <w:sz w:val="20"/>
                <w:szCs w:val="20"/>
                <w:color w:val="auto"/>
              </w:rPr>
            </w:pPr>
            <w:r>
              <w:rPr>
                <w:rFonts w:ascii="Times New Roman" w:cs="Times New Roman" w:eastAsia="Times New Roman" w:hAnsi="Times New Roman"/>
                <w:sz w:val="14"/>
                <w:szCs w:val="14"/>
                <w:color w:val="auto"/>
              </w:rPr>
              <w:t>4,423,084</w:t>
            </w:r>
            <w:r>
              <w:rPr>
                <w:rFonts w:ascii="Times New Roman" w:cs="Times New Roman" w:eastAsia="Times New Roman" w:hAnsi="Times New Roman"/>
                <w:sz w:val="22"/>
                <w:szCs w:val="22"/>
                <w:color w:val="auto"/>
                <w:vertAlign w:val="superscript"/>
              </w:rPr>
              <w:t>(2)</w:t>
            </w:r>
          </w:p>
        </w:tc>
        <w:tc>
          <w:tcPr>
            <w:tcW w:w="10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$19.50</w:t>
            </w: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$86,250,138</w:t>
            </w:r>
          </w:p>
        </w:tc>
        <w:tc>
          <w:tcPr>
            <w:tcW w:w="11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0.00015310</w:t>
            </w:r>
          </w:p>
        </w:tc>
        <w:tc>
          <w:tcPr>
            <w:tcW w:w="11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$13,204.90</w:t>
            </w: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8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 share</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Fees to be</w:t>
            </w:r>
          </w:p>
        </w:tc>
        <w:tc>
          <w:tcPr>
            <w:tcW w:w="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Equity</w:t>
            </w:r>
          </w:p>
        </w:tc>
        <w:tc>
          <w:tcPr>
            <w:tcW w:w="24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Pre-funded warrants to</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Rule 457(r)</w:t>
            </w:r>
          </w:p>
        </w:tc>
        <w:tc>
          <w:tcPr>
            <w:tcW w:w="1120" w:type="dxa"/>
            <w:vAlign w:val="bottom"/>
            <w:tcBorders>
              <w:right w:val="single" w:sz="8" w:color="auto"/>
            </w:tcBorders>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1,363,469</w:t>
            </w:r>
          </w:p>
        </w:tc>
        <w:tc>
          <w:tcPr>
            <w:tcW w:w="10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color w:val="auto"/>
              </w:rPr>
              <w:t>$19.50</w:t>
            </w:r>
            <w:r>
              <w:rPr>
                <w:rFonts w:ascii="Times New Roman" w:cs="Times New Roman" w:eastAsia="Times New Roman" w:hAnsi="Times New Roman"/>
                <w:sz w:val="22"/>
                <w:szCs w:val="22"/>
                <w:color w:val="auto"/>
                <w:vertAlign w:val="superscript"/>
              </w:rPr>
              <w:t>(3)</w:t>
            </w: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__</w:t>
            </w:r>
            <w:r>
              <w:rPr>
                <w:rFonts w:ascii="Times New Roman" w:cs="Times New Roman" w:eastAsia="Times New Roman" w:hAnsi="Times New Roman"/>
                <w:sz w:val="12"/>
                <w:szCs w:val="12"/>
                <w:color w:val="auto"/>
              </w:rPr>
              <w:t>(3)</w:t>
            </w:r>
          </w:p>
        </w:tc>
        <w:tc>
          <w:tcPr>
            <w:tcW w:w="11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0.00015310</w:t>
            </w:r>
          </w:p>
        </w:tc>
        <w:tc>
          <w:tcPr>
            <w:tcW w:w="11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__</w:t>
            </w: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8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 common stock</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$86,250,138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$13,204.90</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$13,204.90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(the “Securities Act”). Payment of the registration fee at the time of filing of the registrant’s Registration Statement on Form S-3ASR (File No. 333-284661) on February 3, 2025 was deferred pursuant to Rules 456(b) and 457(r) under the Securities Act and is paid herewith.</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1,363,469 shares of common stock that are issuable upon the exercise of the pre-funded warrants referenced below and assumes exercise in full of the underwriters’ option to purchase up to 576,923 additional shares of common stock.</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the pre-funded warrants sales price of $19.4999 per pre-funded warrant and the exercise price of $0.0001 per share issuable pursuant to the pre-funded warrants. Pursuant to Securities and Exchange Commission staff interpretation, the entire fee is allocated to the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amp;"/>
      <w:numFmt w:val="bullet"/>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Roman"/>
      <w:start w:val="3"/>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3"/>
    </w:lvl>
    <w:lvl w:ilvl="1">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jpe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14"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jpe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29" Type="http://schemas.openxmlformats.org/officeDocument/2006/relationships/hyperlink" Target="http://www.sec.gov/ix?doc=/Archives/edgar/data/1868279/000155837025001999/avbp-20241231x10k.htm" TargetMode="External"/><Relationship Id="rId52" Type="http://schemas.openxmlformats.org/officeDocument/2006/relationships/hyperlink" Target="http://www.sec.gov/ix?doc=/Archives/edgar/data/1868279/000155837025007276/avbp-20250331x10q.htm" TargetMode="External"/><Relationship Id="rId53" Type="http://schemas.openxmlformats.org/officeDocument/2006/relationships/hyperlink" Target="http://www.sec.gov/ix?doc=/Archives/edgar/data/1868279/000110465925040214/tm2513051-2_def14a.htm" TargetMode="External"/><Relationship Id="rId54" Type="http://schemas.openxmlformats.org/officeDocument/2006/relationships/hyperlink" Target="http://www.sec.gov/ix?doc=/Archives/edgar/data/1868279/000155837025002912/avbp-20250311x8k.htm" TargetMode="External"/><Relationship Id="rId55" Type="http://schemas.openxmlformats.org/officeDocument/2006/relationships/hyperlink" Target="http://www.sec.gov/ix?doc=/Archives/edgar/data/1868279/000110465925039799/tm2513158d1_8k.htm" TargetMode="External"/><Relationship Id="rId56" Type="http://schemas.openxmlformats.org/officeDocument/2006/relationships/hyperlink" Target="http://www.sec.gov/ix?doc=/Archives/edgar/data/1868279/000110465925061165/tm2518556d1_8k.htm" TargetMode="External"/><Relationship Id="rId57" Type="http://schemas.openxmlformats.org/officeDocument/2006/relationships/hyperlink" Target="http://www.sec.gov/ix?doc=/Archives/edgar/data/1868279/000110465925061375/tm2518615d1_8k.htm" TargetMode="External"/><Relationship Id="rId58" Type="http://schemas.openxmlformats.org/officeDocument/2006/relationships/hyperlink" Target="http://www.sec.gov/Archives/edgar/data/1868279/000110465924005880/tm2321853d19_8a12b.htm" TargetMode="External"/><Relationship Id="rId78" Type="http://schemas.openxmlformats.org/officeDocument/2006/relationships/hyperlink" Target="https://www.sec.gov/Archives/edgar/data/1868279/000155837024004280/tmb-20231231x10k.htm" TargetMode="External"/><Relationship Id="rId107" Type="http://schemas.openxmlformats.org/officeDocument/2006/relationships/hyperlink" Target="https://www.sec.gov/ix?doc=/Archives/edgar/data/1868279/000155837024007197/avbp-20240331x10q.htm" TargetMode="External"/><Relationship Id="rId108" Type="http://schemas.openxmlformats.org/officeDocument/2006/relationships/hyperlink" Target="https://www.sec.gov/ix?doc=/Archives/edgar/data/1868279/000155837024012236/avbp-20240630x10q.htm" TargetMode="External"/><Relationship Id="rId109" Type="http://schemas.openxmlformats.org/officeDocument/2006/relationships/hyperlink" Target="https://www.sec.gov/ix?doc=/Archives/edgar/data/1868279/000155837024015624/avbp-20240930x10q.htm" TargetMode="External"/><Relationship Id="rId110" Type="http://schemas.openxmlformats.org/officeDocument/2006/relationships/hyperlink" Target="https://www.sec.gov/ix?doc=/Archives/edgar/data/1868279/000110465924008228/tm2321853d25_8k.htm" TargetMode="External"/><Relationship Id="rId111" Type="http://schemas.openxmlformats.org/officeDocument/2006/relationships/hyperlink" Target="https://www.sec.gov/ix?doc=/Archives/edgar/data/1868279/000110465924049988/tm2412347d1_8k.htm" TargetMode="External"/><Relationship Id="rId112" Type="http://schemas.openxmlformats.org/officeDocument/2006/relationships/hyperlink" Target="https://www.sec.gov/ix?doc=/Archives/edgar/data/1868279/000110465924098059/tm2423588d1_8k.htm" TargetMode="External"/><Relationship Id="rId113" Type="http://schemas.openxmlformats.org/officeDocument/2006/relationships/hyperlink" Target="https://www.sec.gov/ix?doc=/Archives/edgar/data/1868279/000110465925004967/tm253966d1_8k.htm" TargetMode="External"/><Relationship Id="rId115" Type="http://schemas.openxmlformats.org/officeDocument/2006/relationships/hyperlink" Target="https://www.sec.gov/Archives/edgar/data/1868279/000110465924005880/tm2321853d19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2025-07-02T16:08:26Z</dcterms:created>
  <dcterms:modified xsi:type="dcterms:W3CDTF">2025-07-02T16:08:26Z</dcterms:modified>
</cp:coreProperties>
</file>