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ARRIVENT BIOPHARMA,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44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86-3336099</w:t>
            </w:r>
          </w:p>
        </w:tc>
      </w:tr>
      <w:tr>
        <w:trPr>
          <w:trHeight w:val="238"/>
        </w:trPr>
        <w:tc>
          <w:tcPr>
            <w:tcW w:w="44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(State of incorporation or organization)</w:t>
            </w:r>
          </w:p>
        </w:tc>
        <w:tc>
          <w:tcPr>
            <w:tcW w:w="416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44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18 Campus Boulevard, Suite 100</w:t>
            </w:r>
          </w:p>
        </w:tc>
        <w:tc>
          <w:tcPr>
            <w:tcW w:w="4160" w:type="dxa"/>
            <w:vAlign w:val="bottom"/>
          </w:tcPr>
          <w:p>
            <w:pPr>
              <w:spacing w:after="0"/>
              <w:rPr>
                <w:sz w:val="24"/>
                <w:szCs w:val="24"/>
                <w:color w:val="auto"/>
              </w:rPr>
            </w:pPr>
          </w:p>
        </w:tc>
      </w:tr>
      <w:tr>
        <w:trPr>
          <w:trHeight w:val="216"/>
        </w:trPr>
        <w:tc>
          <w:tcPr>
            <w:tcW w:w="44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Newtown Square, PA</w:t>
            </w:r>
          </w:p>
        </w:tc>
        <w:tc>
          <w:tcPr>
            <w:tcW w:w="41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19073</w:t>
            </w:r>
          </w:p>
        </w:tc>
      </w:tr>
      <w:tr>
        <w:trPr>
          <w:trHeight w:val="238"/>
        </w:trPr>
        <w:tc>
          <w:tcPr>
            <w:tcW w:w="44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1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6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the form relates: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333-276397</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 description of the common stock, $0.0001 par value per share, of ArriVent BioPharma, Inc., a Delaware corporation (the “Registrant”), to be registered </w:t>
      </w:r>
      <w:hyperlink r:id="rId17">
        <w:r>
          <w:rPr>
            <w:rFonts w:ascii="Times New Roman" w:cs="Times New Roman" w:eastAsia="Times New Roman" w:hAnsi="Times New Roman"/>
            <w:sz w:val="18"/>
            <w:szCs w:val="18"/>
            <w:color w:val="auto"/>
          </w:rPr>
          <w:t xml:space="preserve">hereunder is contained in the section titled “Description of Capital Stock” in the prospectus included in the </w:t>
        </w:r>
        <w:r>
          <w:rPr>
            <w:rFonts w:ascii="Times New Roman" w:cs="Times New Roman" w:eastAsia="Times New Roman" w:hAnsi="Times New Roman"/>
            <w:sz w:val="18"/>
            <w:szCs w:val="18"/>
            <w:u w:val="single" w:color="auto"/>
            <w:color w:val="0000EE"/>
          </w:rPr>
          <w:t>Registrant’s Registration Statement on Form S-</w:t>
        </w:r>
      </w:hyperlink>
      <w:hyperlink r:id="rId17">
        <w:r>
          <w:rPr>
            <w:rFonts w:ascii="Times New Roman" w:cs="Times New Roman" w:eastAsia="Times New Roman" w:hAnsi="Times New Roman"/>
            <w:sz w:val="18"/>
            <w:szCs w:val="18"/>
            <w:u w:val="single" w:color="auto"/>
            <w:color w:val="0000EE"/>
          </w:rPr>
          <w:t>1 (File No. 333-276397), initially filed with the Securities and Exchange Commission (the “Commission”) on January 5, 2024</w:t>
        </w:r>
        <w:r>
          <w:rPr>
            <w:rFonts w:ascii="Times New Roman" w:cs="Times New Roman" w:eastAsia="Times New Roman" w:hAnsi="Times New Roman"/>
            <w:sz w:val="18"/>
            <w:szCs w:val="18"/>
            <w:color w:val="000000"/>
          </w:rPr>
          <w:t>, as subsequently amended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time to time (the “Registration Statement”), and is incorporated herein by reference. Any form of prospectus subsequently filed by the Registrant with the Commission pursuant to Rule 424(b) under the Securities Act of 1933, as amended, that constitutes part of the Registration Statement shall be deemed to be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with respect to Form 8-A, no exhibits are required to be filed with this registration statement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2024</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Zhengbin (Bing) Yao, Ph.D.</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Zhengbin (Bing) Yao, Ph.D.</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432"/>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7" Type="http://schemas.openxmlformats.org/officeDocument/2006/relationships/hyperlink" Target="https://www.sec.gov/Archives/edgar/data/1868279/000110465924001804/tm2321853-12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2024-01-23T15:14:38Z</dcterms:created>
  <dcterms:modified xsi:type="dcterms:W3CDTF">2024-01-23T15:14:38Z</dcterms:modified>
</cp:coreProperties>
</file>