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4"/>
          <w:szCs w:val="24"/>
          <w:color w:val="auto"/>
        </w:rPr>
      </w:pPr>
    </w:p>
    <w:p>
      <w:pPr>
        <w:ind w:left="5820"/>
        <w:spacing w:after="0"/>
        <w:rPr>
          <w:sz w:val="20"/>
          <w:szCs w:val="20"/>
          <w:color w:val="auto"/>
        </w:rPr>
      </w:pPr>
      <w:r>
        <w:rPr>
          <w:rFonts w:ascii="Times New Roman" w:cs="Times New Roman" w:eastAsia="Times New Roman" w:hAnsi="Times New Roman"/>
          <w:sz w:val="13"/>
          <w:szCs w:val="13"/>
          <w:b w:val="1"/>
          <w:bCs w:val="1"/>
          <w:color w:val="auto"/>
        </w:rPr>
        <w:t> Filed Pursuant to Rule 424(b)(5)</w:t>
      </w:r>
    </w:p>
    <w:p>
      <w:pPr>
        <w:spacing w:after="0" w:line="35"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13"/>
          <w:szCs w:val="13"/>
          <w:b w:val="1"/>
          <w:bCs w:val="1"/>
          <w:color w:val="auto"/>
        </w:rPr>
        <w:t> Registration No. 333-284661​</w:t>
      </w:r>
    </w:p>
    <w:p>
      <w:pPr>
        <w:spacing w:after="0" w:line="10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(To Prospectus Dated February 3, 2025)</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101600</wp:posOffset>
            </wp:positionV>
            <wp:extent cx="2035810" cy="347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5810" cy="347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86" w:lineRule="exact"/>
        <w:rPr>
          <w:sz w:val="24"/>
          <w:szCs w:val="24"/>
          <w:color w:val="auto"/>
        </w:rPr>
      </w:pPr>
    </w:p>
    <w:p>
      <w:pPr>
        <w:ind w:left="1300" w:right="1339" w:firstLine="280"/>
        <w:spacing w:after="0" w:line="242" w:lineRule="auto"/>
        <w:rPr>
          <w:sz w:val="20"/>
          <w:szCs w:val="20"/>
          <w:color w:val="auto"/>
        </w:rPr>
      </w:pPr>
      <w:r>
        <w:rPr>
          <w:rFonts w:ascii="Times New Roman" w:cs="Times New Roman" w:eastAsia="Times New Roman" w:hAnsi="Times New Roman"/>
          <w:sz w:val="14"/>
          <w:szCs w:val="14"/>
          <w:color w:val="auto"/>
        </w:rPr>
        <w:t>We have entered into an Open Market Sale Agreement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4"/>
          <w:szCs w:val="14"/>
          <w:color w:val="auto"/>
        </w:rPr>
        <w:t xml:space="preserve"> (the sales agreement) with Jefferies LLC (Jefferies), as our sales agent, relating to the shares of our common stock offered by this prospectus supplement and the accompanying base prospectus, or this prospectus. In accordance with the terms of the sales agreement, we may offer and sell shares of our common stock having an aggregate offering price of up to $250,000,000 from time to time through or to Jefferies, as our agent.</w:t>
      </w:r>
    </w:p>
    <w:p>
      <w:pPr>
        <w:spacing w:after="0" w:line="92" w:lineRule="exact"/>
        <w:rPr>
          <w:sz w:val="24"/>
          <w:szCs w:val="24"/>
          <w:color w:val="auto"/>
        </w:rPr>
      </w:pPr>
    </w:p>
    <w:p>
      <w:pPr>
        <w:jc w:val="both"/>
        <w:ind w:left="1300" w:right="1559" w:firstLine="280"/>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Market (Nasdaq), under the symbol “AVBP.” On May 8, 2026, the last reported sale price of our common stock was $29.50 per share.</w:t>
      </w:r>
    </w:p>
    <w:p>
      <w:pPr>
        <w:spacing w:after="0" w:line="72" w:lineRule="exact"/>
        <w:rPr>
          <w:sz w:val="24"/>
          <w:szCs w:val="24"/>
          <w:color w:val="auto"/>
        </w:rPr>
      </w:pPr>
    </w:p>
    <w:p>
      <w:pPr>
        <w:jc w:val="both"/>
        <w:ind w:left="1300" w:right="1559" w:firstLine="280"/>
        <w:spacing w:after="0" w:line="257" w:lineRule="auto"/>
        <w:rPr>
          <w:sz w:val="20"/>
          <w:szCs w:val="20"/>
          <w:color w:val="auto"/>
        </w:rPr>
      </w:pPr>
      <w:r>
        <w:rPr>
          <w:rFonts w:ascii="Times New Roman" w:cs="Times New Roman" w:eastAsia="Times New Roman" w:hAnsi="Times New Roman"/>
          <w:sz w:val="14"/>
          <w:szCs w:val="14"/>
          <w:color w:val="auto"/>
        </w:rPr>
        <w:t>Sales of our common stock, if any, under this prospectus will be made in sales deemed to be “at the market” offerings as defined in Rule 415 promulgated under the Securities Act of 1933, as amended (the Securities Act). Jefferies is not required to sell any specific amount of securities but will act as our sales agent using commercially reasonable efforts consistent with their normal trading and sales practices, on mutually agreed terms between Jefferies and us. There is no arrangement for funds to be received in any escrow, trust or similar arrangement.</w:t>
      </w:r>
    </w:p>
    <w:p>
      <w:pPr>
        <w:spacing w:after="0" w:line="90" w:lineRule="exact"/>
        <w:rPr>
          <w:sz w:val="24"/>
          <w:szCs w:val="24"/>
          <w:color w:val="auto"/>
        </w:rPr>
      </w:pPr>
    </w:p>
    <w:p>
      <w:pPr>
        <w:ind w:left="1300" w:right="1379" w:firstLine="280"/>
        <w:spacing w:after="0" w:line="255" w:lineRule="auto"/>
        <w:rPr>
          <w:sz w:val="20"/>
          <w:szCs w:val="20"/>
          <w:color w:val="auto"/>
        </w:rPr>
      </w:pPr>
      <w:r>
        <w:rPr>
          <w:rFonts w:ascii="Times New Roman" w:cs="Times New Roman" w:eastAsia="Times New Roman" w:hAnsi="Times New Roman"/>
          <w:sz w:val="14"/>
          <w:szCs w:val="14"/>
          <w:color w:val="auto"/>
        </w:rPr>
        <w:t xml:space="preserve">Jefferies will be entitled to compensation at a commission rate of up to 3.0% of the gross sales price of common stock sold under the sales agreement. See “Plan of Distribution” beginning on page </w:t>
      </w:r>
      <w:r>
        <w:rPr>
          <w:rFonts w:ascii="Times New Roman" w:cs="Times New Roman" w:eastAsia="Times New Roman" w:hAnsi="Times New Roman"/>
          <w:sz w:val="14"/>
          <w:szCs w:val="14"/>
          <w:u w:val="single" w:color="auto"/>
          <w:color w:val="0000EE"/>
        </w:rPr>
        <w:t>S-16</w:t>
      </w:r>
      <w:r>
        <w:rPr>
          <w:rFonts w:ascii="Times New Roman" w:cs="Times New Roman" w:eastAsia="Times New Roman" w:hAnsi="Times New Roman"/>
          <w:sz w:val="14"/>
          <w:szCs w:val="14"/>
          <w:color w:val="auto"/>
        </w:rPr>
        <w:t xml:space="preserve"> for additional information regarding the compensation to be paid to Jefferies.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and the Securities Exchange Act of 1934, as amended (the Exchange Act).</w:t>
      </w:r>
    </w:p>
    <w:p>
      <w:pPr>
        <w:spacing w:after="0" w:line="253" w:lineRule="exact"/>
        <w:rPr>
          <w:sz w:val="24"/>
          <w:szCs w:val="24"/>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We are an emerging growth company as that term is used in the Jumpstart Our Business Startups Act of 2012 and, as such, have elected to comply with certain reduced public company reporting requirements for this prospectus.</w:t>
      </w:r>
    </w:p>
    <w:p>
      <w:pPr>
        <w:spacing w:after="0" w:line="81" w:lineRule="exact"/>
        <w:rPr>
          <w:sz w:val="24"/>
          <w:szCs w:val="24"/>
          <w:color w:val="auto"/>
        </w:rPr>
      </w:pPr>
    </w:p>
    <w:p>
      <w:pPr>
        <w:jc w:val="both"/>
        <w:ind w:left="1300" w:right="147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Our business and an investment in our common stock involve significant risks. These risks are described under the caption “Risk Factors” beginning on page </w:t>
      </w:r>
      <w:r>
        <w:rPr>
          <w:rFonts w:ascii="Times New Roman" w:cs="Times New Roman" w:eastAsia="Times New Roman" w:hAnsi="Times New Roman"/>
          <w:sz w:val="14"/>
          <w:szCs w:val="14"/>
          <w:b w:val="1"/>
          <w:bCs w:val="1"/>
          <w:u w:val="single" w:color="auto"/>
          <w:color w:val="0000EE"/>
        </w:rPr>
        <w:t>S-4</w:t>
      </w:r>
      <w:r>
        <w:rPr>
          <w:rFonts w:ascii="Times New Roman" w:cs="Times New Roman" w:eastAsia="Times New Roman" w:hAnsi="Times New Roman"/>
          <w:sz w:val="14"/>
          <w:szCs w:val="14"/>
          <w:b w:val="1"/>
          <w:bCs w:val="1"/>
          <w:color w:val="auto"/>
        </w:rPr>
        <w:t xml:space="preserve"> of this prospectus supplement and in the documents incorporated by reference into this prospectus.</w:t>
      </w:r>
    </w:p>
    <w:p>
      <w:pPr>
        <w:spacing w:after="0" w:line="81" w:lineRule="exact"/>
        <w:rPr>
          <w:sz w:val="24"/>
          <w:szCs w:val="24"/>
          <w:color w:val="auto"/>
        </w:rPr>
      </w:pPr>
    </w:p>
    <w:p>
      <w:pPr>
        <w:ind w:left="1300" w:right="137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 dated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863600</wp:posOffset>
            </wp:positionV>
            <wp:extent cx="53187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 SUPPLEMENT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SPECIAL NOTE REGARDING FORWARD-LOOKING STATEMENTS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DILUTION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58920" cy="240030"/>
                    </a:xfrm>
                    <a:prstGeom prst="rect">
                      <a:avLst/>
                    </a:prstGeom>
                    <a:noFill/>
                  </pic:spPr>
                </pic:pic>
              </a:graphicData>
            </a:graphic>
          </wp:anchor>
        </w:drawing>
      </w:r>
    </w:p>
    <w:p>
      <w:pPr>
        <w:spacing w:after="0" w:line="19" w:lineRule="exact"/>
        <w:rPr>
          <w:sz w:val="20"/>
          <w:szCs w:val="20"/>
          <w:color w:val="auto"/>
        </w:rPr>
      </w:pPr>
    </w:p>
    <w:p>
      <w:pPr>
        <w:ind w:left="1440" w:hanging="139"/>
        <w:spacing w:after="0" w:line="283" w:lineRule="auto"/>
        <w:rPr>
          <w:sz w:val="20"/>
          <w:szCs w:val="20"/>
          <w:color w:val="auto"/>
        </w:rPr>
      </w:pPr>
      <w:r>
        <w:rPr>
          <w:rFonts w:ascii="Times New Roman" w:cs="Times New Roman" w:eastAsia="Times New Roman" w:hAnsi="Times New Roman"/>
          <w:sz w:val="14"/>
          <w:szCs w:val="14"/>
          <w:u w:val="single" w:color="auto"/>
          <w:color w:val="0000EE"/>
        </w:rPr>
        <w:t>CERTAIN PROVISIONS OF DELAWARE LAW AND OF OUR AMENDED AND RESTATED CERTIFICATE OF INCORPORATION AND AMENDED AND RESTATED BYLAWS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INCORPORATION OF INFORMATION BY REFERENCE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40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PROSPECTUS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SUMMARY</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SPECIAL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EE"/>
        </w:rPr>
        <w:t>CERTAIN PROVISIONS OF DELAWARE LAW AND OF OUR AMENDED AND RESTATED</w:t>
      </w:r>
    </w:p>
    <w:p>
      <w:pPr>
        <w:spacing w:after="0" w:line="18" w:lineRule="exact"/>
        <w:rPr>
          <w:sz w:val="20"/>
          <w:szCs w:val="20"/>
          <w:color w:val="auto"/>
        </w:rPr>
      </w:pPr>
    </w:p>
    <w:p>
      <w:pPr>
        <w:ind w:left="1440" w:hanging="132"/>
        <w:spacing w:after="0"/>
        <w:tabs>
          <w:tab w:leader="none" w:pos="14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CERTIFICATE OF INCORPORATION AND AMENDED AND RESTATED BYLAWS</w:t>
      </w:r>
    </w:p>
    <w:p>
      <w:pPr>
        <w:spacing w:after="0" w:line="45"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WARRANTS</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RIGHTS</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UNITS</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9" w:lineRule="exact"/>
        <w:rPr>
          <w:rFonts w:ascii="Times New Roman" w:cs="Times New Roman" w:eastAsia="Times New Roman" w:hAnsi="Times New Roman"/>
          <w:sz w:val="14"/>
          <w:szCs w:val="14"/>
          <w:color w:val="auto"/>
        </w:rPr>
      </w:pPr>
    </w:p>
    <w:p>
      <w:pPr>
        <w:ind w:left="1300" w:right="4500"/>
        <w:spacing w:after="0" w:line="31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 </w:t>
      </w: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-1186815</wp:posOffset>
            </wp:positionV>
            <wp:extent cx="4062095" cy="934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2095" cy="93472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-139065</wp:posOffset>
            </wp:positionV>
            <wp:extent cx="4062095" cy="15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S-3</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S-4</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S-11</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S-12</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S-16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S-17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S-17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S-17</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ectPr>
          <w:pgSz w:w="11900" w:h="16838" w:orient="portrait"/>
          <w:cols w:equalWidth="0" w:num="2">
            <w:col w:w="6980" w:space="360"/>
            <w:col w:w="1679"/>
          </w:cols>
          <w:pgMar w:left="1440" w:top="107"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25" w:lineRule="exact"/>
        <w:rPr>
          <w:sz w:val="20"/>
          <w:szCs w:val="20"/>
          <w:color w:val="auto"/>
        </w:rPr>
      </w:pPr>
    </w:p>
    <w:p>
      <w:pPr>
        <w:ind w:left="1300" w:right="1499" w:firstLine="280"/>
        <w:spacing w:after="0" w:line="257" w:lineRule="auto"/>
        <w:rPr>
          <w:sz w:val="20"/>
          <w:szCs w:val="20"/>
          <w:color w:val="auto"/>
        </w:rPr>
      </w:pPr>
      <w:r>
        <w:rPr>
          <w:rFonts w:ascii="Times New Roman" w:cs="Times New Roman" w:eastAsia="Times New Roman" w:hAnsi="Times New Roman"/>
          <w:sz w:val="14"/>
          <w:szCs w:val="14"/>
          <w:color w:val="auto"/>
        </w:rPr>
        <w:t>This prospectus supplement is part of an automatic shelf registration statement on Form S-3 that we filed with the Securities and Exchange Commission (the SEC), as a “well-known seasoned issuer” as defined in Rule 405 under the Securities Act. Under the shelf registration process, we may offer shares of our common stock having an aggregate offering price of up to $250,000,000 from time to time under this prospectus supplement at prices and on terms to be determined by market conditions at the time of the offering.</w:t>
      </w:r>
    </w:p>
    <w:p>
      <w:pPr>
        <w:spacing w:after="0" w:line="263" w:lineRule="exact"/>
        <w:rPr>
          <w:sz w:val="20"/>
          <w:szCs w:val="20"/>
          <w:color w:val="auto"/>
        </w:rPr>
      </w:pPr>
    </w:p>
    <w:p>
      <w:pPr>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except as provided in the following sentence. If the information contained in this prospectus supplement differs or varies from the information contained in any document incorporated by reference herein that was filed with the SEC before the date of this prospectus supplement, you should rely on the information set forth in this prospectus supplement. If any statement in one of these documents is inconsistent with a statement in another document having a later date (for example, a subsequently filed document deemed incorporated by reference in this prospectus supplement), the statement in the document having the later date modifies or supersedes the earlier statement. Any statement so modified or superseded will not be deemed, except as so modified or superseded, to constitute a part of this prospectus supplement.</w:t>
      </w:r>
    </w:p>
    <w:p>
      <w:pPr>
        <w:spacing w:after="0" w:line="254"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We have not, and the sales agent has not, authorized anyone to provide you with information that is in addition to or different from that contained or incorporated by reference in this prospectus or contained in any permitted free writing prospectuses we have authorized for use in connection with this offering. We and the sales agent take no responsibility for and can provide no assurance as to the reliability of, any other information that others may provide.</w:t>
      </w:r>
    </w:p>
    <w:p>
      <w:pPr>
        <w:spacing w:after="0" w:line="90" w:lineRule="exact"/>
        <w:rPr>
          <w:sz w:val="20"/>
          <w:szCs w:val="20"/>
          <w:color w:val="auto"/>
        </w:rPr>
      </w:pPr>
    </w:p>
    <w:p>
      <w:pPr>
        <w:ind w:left="1300" w:right="1439" w:firstLine="280"/>
        <w:spacing w:after="0" w:line="254" w:lineRule="auto"/>
        <w:rPr>
          <w:sz w:val="20"/>
          <w:szCs w:val="20"/>
          <w:color w:val="auto"/>
        </w:rPr>
      </w:pPr>
      <w:r>
        <w:rPr>
          <w:rFonts w:ascii="Times New Roman" w:cs="Times New Roman" w:eastAsia="Times New Roman" w:hAnsi="Times New Roman"/>
          <w:sz w:val="14"/>
          <w:szCs w:val="14"/>
          <w:color w:val="auto"/>
        </w:rPr>
        <w:t>The information contained in this prospectus supplement, the accompanying base prospectus, the documents incorporated by reference herein or therein and any free writing prospectus that we may authorize for use in connection with this offering is accurate only as of their respective dates, regardless of the time of delivery of any such document or the time of any sale of our shares of common stock. Our business, financial condition, results of operations and prospects may have changed since those dates. It is important for you to read and consider this prospectus supplement, the accompanying base prospectus, the documents incorporated by reference into this prospectus supplement and any free writing prospectus that we may authorize for use in connection with this offering, in their entirety before making your investment decision. You should also read and consider the additional information described under the section titled “Where You Can Find More Information” and “Incorporation of Information by Reference” in this prospectus supplement before investing in our shares of common stock.</w:t>
      </w:r>
    </w:p>
    <w:p>
      <w:pPr>
        <w:spacing w:after="0" w:line="92"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80" w:lineRule="exact"/>
        <w:rPr>
          <w:sz w:val="20"/>
          <w:szCs w:val="20"/>
          <w:color w:val="auto"/>
        </w:rPr>
      </w:pPr>
    </w:p>
    <w:p>
      <w:pPr>
        <w:ind w:left="1300" w:right="1719" w:firstLine="280"/>
        <w:spacing w:after="0" w:line="267" w:lineRule="auto"/>
        <w:rPr>
          <w:sz w:val="20"/>
          <w:szCs w:val="20"/>
          <w:color w:val="auto"/>
        </w:rPr>
      </w:pPr>
      <w:r>
        <w:rPr>
          <w:rFonts w:ascii="Times New Roman" w:cs="Times New Roman" w:eastAsia="Times New Roman" w:hAnsi="Times New Roman"/>
          <w:sz w:val="14"/>
          <w:szCs w:val="14"/>
          <w:color w:val="auto"/>
        </w:rPr>
        <w:t>As used in this prospectus, “ArriVent,” the “Company,” “we,” “our” or “us” refers to ArriVent BioPharma, Inc. and its subsidiaries. References to our “common stock” refer to the common stock of ArriVent BioPharma, Inc.</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74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91330" cy="627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23" w:lineRule="exact"/>
        <w:rPr>
          <w:sz w:val="20"/>
          <w:szCs w:val="20"/>
          <w:color w:val="auto"/>
        </w:rPr>
      </w:pPr>
    </w:p>
    <w:p>
      <w:pPr>
        <w:ind w:left="1320" w:right="1319" w:firstLine="280"/>
        <w:spacing w:after="0" w:line="243" w:lineRule="auto"/>
        <w:rPr>
          <w:sz w:val="20"/>
          <w:szCs w:val="20"/>
          <w:color w:val="auto"/>
        </w:rPr>
      </w:pPr>
      <w:r>
        <w:rPr>
          <w:rFonts w:ascii="Times New Roman" w:cs="Times New Roman" w:eastAsia="Times New Roman" w:hAnsi="Times New Roman"/>
          <w:sz w:val="14"/>
          <w:szCs w:val="14"/>
          <w:i w:val="1"/>
          <w:iCs w:val="1"/>
          <w:color w:val="auto"/>
        </w:rPr>
        <w:t>The following is a summary of what we believe to be the most important aspects of our business and the offering of our securities under this prospectus supplement. We urge you to read this entire prospectus supplement, the accompanying base prospectus and any free writing prospectus that we have authorized for use in connection with this offering, including the more detailed financial statements, notes to the financial statements and other information incorporated by reference from our other filings with the SEC. Investing in our securities involves risks. Therefore, carefully consider the risk factors set forth in our most recent annual and quarterly filings with the SEC, as well as other information in this prospectus supplement, the accompanying base prospectus and any free writing prospectus that we have authorized for use in connection with this offering,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14" w:lineRule="exact"/>
        <w:rPr>
          <w:sz w:val="20"/>
          <w:szCs w:val="20"/>
          <w:color w:val="auto"/>
        </w:rPr>
      </w:pPr>
    </w:p>
    <w:p>
      <w:pPr>
        <w:ind w:left="1320" w:right="1399" w:firstLine="280"/>
        <w:spacing w:after="0" w:line="243" w:lineRule="auto"/>
        <w:rPr>
          <w:sz w:val="20"/>
          <w:szCs w:val="20"/>
          <w:color w:val="auto"/>
        </w:rPr>
      </w:pPr>
      <w:r>
        <w:rPr>
          <w:rFonts w:ascii="Times New Roman" w:cs="Times New Roman" w:eastAsia="Times New Roman" w:hAnsi="Times New Roman"/>
          <w:sz w:val="14"/>
          <w:szCs w:val="14"/>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product candidate, firmonertinib, and advance a pipeline of novel therapeutics, such as next-generation antibody drug conjugates, including ARR-217 (MRG007), through approval and commercialization in patients suffering from cancer, with an initial focus on solid tumors. Firmonertinib is currently being evaluated in multiple clinical trials across a range of epidermal growth factor receptor (EGFR) mutations (EGFRm) in non-small cell lung cancer (NSCLC). We are conducting a pivotal Phase 3 clinical trial of firmonertinib in treatment naive, or first-line, patients with locally advanced or metastatic EGFRm NSCLC with exon 20 insertion mutations and a pivotal Phase 3 clinical trial of firmonertinib in first-line patients with locally advanced or metastatic EGFRm NSCLC with P-loop and- alpha-c-helix compressing (PACC) mutations. We are also conducting a Phase 1 clinical trial of ARR-217 in patients with unresectable locally advanced or metastatic solid tumors.</w:t>
      </w:r>
    </w:p>
    <w:p>
      <w:pPr>
        <w:spacing w:after="0" w:line="252" w:lineRule="exact"/>
        <w:rPr>
          <w:sz w:val="20"/>
          <w:szCs w:val="20"/>
          <w:color w:val="auto"/>
        </w:rPr>
      </w:pPr>
    </w:p>
    <w:p>
      <w:pPr>
        <w:ind w:left="1320" w:right="1359" w:firstLine="280"/>
        <w:spacing w:after="0" w:line="253" w:lineRule="auto"/>
        <w:rPr>
          <w:sz w:val="20"/>
          <w:szCs w:val="20"/>
          <w:color w:val="auto"/>
        </w:rPr>
      </w:pPr>
      <w:r>
        <w:rPr>
          <w:rFonts w:ascii="Times New Roman" w:cs="Times New Roman" w:eastAsia="Times New Roman" w:hAnsi="Times New Roman"/>
          <w:sz w:val="14"/>
          <w:szCs w:val="14"/>
          <w:color w:val="auto"/>
        </w:rPr>
        <w:t>We received Breakthrough Therapy Designation (BTD) for firmonertinib for first line EGFRm NSCLC with exon 20 insertion from the U.S. Food and Drug Administration (FDA) in October 2023, and Orphan Drug Designation for treatment of NSCLC with EGFRm or human epidermal growth factor receptor 2 mutations or human epidermal growth factor receptor 4 mutations in February 2024. A product candidate can receive BTD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although BTD may not result in a faster development process, review or approval and does not increase the likelihood that the product candidate will ultimately receive FDA approval for any indication.</w:t>
      </w:r>
    </w:p>
    <w:p>
      <w:pPr>
        <w:spacing w:after="0" w:line="267" w:lineRule="exact"/>
        <w:rPr>
          <w:sz w:val="20"/>
          <w:szCs w:val="20"/>
          <w:color w:val="auto"/>
        </w:r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In 2021, we licensed from Shanghai Allist Pharmaceuticals Co. Ltd. (Allist) the right to develop and commercialize firmonertinib worldwide, with the exception of greater China, which includes mainland China, Hong Kong, Macau and Taiwan. Firmonertinib is an investigational, novel, EGFR mutant-selective tyrosine kinase inhibitor (TKI) that we are developing for the treatment of NSCLC patients across a broader set of EGFRm than are currently served by approved EGFR TKIs. Firmonertinib is currently only approved and commercially distributed by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with EGFR exon 20 insertion mutations treated with firmonertinib in the ongoing Phase 1b clinical trial, the FAVOUR trial, conducted by Allist in China, and preclinical activity in PACC mutations, each a subtype of uncommon mutation. In a subsequent interim data readout from the FAVOUR trial of firmonertinib in first-line patients with locally advanced or metastatic EGFRm NSCLC with exon 20 insertion mutations who were administered a 240 mg once-daily dose of firmonertinib, 79% of patients (n=22 out of 28 patients) were observed to experience a reduction in tumor size of at least 30%. In a final analysis from the Phase 1b FURTHER trial of firmonertinib, which included a cohort of</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559"/>
        <w:spacing w:after="0" w:line="261" w:lineRule="auto"/>
        <w:rPr>
          <w:sz w:val="20"/>
          <w:szCs w:val="20"/>
          <w:color w:val="auto"/>
        </w:rPr>
      </w:pPr>
      <w:r>
        <w:rPr>
          <w:rFonts w:ascii="Times New Roman" w:cs="Times New Roman" w:eastAsia="Times New Roman" w:hAnsi="Times New Roman"/>
          <w:sz w:val="14"/>
          <w:szCs w:val="14"/>
          <w:color w:val="auto"/>
        </w:rPr>
        <w:t>EGFRm NSCLC with PACC mutations, we observed 16.0 months median progression free survival with firmonertinib 240 mg in first-line, confirmed overall response rate 68.2% (n=15 out of 22 1L patients at 240 mg) and duration of response 14.6 months, and confirmed central nervous system responses with firmonertinib including complete responses.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Additional Information</w:t>
      </w:r>
    </w:p>
    <w:p>
      <w:pPr>
        <w:spacing w:after="0" w:line="125" w:lineRule="exact"/>
        <w:rPr>
          <w:sz w:val="20"/>
          <w:szCs w:val="20"/>
          <w:color w:val="auto"/>
        </w:rPr>
      </w:pPr>
    </w:p>
    <w:p>
      <w:pPr>
        <w:ind w:left="1320" w:right="2019" w:firstLine="280"/>
        <w:spacing w:after="0" w:line="261"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For additional information related to our business and operations, please refer to the reports </w:t>
      </w:r>
      <w:hyperlink r:id="rId27">
        <w:r>
          <w:rPr>
            <w:rFonts w:ascii="Times New Roman" w:cs="Times New Roman" w:eastAsia="Times New Roman" w:hAnsi="Times New Roman"/>
            <w:sz w:val="14"/>
            <w:szCs w:val="14"/>
            <w:color w:val="auto"/>
          </w:rPr>
          <w:t xml:space="preserve">incorporated herein by reference, including our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EE"/>
          </w:rPr>
          <w:t>December 31,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subsequent reports filed with the SEC, as described under the caption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“Incorporation of Information by Reference” on page </w:t>
      </w:r>
      <w:r>
        <w:rPr>
          <w:rFonts w:ascii="Times New Roman" w:cs="Times New Roman" w:eastAsia="Times New Roman" w:hAnsi="Times New Roman"/>
          <w:sz w:val="14"/>
          <w:szCs w:val="14"/>
          <w:u w:val="single" w:color="auto"/>
          <w:color w:val="0000EE"/>
        </w:rPr>
        <w:t>S-17</w:t>
      </w:r>
      <w:r>
        <w:rPr>
          <w:rFonts w:ascii="Times New Roman" w:cs="Times New Roman" w:eastAsia="Times New Roman" w:hAnsi="Times New Roman"/>
          <w:sz w:val="14"/>
          <w:szCs w:val="14"/>
          <w:color w:val="000000"/>
        </w:rPr>
        <w:t xml:space="preserve"> of this prospectus supplement.</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Our Corporate Information</w:t>
      </w:r>
    </w:p>
    <w:p>
      <w:pPr>
        <w:spacing w:after="0" w:line="125" w:lineRule="exact"/>
        <w:rPr>
          <w:sz w:val="20"/>
          <w:szCs w:val="20"/>
          <w:color w:val="auto"/>
        </w:rPr>
      </w:pPr>
    </w:p>
    <w:p>
      <w:pPr>
        <w:ind w:left="1320" w:right="1439" w:firstLine="280"/>
        <w:spacing w:after="0" w:line="256"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April 14, 2021. Our principal executive offices are located at 18 Campus Boulevard, Suite 100, Newtown Square, PA 19073, and our telephone number is (628) 277-4836. Our website address is https://arrivent.com/. The information contained on, or that can be accessed through, our website is not and shall not be deemed to be part of this prospectus supplement. We have included our website address in this prospectus supplement solely as an inactive textual reference. Investors should not rely on any such information in deciding whether to purchase our common stock.</w:t>
      </w:r>
    </w:p>
    <w:p>
      <w:pPr>
        <w:spacing w:after="0" w:line="252" w:lineRule="exact"/>
        <w:rPr>
          <w:sz w:val="20"/>
          <w:szCs w:val="20"/>
          <w:color w:val="auto"/>
        </w:rPr>
      </w:pPr>
    </w:p>
    <w:p>
      <w:pPr>
        <w:ind w:left="1320" w:right="1499" w:firstLine="280"/>
        <w:spacing w:after="0" w:line="261"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88" w:lineRule="exact"/>
        <w:rPr>
          <w:sz w:val="20"/>
          <w:szCs w:val="20"/>
          <w:color w:val="auto"/>
        </w:rPr>
      </w:pPr>
    </w:p>
    <w:p>
      <w:pPr>
        <w:ind w:left="1320" w:right="1399" w:firstLine="280"/>
        <w:spacing w:after="0" w:line="267" w:lineRule="auto"/>
        <w:rPr>
          <w:sz w:val="20"/>
          <w:szCs w:val="20"/>
          <w:color w:val="auto"/>
        </w:rPr>
      </w:pPr>
      <w:r>
        <w:rPr>
          <w:rFonts w:ascii="Times New Roman" w:cs="Times New Roman" w:eastAsia="Times New Roman" w:hAnsi="Times New Roman"/>
          <w:sz w:val="14"/>
          <w:szCs w:val="14"/>
          <w:color w:val="auto"/>
        </w:rPr>
        <w:t>All trademarks appearing in this prospectus supplement are the property of their respective holders. Use or display by us of other parties’ trademarks, or products in this prospectus supplement is not intended to, and does not, imply a relationship with, or endorsements or sponsorship of, us by the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Common stock offered by us:</w:t>
      </w:r>
    </w:p>
    <w:p>
      <w:pPr>
        <w:spacing w:after="0" w:line="260" w:lineRule="exact"/>
        <w:rPr>
          <w:sz w:val="20"/>
          <w:szCs w:val="20"/>
          <w:color w:val="auto"/>
        </w:rPr>
      </w:pPr>
    </w:p>
    <w:p>
      <w:pPr>
        <w:ind w:left="1460" w:hanging="139"/>
        <w:spacing w:after="0" w:line="268" w:lineRule="auto"/>
        <w:rPr>
          <w:sz w:val="20"/>
          <w:szCs w:val="20"/>
          <w:color w:val="auto"/>
        </w:rPr>
      </w:pPr>
      <w:r>
        <w:rPr>
          <w:rFonts w:ascii="Times New Roman" w:cs="Times New Roman" w:eastAsia="Times New Roman" w:hAnsi="Times New Roman"/>
          <w:sz w:val="14"/>
          <w:szCs w:val="14"/>
          <w:b w:val="1"/>
          <w:bCs w:val="1"/>
          <w:color w:val="auto"/>
        </w:rPr>
        <w:t>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200" w:lineRule="exact"/>
        <w:rPr>
          <w:sz w:val="20"/>
          <w:szCs w:val="20"/>
          <w:color w:val="auto"/>
        </w:rPr>
      </w:pPr>
    </w:p>
    <w:p>
      <w:pPr>
        <w:spacing w:after="0" w:line="22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b w:val="1"/>
          <w:bCs w:val="1"/>
          <w:color w:val="auto"/>
        </w:rPr>
        <w:t>Nasdaq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93" w:lineRule="exact"/>
        <w:rPr>
          <w:sz w:val="20"/>
          <w:szCs w:val="20"/>
          <w:color w:val="auto"/>
        </w:rPr>
      </w:pPr>
    </w:p>
    <w:p>
      <w:pPr>
        <w:ind w:right="1319"/>
        <w:spacing w:after="0" w:line="283" w:lineRule="auto"/>
        <w:rPr>
          <w:sz w:val="20"/>
          <w:szCs w:val="20"/>
          <w:color w:val="auto"/>
        </w:rPr>
      </w:pPr>
      <w:r>
        <w:rPr>
          <w:rFonts w:ascii="Times New Roman" w:cs="Times New Roman" w:eastAsia="Times New Roman" w:hAnsi="Times New Roman"/>
          <w:sz w:val="14"/>
          <w:szCs w:val="14"/>
          <w:color w:val="auto"/>
        </w:rPr>
        <w:t>Shares of our common stock, par value $0.0001 per share, having an aggregate offering price of up to $250,000,000.</w:t>
      </w:r>
    </w:p>
    <w:p>
      <w:pPr>
        <w:spacing w:after="0" w:line="377" w:lineRule="exact"/>
        <w:rPr>
          <w:sz w:val="20"/>
          <w:szCs w:val="20"/>
          <w:color w:val="auto"/>
        </w:rPr>
      </w:pPr>
    </w:p>
    <w:p>
      <w:pPr>
        <w:ind w:right="1379"/>
        <w:spacing w:after="0" w:line="255" w:lineRule="auto"/>
        <w:rPr>
          <w:sz w:val="20"/>
          <w:szCs w:val="20"/>
          <w:color w:val="auto"/>
        </w:rPr>
      </w:pPr>
      <w:r>
        <w:rPr>
          <w:rFonts w:ascii="Times New Roman" w:cs="Times New Roman" w:eastAsia="Times New Roman" w:hAnsi="Times New Roman"/>
          <w:sz w:val="14"/>
          <w:szCs w:val="14"/>
          <w:color w:val="auto"/>
        </w:rPr>
        <w:t>Up to 8,474,576 shares of common stock after the completion of this offering (as more fully described in the notes following this table), assuming that we sell the maximum dollar value of shares available to be sold in the offering are sold at a price of $29.50 per share, which was the closing price of our common stock on Nasdaq on May 8, 2026. The actual number of shares outstanding after this offering will vary depending on the number of shares sold and issued and the sale prices of such shares.</w:t>
      </w:r>
    </w:p>
    <w:p>
      <w:pPr>
        <w:spacing w:after="0" w:line="61" w:lineRule="exact"/>
        <w:rPr>
          <w:sz w:val="20"/>
          <w:szCs w:val="20"/>
          <w:color w:val="auto"/>
        </w:rPr>
      </w:pPr>
    </w:p>
    <w:p>
      <w:pPr>
        <w:ind w:right="1459"/>
        <w:spacing w:after="0" w:line="267" w:lineRule="auto"/>
        <w:rPr>
          <w:sz w:val="20"/>
          <w:szCs w:val="20"/>
          <w:color w:val="auto"/>
        </w:rPr>
      </w:pPr>
      <w:r>
        <w:rPr>
          <w:rFonts w:ascii="Times New Roman" w:cs="Times New Roman" w:eastAsia="Times New Roman" w:hAnsi="Times New Roman"/>
          <w:sz w:val="14"/>
          <w:szCs w:val="14"/>
          <w:color w:val="auto"/>
        </w:rPr>
        <w:t xml:space="preserve">“At the market” offering that may be made from time to time through or to our sales agent, Jefferies. See “Plan of Distribution” on page </w:t>
      </w:r>
      <w:r>
        <w:rPr>
          <w:rFonts w:ascii="Times New Roman" w:cs="Times New Roman" w:eastAsia="Times New Roman" w:hAnsi="Times New Roman"/>
          <w:sz w:val="14"/>
          <w:szCs w:val="14"/>
          <w:u w:val="single" w:color="auto"/>
          <w:color w:val="0000EE"/>
        </w:rPr>
        <w:t>S-16</w:t>
      </w:r>
      <w:r>
        <w:rPr>
          <w:rFonts w:ascii="Times New Roman" w:cs="Times New Roman" w:eastAsia="Times New Roman" w:hAnsi="Times New Roman"/>
          <w:sz w:val="14"/>
          <w:szCs w:val="14"/>
          <w:color w:val="auto"/>
        </w:rPr>
        <w:t xml:space="preserve"> of this prospectus supplement.</w:t>
      </w:r>
    </w:p>
    <w:p>
      <w:pPr>
        <w:spacing w:after="0" w:line="51" w:lineRule="exact"/>
        <w:rPr>
          <w:sz w:val="20"/>
          <w:szCs w:val="20"/>
          <w:color w:val="auto"/>
        </w:rPr>
      </w:pPr>
    </w:p>
    <w:p>
      <w:pPr>
        <w:ind w:right="1339"/>
        <w:spacing w:after="0" w:line="258"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together with our existing cash resources, to support our activities for firmonertinib and our other pipeline programs and for working capital and other general corporate purposes. See “Use of Proceeds” in this prospectus supplement.</w:t>
      </w:r>
    </w:p>
    <w:p>
      <w:pPr>
        <w:spacing w:after="0" w:line="60" w:lineRule="exact"/>
        <w:rPr>
          <w:sz w:val="20"/>
          <w:szCs w:val="20"/>
          <w:color w:val="auto"/>
        </w:rPr>
      </w:pPr>
    </w:p>
    <w:p>
      <w:pPr>
        <w:ind w:right="1399"/>
        <w:spacing w:after="0" w:line="256"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and the purchasers of our common stock may lose all or part of their investment. Before deciding to invest in our securities, please carefully read the section entitled “Risk Factors” of this prospectus supplement and the accompanying base prospectus and in the documents incorporated by reference into this prospectus supplement.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“AVBP”</w:t>
      </w:r>
    </w:p>
    <w:p>
      <w:pPr>
        <w:spacing w:after="0" w:line="123" w:lineRule="exact"/>
        <w:rPr>
          <w:sz w:val="20"/>
          <w:szCs w:val="20"/>
          <w:color w:val="auto"/>
        </w:rPr>
      </w:pPr>
    </w:p>
    <w:p>
      <w:pPr>
        <w:sectPr>
          <w:pgSz w:w="11900" w:h="16838" w:orient="portrait"/>
          <w:cols w:equalWidth="0" w:num="2">
            <w:col w:w="3220" w:space="460"/>
            <w:col w:w="5339"/>
          </w:cols>
          <w:pgMar w:left="1440" w:top="107" w:right="1440" w:bottom="1440" w:gutter="0" w:footer="0" w:header="0"/>
          <w:type w:val="continuous"/>
        </w:sectPr>
      </w:pPr>
    </w:p>
    <w:p>
      <w:pPr>
        <w:ind w:left="1320" w:right="1419" w:firstLine="280"/>
        <w:spacing w:after="0" w:line="283" w:lineRule="auto"/>
        <w:rPr>
          <w:sz w:val="20"/>
          <w:szCs w:val="20"/>
          <w:color w:val="auto"/>
        </w:rPr>
      </w:pPr>
      <w:r>
        <w:rPr>
          <w:rFonts w:ascii="Times New Roman" w:cs="Times New Roman" w:eastAsia="Times New Roman" w:hAnsi="Times New Roman"/>
          <w:sz w:val="14"/>
          <w:szCs w:val="14"/>
          <w:color w:val="auto"/>
        </w:rPr>
        <w:t>The number of shares of our common stock shown above to be outstanding after this offering is based on 45,308,941 shares of our common stock issued and outstanding as of March 31, 2026, and excludes:</w:t>
      </w:r>
    </w:p>
    <w:p>
      <w:pPr>
        <w:spacing w:after="0" w:line="41" w:lineRule="exact"/>
        <w:rPr>
          <w:sz w:val="20"/>
          <w:szCs w:val="20"/>
          <w:color w:val="auto"/>
        </w:rPr>
      </w:pPr>
    </w:p>
    <w:p>
      <w:pPr>
        <w:ind w:left="1740" w:right="1359" w:hanging="137"/>
        <w:spacing w:after="0" w:line="261"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7,220,584 shares of common stock issuable upon the exercise of outstanding stock options as of March 31, 2026, issued under our 2021 Employee, Director and Consultant Equity Incentive Plan, as amended (2021 Plan) or our 2024 Employee, Director and Consultant Equity Incentive Plan (2024 Plan), having a weighted-average exercise price of $18.48 per share;</w:t>
      </w:r>
    </w:p>
    <w:p>
      <w:pPr>
        <w:spacing w:after="0" w:line="56" w:lineRule="exact"/>
        <w:rPr>
          <w:rFonts w:ascii="Times New Roman" w:cs="Times New Roman" w:eastAsia="Times New Roman" w:hAnsi="Times New Roman"/>
          <w:sz w:val="14"/>
          <w:szCs w:val="14"/>
          <w:color w:val="auto"/>
        </w:rPr>
      </w:pPr>
    </w:p>
    <w:p>
      <w:pPr>
        <w:ind w:left="1740" w:right="1319" w:hanging="137"/>
        <w:spacing w:after="0" w:line="261"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2,704,257 shares of common stock reserved for issuance pursuant to future awards under our 2024 Plan, as well as automatic increases in the number of shares of common stock reserved for future issuance under the 2024 Plan, plus any shares underlying outstanding stock awards granted under our 2021 Plan that expire or are repurchased, forfeited, cancelled or withheld;</w:t>
      </w:r>
    </w:p>
    <w:p>
      <w:pPr>
        <w:spacing w:after="0" w:line="56" w:lineRule="exact"/>
        <w:rPr>
          <w:rFonts w:ascii="Times New Roman" w:cs="Times New Roman" w:eastAsia="Times New Roman" w:hAnsi="Times New Roman"/>
          <w:sz w:val="14"/>
          <w:szCs w:val="14"/>
          <w:color w:val="auto"/>
        </w:rPr>
      </w:pPr>
    </w:p>
    <w:p>
      <w:pPr>
        <w:ind w:left="1740" w:right="1339" w:hanging="137"/>
        <w:spacing w:after="0" w:line="283"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963,469 shares of common stock issuable upon the exercise of pre-funded warrants outstanding as of March 31, 2026; and</w:t>
      </w:r>
    </w:p>
    <w:p>
      <w:pPr>
        <w:spacing w:after="0" w:line="40" w:lineRule="exact"/>
        <w:rPr>
          <w:rFonts w:ascii="Times New Roman" w:cs="Times New Roman" w:eastAsia="Times New Roman" w:hAnsi="Times New Roman"/>
          <w:sz w:val="14"/>
          <w:szCs w:val="14"/>
          <w:color w:val="auto"/>
        </w:rPr>
      </w:pPr>
    </w:p>
    <w:p>
      <w:pPr>
        <w:ind w:left="1740" w:right="1399" w:hanging="137"/>
        <w:spacing w:after="0" w:line="267"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1,250,764 shares of common stock issued and sold after March 31, 2026, pursuant to our “at the market” offering pursuant to a prospectus supplement filed on February 3, 2025 (the “Initial ATM”) and our sales agreement with Jefferies.</w:t>
      </w:r>
    </w:p>
    <w:p>
      <w:pPr>
        <w:spacing w:after="0" w:line="83" w:lineRule="exact"/>
        <w:rPr>
          <w:sz w:val="20"/>
          <w:szCs w:val="20"/>
          <w:color w:val="auto"/>
        </w:rPr>
      </w:pPr>
    </w:p>
    <w:p>
      <w:pPr>
        <w:ind w:left="1320" w:right="1719" w:firstLine="280"/>
        <w:spacing w:after="0" w:line="283" w:lineRule="auto"/>
        <w:rPr>
          <w:sz w:val="20"/>
          <w:szCs w:val="20"/>
          <w:color w:val="auto"/>
        </w:rPr>
      </w:pPr>
      <w:r>
        <w:rPr>
          <w:rFonts w:ascii="Times New Roman" w:cs="Times New Roman" w:eastAsia="Times New Roman" w:hAnsi="Times New Roman"/>
          <w:sz w:val="14"/>
          <w:szCs w:val="14"/>
          <w:color w:val="auto"/>
        </w:rPr>
        <w:t>Unless otherwise indicated, all information in this prospectus supplement assumes no exercise of outstanding stock options or outstanding pre-funded warrants described above.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i w:val="1"/>
          <w:iCs w:val="1"/>
          <w:color w:val="auto"/>
        </w:rPr>
        <w:t>An investment in our common stock involves a high degree of risk. Before deciding whether to invest in our common stock, you should consider carefully the risks described below and discussed under the sections captioned “Risk Factors” contained in our most recent Annual Report on Form 10-K, as well as in any of our subsequent Quarterly Reports on Form 10-Q or our Current Reports on Form 8- K, which are incorporated by reference herein in their entirety, together with other information in this prospectus supplement, the information and documents incorporated by reference in this prospectus supplement,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251" w:lineRule="exact"/>
        <w:rPr>
          <w:sz w:val="20"/>
          <w:szCs w:val="20"/>
          <w:color w:val="auto"/>
        </w:rPr>
      </w:pPr>
    </w:p>
    <w:p>
      <w:pPr>
        <w:ind w:left="1300" w:right="1359" w:firstLine="280"/>
        <w:spacing w:after="0" w:line="245" w:lineRule="auto"/>
        <w:rPr>
          <w:sz w:val="20"/>
          <w:szCs w:val="20"/>
          <w:color w:val="auto"/>
        </w:rPr>
      </w:pPr>
      <w:r>
        <w:rPr>
          <w:rFonts w:ascii="Times New Roman" w:cs="Times New Roman" w:eastAsia="Times New Roman" w:hAnsi="Times New Roman"/>
          <w:sz w:val="14"/>
          <w:szCs w:val="14"/>
          <w:i w:val="1"/>
          <w:iCs w:val="1"/>
          <w:color w:val="auto"/>
        </w:rPr>
        <w:t>Our business, financial condition or results of operations could be materially adversely affected by any of these risks. The trading price of our securities could decline due to any of these risks, and you may lose part or all of your investment. This prospectus supplement and the incorporated documents also contain forward-looking statements that involve risks and uncertainties. Our actual results could differ materially from those anticipated in these forward-looking statements as a result of certain factors, including the risks mentioned below. Forward- looking statements included in this prospectus supplement are based on information available to us on the date hereof, and all forward-looking statements in documents incorporated by reference are based on information available to us as of the date of such documents. We disclaim any intent to update any forward-looking statements.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this Offering and Our Common Stock</w:t>
      </w:r>
    </w:p>
    <w:p>
      <w:pPr>
        <w:spacing w:after="0" w:line="175" w:lineRule="exact"/>
        <w:rPr>
          <w:sz w:val="20"/>
          <w:szCs w:val="20"/>
          <w:color w:val="auto"/>
        </w:rPr>
      </w:pPr>
    </w:p>
    <w:p>
      <w:pPr>
        <w:ind w:left="1300" w:right="15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over the use of the net proceeds from this offering, and you may not agree with how we use the proceeds and the proceeds may not be invested successfully.</w:t>
      </w:r>
    </w:p>
    <w:p>
      <w:pPr>
        <w:spacing w:after="0" w:line="71" w:lineRule="exact"/>
        <w:rPr>
          <w:sz w:val="20"/>
          <w:szCs w:val="20"/>
          <w:color w:val="auto"/>
        </w:rPr>
      </w:pPr>
    </w:p>
    <w:p>
      <w:pPr>
        <w:jc w:val="both"/>
        <w:ind w:left="1300" w:right="1479" w:firstLine="280"/>
        <w:spacing w:after="0" w:line="259" w:lineRule="auto"/>
        <w:rPr>
          <w:sz w:val="20"/>
          <w:szCs w:val="20"/>
          <w:color w:val="auto"/>
        </w:rPr>
      </w:pPr>
      <w:r>
        <w:rPr>
          <w:rFonts w:ascii="Times New Roman" w:cs="Times New Roman" w:eastAsia="Times New Roman" w:hAnsi="Times New Roman"/>
          <w:sz w:val="14"/>
          <w:szCs w:val="14"/>
          <w:color w:val="auto"/>
        </w:rPr>
        <w:t>We intend to use any net proceeds from the sale of common stock under this prospectus supplement, together with our existing cash resources, to support our activities for firmonertinib and our other pipeline programs and for working capital and other general corporate purposes.</w:t>
      </w:r>
    </w:p>
    <w:p>
      <w:pPr>
        <w:spacing w:after="0" w:line="78"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color w:val="auto"/>
        </w:rPr>
        <w:t>Our management will have broad discretion as to the use of the net proceeds from this offering and could use them for purposes other than those contemplated at the time of this offering. Accordingly, you are relying on the judgment of our management with regard to the use of these net proceeds, and you will not have the opportunity, as part of your investment decision, to assess whether the proceeds will be used appropriately. It is possible that the proceeds will be invested in a way that does not yield a favorable, or any, return for us.</w:t>
      </w:r>
    </w:p>
    <w:p>
      <w:pPr>
        <w:spacing w:after="0" w:line="315" w:lineRule="exact"/>
        <w:rPr>
          <w:sz w:val="20"/>
          <w:szCs w:val="20"/>
          <w:color w:val="auto"/>
        </w:rPr>
      </w:pPr>
    </w:p>
    <w:p>
      <w:pPr>
        <w:ind w:left="1300" w:right="1519"/>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If </w:t>
      </w:r>
      <w:r>
        <w:rPr>
          <w:rFonts w:ascii="Times New Roman" w:cs="Times New Roman" w:eastAsia="Times New Roman" w:hAnsi="Times New Roman"/>
          <w:sz w:val="14"/>
          <w:szCs w:val="14"/>
          <w:b w:val="1"/>
          <w:bCs w:val="1"/>
          <w:i w:val="1"/>
          <w:iCs w:val="1"/>
          <w:color w:val="auto"/>
        </w:rPr>
        <w:t>you purchase shares in this offering, you may experience immediate and substantial dilution in the book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per share of the common stock purchased in the offering.</w:t>
      </w:r>
    </w:p>
    <w:p>
      <w:pPr>
        <w:spacing w:after="0" w:line="7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shares of our common stock sold in this offering from time to time will be sold at various prices;</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however, the per share offering prices may exceed the net tangible book value per share of our common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stock outstanding prior to this offering. Based on the assumed sale price of $29.50 per share, which was the</w:t>
      </w:r>
    </w:p>
    <w:p>
      <w:pPr>
        <w:ind w:left="1300"/>
        <w:spacing w:after="0" w:line="235" w:lineRule="auto"/>
        <w:rPr>
          <w:sz w:val="20"/>
          <w:szCs w:val="20"/>
          <w:color w:val="auto"/>
        </w:rPr>
      </w:pPr>
      <w:r>
        <w:rPr>
          <w:rFonts w:ascii="Times New Roman" w:cs="Times New Roman" w:eastAsia="Times New Roman" w:hAnsi="Times New Roman"/>
          <w:sz w:val="14"/>
          <w:szCs w:val="14"/>
          <w:color w:val="auto"/>
        </w:rPr>
        <w:t>closing price of our common stock on Nasdaq on May 8, 2026, for aggregate gross proceeds of</w:t>
      </w:r>
    </w:p>
    <w:p>
      <w:pPr>
        <w:ind w:left="1300"/>
        <w:spacing w:after="0"/>
        <w:rPr>
          <w:sz w:val="20"/>
          <w:szCs w:val="20"/>
          <w:color w:val="auto"/>
        </w:rPr>
      </w:pPr>
      <w:r>
        <w:rPr>
          <w:rFonts w:ascii="Times New Roman" w:cs="Times New Roman" w:eastAsia="Times New Roman" w:hAnsi="Times New Roman"/>
          <w:sz w:val="14"/>
          <w:szCs w:val="14"/>
          <w:color w:val="auto"/>
        </w:rPr>
        <w:t>$250,000,000, and after deducting commissions and estimated offering expenses payable by us, you would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experience immediate dilution of $19.38 per share, representing the difference between the as adjusted net</w:t>
      </w:r>
    </w:p>
    <w:p>
      <w:pPr>
        <w:ind w:left="1300"/>
        <w:spacing w:after="0" w:line="235" w:lineRule="auto"/>
        <w:rPr>
          <w:sz w:val="20"/>
          <w:szCs w:val="20"/>
          <w:color w:val="auto"/>
        </w:rPr>
      </w:pPr>
      <w:r>
        <w:rPr>
          <w:rFonts w:ascii="Times New Roman" w:cs="Times New Roman" w:eastAsia="Times New Roman" w:hAnsi="Times New Roman"/>
          <w:sz w:val="14"/>
          <w:szCs w:val="14"/>
          <w:color w:val="auto"/>
        </w:rPr>
        <w:t>tangible book value per share as of March 31, 2026, and the assumed public offering price per share.</w:t>
      </w:r>
    </w:p>
    <w:p>
      <w:pPr>
        <w:ind w:left="1300"/>
        <w:spacing w:after="0"/>
        <w:rPr>
          <w:sz w:val="20"/>
          <w:szCs w:val="20"/>
          <w:color w:val="auto"/>
        </w:rPr>
      </w:pPr>
      <w:r>
        <w:rPr>
          <w:rFonts w:ascii="Times New Roman" w:cs="Times New Roman" w:eastAsia="Times New Roman" w:hAnsi="Times New Roman"/>
          <w:sz w:val="14"/>
          <w:szCs w:val="14"/>
          <w:color w:val="auto"/>
        </w:rPr>
        <w:t>Further, you may experience additional dilution upon the exercise of options, including those options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currently outstanding and those granted in the future, or the issuance of other equity awards under our stock</w:t>
      </w:r>
    </w:p>
    <w:p>
      <w:pPr>
        <w:ind w:left="1300"/>
        <w:spacing w:after="0" w:line="235" w:lineRule="auto"/>
        <w:rPr>
          <w:sz w:val="20"/>
          <w:szCs w:val="20"/>
          <w:color w:val="auto"/>
        </w:rPr>
      </w:pPr>
      <w:r>
        <w:rPr>
          <w:rFonts w:ascii="Times New Roman" w:cs="Times New Roman" w:eastAsia="Times New Roman" w:hAnsi="Times New Roman"/>
          <w:sz w:val="14"/>
          <w:szCs w:val="14"/>
          <w:color w:val="auto"/>
        </w:rPr>
        <w:t>incentive plans. See “Dilution” for a more detailed discussion of the dilution you will incur in connection</w:t>
      </w:r>
    </w:p>
    <w:p>
      <w:pPr>
        <w:ind w:left="1300"/>
        <w:spacing w:after="0"/>
        <w:rPr>
          <w:sz w:val="20"/>
          <w:szCs w:val="20"/>
          <w:color w:val="auto"/>
        </w:rPr>
      </w:pPr>
      <w:r>
        <w:rPr>
          <w:rFonts w:ascii="Times New Roman" w:cs="Times New Roman" w:eastAsia="Times New Roman" w:hAnsi="Times New Roman"/>
          <w:sz w:val="14"/>
          <w:szCs w:val="14"/>
          <w:color w:val="auto"/>
        </w:rPr>
        <w:t>with this offering. In addition, in the past, we have issued options to acquire common stock at prices below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assumed sale price of $29.50 per share. To the extent these outstanding options are ultimately exercised,</w:t>
      </w:r>
    </w:p>
    <w:p>
      <w:pPr>
        <w:ind w:left="1300"/>
        <w:spacing w:after="0"/>
        <w:rPr>
          <w:sz w:val="20"/>
          <w:szCs w:val="20"/>
          <w:color w:val="auto"/>
        </w:rPr>
      </w:pPr>
      <w:r>
        <w:rPr>
          <w:rFonts w:ascii="Times New Roman" w:cs="Times New Roman" w:eastAsia="Times New Roman" w:hAnsi="Times New Roman"/>
          <w:sz w:val="14"/>
          <w:szCs w:val="14"/>
          <w:color w:val="auto"/>
        </w:rPr>
        <w:t>you may incur additional dilution.</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or convertible debt offerings.</w:t>
      </w:r>
    </w:p>
    <w:p>
      <w:pPr>
        <w:spacing w:after="0" w:line="125" w:lineRule="exact"/>
        <w:rPr>
          <w:sz w:val="20"/>
          <w:szCs w:val="20"/>
          <w:color w:val="auto"/>
        </w:rPr>
      </w:pPr>
    </w:p>
    <w:p>
      <w:pPr>
        <w:ind w:left="1300" w:right="1479" w:firstLine="280"/>
        <w:spacing w:after="0" w:line="267" w:lineRule="auto"/>
        <w:rPr>
          <w:sz w:val="20"/>
          <w:szCs w:val="20"/>
          <w:color w:val="auto"/>
        </w:rPr>
      </w:pPr>
      <w:r>
        <w:rPr>
          <w:rFonts w:ascii="Times New Roman" w:cs="Times New Roman" w:eastAsia="Times New Roman" w:hAnsi="Times New Roman"/>
          <w:sz w:val="14"/>
          <w:szCs w:val="14"/>
          <w:color w:val="auto"/>
        </w:rPr>
        <w:t>In order to raise additional capital, we may in the future offer additional shares of common stock or other securities convertible into or exchangeable for our shares of common stock at prices that may not be</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99"/>
        <w:spacing w:after="0" w:line="257" w:lineRule="auto"/>
        <w:rPr>
          <w:sz w:val="20"/>
          <w:szCs w:val="20"/>
          <w:color w:val="auto"/>
        </w:rPr>
      </w:pPr>
      <w:r>
        <w:rPr>
          <w:rFonts w:ascii="Times New Roman" w:cs="Times New Roman" w:eastAsia="Times New Roman" w:hAnsi="Times New Roman"/>
          <w:sz w:val="14"/>
          <w:szCs w:val="14"/>
          <w:color w:val="auto"/>
        </w:rPr>
        <w:t>the same as the prices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common stock, or securities convertible or exchangeable into shares of common stock, in future transactions may be higher or lower than the price per share paid by investors in this offering.</w:t>
      </w:r>
    </w:p>
    <w:p>
      <w:pPr>
        <w:spacing w:after="0" w:line="141" w:lineRule="exact"/>
        <w:rPr>
          <w:sz w:val="20"/>
          <w:szCs w:val="20"/>
          <w:color w:val="auto"/>
        </w:rPr>
      </w:pPr>
    </w:p>
    <w:p>
      <w:pPr>
        <w:ind w:left="1300" w:right="1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shares of our common stock offered under this prospectus supplement may be sold in “at the market” offerings, and investors who buy shares at different times will likely pay different prices.</w:t>
      </w:r>
    </w:p>
    <w:p>
      <w:pPr>
        <w:spacing w:after="0" w:line="70" w:lineRule="exact"/>
        <w:rPr>
          <w:sz w:val="20"/>
          <w:szCs w:val="20"/>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color w:val="auto"/>
        </w:rPr>
        <w:t>Investors who purchase shares under this prospectus supplement at different times will likely pay different prices, and so may experience different levels of dilution and different outcomes in their investment results. We will have discretion, subject to market demand, to vary the timing, prices, and numbers of shares sold, and to determine the minimum sales price for shares sold. Investors may experience declines in the value of their shares as a result of share sales made in connection with “at the market” offerings at prices lower than the prices they paid.</w:t>
      </w:r>
    </w:p>
    <w:p>
      <w:pPr>
        <w:spacing w:after="0" w:line="141" w:lineRule="exact"/>
        <w:rPr>
          <w:sz w:val="20"/>
          <w:szCs w:val="20"/>
          <w:color w:val="auto"/>
        </w:rPr>
      </w:pPr>
    </w:p>
    <w:p>
      <w:pPr>
        <w:ind w:left="1300" w:right="16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actual number of shares we will issue under the sales agreement, or the net proceeds resulting from those issuances, at any one time or in total, is uncertain.</w:t>
      </w:r>
    </w:p>
    <w:p>
      <w:pPr>
        <w:spacing w:after="0" w:line="70" w:lineRule="exact"/>
        <w:rPr>
          <w:sz w:val="20"/>
          <w:szCs w:val="20"/>
          <w:color w:val="auto"/>
        </w:rPr>
      </w:pPr>
    </w:p>
    <w:p>
      <w:pPr>
        <w:ind w:left="1300" w:right="1359" w:firstLine="280"/>
        <w:spacing w:after="0" w:line="255"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and Jefferies may mutually agree to sell shares of our common stock under a transaction acceptance at any time throughout the term of the sales agreement. The number of shares that are sold by Jefferies after agreement on the terms of the transaction will fluctuate based on a number of factors, including the market price of the shares of our common stock during the sales period and limits we set with Jefferies. Because the price per share of each share sold will fluctuate based on the market price of our shares of common stock during the sales period, it is not possible to predict the number of shares that will ultimately be issued or the net proceeds to be raised in connection with those issuances.</w:t>
      </w:r>
    </w:p>
    <w:p>
      <w:pPr>
        <w:spacing w:after="0" w:line="143" w:lineRule="exact"/>
        <w:rPr>
          <w:sz w:val="20"/>
          <w:szCs w:val="20"/>
          <w:color w:val="auto"/>
        </w:rPr>
      </w:pPr>
    </w:p>
    <w:p>
      <w:pPr>
        <w:ind w:left="1300" w:right="17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60" w:lineRule="exact"/>
        <w:rPr>
          <w:sz w:val="20"/>
          <w:szCs w:val="20"/>
          <w:color w:val="auto"/>
        </w:rPr>
      </w:pPr>
    </w:p>
    <w:p>
      <w:pPr>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We have never paid or declared any cash dividends on our capital stock. We currently intend to retain earnings, if any, to finance the growth and development of our business and we do not anticipate paying any cash dividends in the foreseeable future. As a result, it is likely that only appreciation of the price of our common stock will provide a return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25" w:lineRule="exact"/>
        <w:rPr>
          <w:sz w:val="20"/>
          <w:szCs w:val="20"/>
          <w:color w:val="auto"/>
        </w:rPr>
      </w:pPr>
    </w:p>
    <w:p>
      <w:pPr>
        <w:ind w:left="1300" w:right="1339" w:firstLine="28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prospectus supplement, the accompanying base prospectus, the documents incorporated by reference herein or therein, and any related free writing prospectus, include forward-looking statements within the meaning of Section 27A of the Securities Act and Section 21E of the Exchange Act that relate to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“anticipate,” “believe,” “contemplate,” “continue,” “could,” “estimate,” “expect,” “intend,” “may,” “plan,” “potential,” “predict,” “project,” “seek,” “should,” “target,” “will,” “would,” or the negative of these words or other comparable terminology, are intended to identify forward-looking statements, although not all forward -looking statements contain these identifying words. Although we believe that we have a reasonable basis for each forward-looking statement contained in this prospectus supplement, the accompanying base prospectus and incorporated by reference herein and therein,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from those expressed or implied by any forward-looking statement. The sections in our periodic reports, including our </w:t>
      </w:r>
      <w:hyperlink r:id="rId27">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entitled “Business,” “Risk Factors,” and “Management’s Discussion and Analysis of Financial Condition and Results of Operations,” as well as other sections in this prospectus and the documents or reports incorporated by reference in the prospectus supplement, the accompanying base prospectus and the documents or reports incorporated by reference herein and therein, discuss some of the factors that could contribute to these differences. These forward-looking statements include, among other things, statements about:</w:t>
      </w:r>
    </w:p>
    <w:p>
      <w:pPr>
        <w:spacing w:after="0" w:line="231" w:lineRule="exact"/>
        <w:rPr>
          <w:sz w:val="20"/>
          <w:szCs w:val="20"/>
          <w:color w:val="auto"/>
        </w:rPr>
      </w:pPr>
    </w:p>
    <w:p>
      <w:pPr>
        <w:ind w:left="1720" w:right="149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progress and results of preclinical studies and clinical trials for our product candidates, including our product development plans and strategies;</w:t>
      </w:r>
    </w:p>
    <w:p>
      <w:pPr>
        <w:spacing w:after="0" w:line="40"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addressable market, market growth, future revenue, key performance indicators, expenses, capital requirements and our needs for additional financing;</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w:t>
      </w:r>
    </w:p>
    <w:p>
      <w:pPr>
        <w:spacing w:after="0" w:line="91"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continued service of our key professionals and to identify, hire and retain additional qualified professionals;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product candidates into, and successfully complete, clinical trials;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 and approvals;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commercialization of our product candidates, if approved;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91"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strategic plans for our business, product candidates and technology;</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and technology;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91"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capital requirements and needs for additional financing;</w:t>
      </w:r>
    </w:p>
    <w:p>
      <w:pPr>
        <w:spacing w:after="0" w:line="40"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source sufficient clinical product for our clinical trials and, if our product candidates are approved and commercialized, commercial product;</w:t>
      </w:r>
    </w:p>
    <w:p>
      <w:pPr>
        <w:spacing w:after="0" w:line="40" w:lineRule="exact"/>
        <w:rPr>
          <w:rFonts w:ascii="Times New Roman" w:cs="Times New Roman" w:eastAsia="Times New Roman" w:hAnsi="Times New Roman"/>
          <w:sz w:val="14"/>
          <w:szCs w:val="14"/>
          <w:color w:val="auto"/>
        </w:rPr>
      </w:pPr>
    </w:p>
    <w:p>
      <w:pPr>
        <w:ind w:left="1720" w:right="157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tariffs and changes in economic policies, volatility in inflation, volatility in interest rates, or market disruptions on our business; and</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 our financial performance.</w:t>
      </w:r>
    </w:p>
    <w:p>
      <w:pPr>
        <w:spacing w:after="0" w:line="123" w:lineRule="exact"/>
        <w:rPr>
          <w:sz w:val="20"/>
          <w:szCs w:val="20"/>
          <w:color w:val="auto"/>
        </w:rPr>
      </w:pPr>
    </w:p>
    <w:p>
      <w:pPr>
        <w:ind w:left="1300" w:right="1379" w:firstLine="280"/>
        <w:spacing w:after="0" w:line="253" w:lineRule="auto"/>
        <w:rPr>
          <w:sz w:val="20"/>
          <w:szCs w:val="20"/>
          <w:color w:val="auto"/>
        </w:rPr>
      </w:pPr>
      <w:r>
        <w:rPr>
          <w:rFonts w:ascii="Times New Roman" w:cs="Times New Roman" w:eastAsia="Times New Roman" w:hAnsi="Times New Roman"/>
          <w:sz w:val="14"/>
          <w:szCs w:val="14"/>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the accompanying base prospectus or the documents incorporated by reference herein or therein, particularly in the “Risk Factors” section, that we believe could cause actual results or events to differ materially from the forward-looking statements that we make. For a summary of such factors, please refer to the section titled “Risk Factors” in this prospectus and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prospectus supplement, the accompanying base prospectus and the documents incorporated by reference herein and therein is believed to be current as of their respective dates. We do not intend to update any of the forward-looking statements after the date of this prospectus supplement to conform these statements to actual results or to changes in our expectations, except as required by law.</w:t>
      </w:r>
    </w:p>
    <w:p>
      <w:pPr>
        <w:spacing w:after="0" w:line="9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In light of these assumptions, risks and uncertainties, the results and events discussed in the forward-looking statements contained in this prospectus supplement, the accompanying base prospectus or in any document incorporated herein or therein by reference might not occur. Investors are cautioned not to place undue reliance on the forward-looking statements, which speak only as of the date of this prospectus supplement, the accompanying base prospectus or the date of the document incorporated by reference herein or therein. We are not under any obligation, and we expressly disclaim any obligation, to update or alter any forward-looking statements, whether as a result of new information, future events or otherwise, except as required by law.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issue and sell shares of our common stock having aggregate sale proceeds of up to</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$250,000,000 from time to time. Because there is no minimum offering amount required to be sold in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connection with this offering, the actual total public offering amount, commissions and proceeds to us, if</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any, are not determinable at this time. We intend to use any net proceeds from this offering, together with</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our existing cash resources, to support our activities for firmonertinib and our other pipeline programs and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for working capital and other general corporate purposes. The amounts and timing of our actual</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expenditures will depend on numerous factors, including those described under “Risk Factors” in this</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prospectus supplement, the accompanying base prospectus and the documents incorporated by reference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herein, as well as the amount of cash used in our operations. As a result, our management will have broad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discretion to allocate the net proceeds, if any, we receive in connection with this offering. Pending</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application of the net proceeds as described above, we may initially invest the net proceeds in short-term,</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investment-grade, interest-bearing securities or apply them to the reduction of short-term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25"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As of March 31, 2026, our net tangible book value was $301.1 million, or $6.64 per share of common stock. Net tangible book value per share represents the amount of our tangible assets less our liabilities divided by 45,308,941, the total number of shares of our common stock outstanding as of March 31, 2026. Dilution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90"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After giving effect to the assumed sale of our common stock in the aggregate amount of $250,000,000 at an assumed offering price of $29.50 per share, the last reported sale price of our common stock on Nasdaq on May 8, 2026, and after deducting commissions and estimated offering expenses payable by us, our as adjusted net tangible book value as of March 31, 2026 would have been $544.7 million, or $10.12 per share of common stock. This amount would represent an immediate increase in net tangible book value of $3.48 per share to our existing stockholders and an immediate dilution in net tangible book value of approximately $19.38 per share to new investors in this offering.</w:t>
      </w:r>
    </w:p>
    <w:p>
      <w:pPr>
        <w:spacing w:after="0" w:line="80"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offering. The shares sold in this offering, if any, will be sold from time to time at various prices.</w:t>
      </w:r>
    </w:p>
    <w:p>
      <w:pPr>
        <w:spacing w:after="0" w:line="120"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​​$29.50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10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w:t>
            </w:r>
          </w:p>
        </w:tc>
        <w:tc>
          <w:tcPr>
            <w:tcW w:w="5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tangible book value per share as of March 31, 2026</w:t>
            </w: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​​$6.64​​ ​​ ​</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
                <w:szCs w:val="1"/>
                <w:color w:val="auto"/>
                <w:w w:val="4294942296"/>
              </w:rPr>
              <w:t>​</w:t>
            </w:r>
          </w:p>
        </w:tc>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this offering</w:t>
            </w:r>
          </w:p>
        </w:tc>
        <w:tc>
          <w:tcPr>
            <w:tcW w:w="1040" w:type="dxa"/>
            <w:vAlign w:val="bottom"/>
            <w:gridSpan w:val="5"/>
            <w:shd w:val="clear" w:color="auto" w:fill="CCEEFF"/>
          </w:tcPr>
          <w:p>
            <w:pPr>
              <w:ind w:left="40"/>
              <w:spacing w:after="0" w:line="21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u w:val="single" w:color="auto"/>
                <w:color w:val="auto"/>
                <w:vertAlign w:val="superscript"/>
              </w:rPr>
              <w:t>$</w:t>
            </w:r>
            <w:r>
              <w:rPr>
                <w:rFonts w:ascii="Times New Roman" w:cs="Times New Roman" w:eastAsia="Times New Roman" w:hAnsi="Times New Roman"/>
                <w:sz w:val="24"/>
                <w:szCs w:val="24"/>
                <w:color w:val="auto"/>
                <w:vertAlign w:val="superscript"/>
              </w:rPr>
              <w:t>3.48</w:t>
            </w:r>
            <w:r>
              <w:rPr>
                <w:rFonts w:ascii="Times New Roman" w:cs="Times New Roman" w:eastAsia="Times New Roman" w:hAnsi="Times New Roman"/>
                <w:sz w:val="13"/>
                <w:szCs w:val="13"/>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36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color w:val="auto"/>
              </w:rPr>
              <w:t>As adjusted net tangible book value per share as of March 31, 2026 after this offering</w:t>
            </w: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10.12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100" w:type="dxa"/>
            <w:vAlign w:val="bottom"/>
            <w:gridSpan w:val="2"/>
          </w:tcPr>
          <w:p>
            <w:pPr>
              <w:jc w:val="right"/>
              <w:ind w:right="22"/>
              <w:spacing w:after="0" w:line="53" w:lineRule="exact"/>
              <w:rPr>
                <w:sz w:val="20"/>
                <w:szCs w:val="20"/>
                <w:color w:val="auto"/>
              </w:rPr>
            </w:pPr>
            <w:r>
              <w:rPr>
                <w:rFonts w:ascii="Times New Roman" w:cs="Times New Roman" w:eastAsia="Times New Roman" w:hAnsi="Times New Roman"/>
                <w:sz w:val="6"/>
                <w:szCs w:val="6"/>
                <w:color w:val="auto"/>
              </w:rPr>
              <w:t>​</w:t>
            </w:r>
          </w:p>
        </w:tc>
        <w:tc>
          <w:tcPr>
            <w:tcW w:w="526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60" w:type="dxa"/>
            <w:vAlign w:val="bottom"/>
            <w:gridSpan w:val="3"/>
          </w:tcPr>
          <w:p>
            <w:pPr>
              <w:jc w:val="right"/>
              <w:ind w:right="360"/>
              <w:spacing w:after="0" w:line="53" w:lineRule="exact"/>
              <w:rPr>
                <w:sz w:val="20"/>
                <w:szCs w:val="20"/>
                <w:color w:val="auto"/>
              </w:rPr>
            </w:pPr>
            <w:r>
              <w:rPr>
                <w:rFonts w:ascii="Times New Roman" w:cs="Times New Roman" w:eastAsia="Times New Roman" w:hAnsi="Times New Roman"/>
                <w:sz w:val="6"/>
                <w:szCs w:val="6"/>
                <w:color w:val="auto"/>
              </w:rPr>
              <w:t>​​ ​​</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Dilution per share to new investors participating in this offering</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19.38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
                <w:szCs w:val="1"/>
                <w:color w:val="auto"/>
                <w:w w:val="4294942296"/>
              </w:rPr>
              <w:t>​</w:t>
            </w:r>
          </w:p>
        </w:tc>
        <w:tc>
          <w:tcPr>
            <w:tcW w:w="526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2"/>
                <w:szCs w:val="2"/>
                <w:b w:val="1"/>
                <w:bCs w:val="1"/>
                <w:color w:val="auto"/>
              </w:rPr>
              <w:t>​</w:t>
            </w:r>
            <w:r>
              <w:rPr>
                <w:rFonts w:ascii="Times New Roman" w:cs="Times New Roman" w:eastAsia="Times New Roman" w:hAnsi="Times New Roman"/>
                <w:sz w:val="2"/>
                <w:szCs w:val="2"/>
                <w:color w:val="auto"/>
              </w:rPr>
              <w:t>​ ​​</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-166370</wp:posOffset>
            </wp:positionV>
            <wp:extent cx="381190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811905" cy="6985"/>
                    </a:xfrm>
                    <a:prstGeom prst="rect">
                      <a:avLst/>
                    </a:prstGeom>
                    <a:noFill/>
                  </pic:spPr>
                </pic:pic>
              </a:graphicData>
            </a:graphic>
          </wp:anchor>
        </w:drawing>
      </w:r>
    </w:p>
    <w:p>
      <w:pPr>
        <w:spacing w:after="0" w:line="144"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The table above assumes for illustrative purposes that an aggregate of 8,474,576 shares of our common stock are sold pursuant to this offering at a price of $29.50 per share, the last reported sale price of our common stock on Nasdaq on May 8, 2026, for aggregate gross proceeds of $250,000,000. The shares are being sold from time to time at various prices pursuant to the sales agreement with Jefferies. A $1.00 increase in the assumed offering price of $29.50 per share shown in the table above, assuming all of our common stock in the aggregate amount of $250,000,000 during the term of the sales agreement with Jefferies is sold at that price, would increase our adjusted net tangible book value per share after the offering to $10.17 per share and increase the dilution per share to purchasers by approximately $20.33, after deducting commissions and estimated offering expenses payable by us. A $1.00 decrease in the assumed offering price of $29.50 per share shown in the table above, assuming all of our common stock in the aggregate amount of $250,000,000 during the term of the sales agreement with Jefferies is sold at that price, would decrease our adjusted net tangible book value per share after the offering to $10.07 per share and would decrease dilution per share to purchasers by approximately $18.43, after deducting commissions and estimated offering expenses payable by us. This information is supplied for illustrative purposes only and will adjust based on the actual public offering price and other terms of this offering determined at pricing.</w:t>
      </w:r>
    </w:p>
    <w:p>
      <w:pPr>
        <w:spacing w:after="0" w:line="93"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For purposes of calculating as adjusted net tangible book value, the above table is based on 45,308,941 shares of our common stock issued and outstanding as of March 31, 2026. The number of shares outstanding as of March 31, 2026 excludes:</w:t>
      </w:r>
    </w:p>
    <w:p>
      <w:pPr>
        <w:spacing w:after="0" w:line="51" w:lineRule="exact"/>
        <w:rPr>
          <w:sz w:val="20"/>
          <w:szCs w:val="20"/>
          <w:color w:val="auto"/>
        </w:rPr>
      </w:pPr>
    </w:p>
    <w:p>
      <w:pPr>
        <w:ind w:left="1720" w:right="1499" w:hanging="131"/>
        <w:spacing w:after="0" w:line="26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7,220,584 shares of common stock issuable upon the exercise of outstanding stock options as of March 31, 2026, issued under our 2021 Plan or our 2024 Plan, having a weighted-average exercise price of $18.48 per share;</w:t>
      </w:r>
    </w:p>
    <w:p>
      <w:pPr>
        <w:spacing w:after="0" w:line="61" w:lineRule="exact"/>
        <w:rPr>
          <w:rFonts w:ascii="Times New Roman" w:cs="Times New Roman" w:eastAsia="Times New Roman" w:hAnsi="Times New Roman"/>
          <w:sz w:val="14"/>
          <w:szCs w:val="14"/>
          <w:color w:val="auto"/>
        </w:rPr>
      </w:pPr>
    </w:p>
    <w:p>
      <w:pPr>
        <w:ind w:left="1720" w:right="1339" w:hanging="131"/>
        <w:spacing w:after="0" w:line="261"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2,704,257 shares of common stock reserved for issuance pursuant to future awards under our 2024 Plan, as well as automatic increases in the number of shares of common stock reserved for future issuance under the 2024 Plan, plus any shares underlying outstanding stock awards granted under our 2021 Plan that expire or are repurchased, forfeited, cancelled or withheld;</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35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963,469 shares of common stock issuable upon the exercise of pre-funded warrants outstanding as of March 31, 2026; and</w:t>
      </w:r>
    </w:p>
    <w:p>
      <w:pPr>
        <w:spacing w:after="0" w:line="40"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1,250,764 shares of common stock issued and sold after March 31, 2026, pursuant to the Initial ATM and our sales agreement with Jefferies.</w:t>
      </w:r>
    </w:p>
    <w:p>
      <w:pPr>
        <w:spacing w:after="0" w:line="72"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To the extent that outstanding options are exercised,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5" w:lineRule="exact"/>
        <w:rPr>
          <w:sz w:val="20"/>
          <w:szCs w:val="20"/>
          <w:color w:val="auto"/>
        </w:rPr>
      </w:pPr>
    </w:p>
    <w:p>
      <w:pPr>
        <w:ind w:left="1300" w:right="1459" w:firstLine="280"/>
        <w:spacing w:after="0" w:line="261" w:lineRule="auto"/>
        <w:rPr>
          <w:sz w:val="20"/>
          <w:szCs w:val="20"/>
          <w:color w:val="auto"/>
        </w:rPr>
      </w:pPr>
      <w:r>
        <w:rPr>
          <w:rFonts w:ascii="Times New Roman" w:cs="Times New Roman" w:eastAsia="Times New Roman" w:hAnsi="Times New Roman"/>
          <w:sz w:val="14"/>
          <w:szCs w:val="14"/>
          <w:color w:val="auto"/>
        </w:rPr>
        <w:t>Our authorized capital stock consists of 200,000,000 shares of common stock, par value $0.0001 per share, and 10,000,000 shares of preferred stock, par value $0.0001 per share, all of which is undesignated. As of March 31, 2026, there were 45,308,941 shares of our common stock issued and outstanding. As of March 31, 2026, we had approximately 59 record holders of our capital stock.</w:t>
      </w:r>
    </w:p>
    <w:p>
      <w:pPr>
        <w:spacing w:after="0" w:line="88"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supplement is a part.</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Common Stock</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25"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We are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 Except as described under the “— Certain Provisions of Delaware Law and of Our Amended and Restated Certificate of Incorporation and Amended and Restated Bylaws” section below, a majority vote of the holders of common stock is generally required to take action under our amended and restated certificate of incorporation and amended and restated bylaws.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Stock Exchange Listing</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common stock is listed for quotation on Nasdaq under the symbol “AVBP.”</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Preferred Stock</w:t>
      </w:r>
    </w:p>
    <w:p>
      <w:pPr>
        <w:spacing w:after="0" w:line="123" w:lineRule="exact"/>
        <w:rPr>
          <w:sz w:val="20"/>
          <w:szCs w:val="20"/>
          <w:color w:val="auto"/>
        </w:rPr>
      </w:pPr>
    </w:p>
    <w:p>
      <w:pPr>
        <w:ind w:left="1300" w:right="1359" w:firstLine="280"/>
        <w:spacing w:after="0" w:line="253" w:lineRule="auto"/>
        <w:rPr>
          <w:sz w:val="20"/>
          <w:szCs w:val="20"/>
          <w:color w:val="auto"/>
        </w:rPr>
      </w:pPr>
      <w:r>
        <w:rPr>
          <w:rFonts w:ascii="Times New Roman" w:cs="Times New Roman" w:eastAsia="Times New Roman" w:hAnsi="Times New Roman"/>
          <w:sz w:val="14"/>
          <w:szCs w:val="14"/>
          <w:color w:val="auto"/>
        </w:rPr>
        <w:t>As of March 31, 2026, there were no shares of preferred stock outstanding. Our board of directors is authorized, without action by our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 the “— Certain Provisions of Delaware Law and of Our Amended and Restated Certificate of Incorporation and Amended and Restated Bylaws” section of this prospectus supplement.</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PROVISIONS OF DELAWARE LAW AND OF OUR AMENDED AND RESTATED</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CERTIFICATE OF INCORPORATION AND AMENDED AND RESTATED BYLAWS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Anti-Takeover Provisions</w:t>
      </w:r>
    </w:p>
    <w:p>
      <w:pPr>
        <w:spacing w:after="0" w:line="125"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Some provisions of Delaware law, our amended and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254"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Board Composition and Filling Vacancies</w:t>
      </w:r>
    </w:p>
    <w:p>
      <w:pPr>
        <w:spacing w:after="0" w:line="114"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In accordance with our amended and restated certificate of incorporation, our board of directors is divided into three classes serving three-year terms, with one class being elected each year. Our amended and restated certificate of incorporation also provides that directors may be removed only for cause and then only by the affirmative vote of the holders of seventy-five percent of the shares then entitled to vote at an election of directors. Furthermore, any vacancy on our board of directors, however occurring, including a vacancy resulting from an increase in the size of our board of directors, will only be able to be filled by the affirmative vote of a majority of our directors then in office, even if less than a quorum.</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No Written Consent of Stockholders</w:t>
      </w:r>
    </w:p>
    <w:p>
      <w:pPr>
        <w:spacing w:after="0" w:line="114" w:lineRule="exact"/>
        <w:rPr>
          <w:sz w:val="20"/>
          <w:szCs w:val="20"/>
          <w:color w:val="auto"/>
        </w:rPr>
      </w:pPr>
    </w:p>
    <w:p>
      <w:pPr>
        <w:jc w:val="both"/>
        <w:ind w:left="1300" w:right="1359" w:firstLine="280"/>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Meetings of Stockholders</w:t>
      </w:r>
    </w:p>
    <w:p>
      <w:pPr>
        <w:spacing w:after="0" w:line="125"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Advance Notice Requirements</w:t>
      </w:r>
    </w:p>
    <w:p>
      <w:pPr>
        <w:spacing w:after="0" w:line="125"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w:t>
      </w:r>
    </w:p>
    <w:p>
      <w:pPr>
        <w:spacing w:after="0" w:line="88"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Amendment to Bylaws and Certificate of Incorporation</w:t>
      </w:r>
    </w:p>
    <w:p>
      <w:pPr>
        <w:spacing w:after="0" w:line="125"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amended and restated bylaws and amended and restated certificate of incorporation must be approved by not less than seventy-five percent of the outstanding shares entitled to vote on the amendment, and not less than seventy-five percent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seventy- five percent of the outstanding shares entitled to vote on the amendment, or, if the board of directors recommends that the stockholders approve the amendment, by the affirmative vote of the majority of the outstanding shares entitled to vote on the amendment.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Blank Check Preferred Stock</w:t>
      </w:r>
    </w:p>
    <w:p>
      <w:pPr>
        <w:spacing w:after="0" w:line="125" w:lineRule="exact"/>
        <w:rPr>
          <w:sz w:val="20"/>
          <w:szCs w:val="20"/>
          <w:color w:val="auto"/>
        </w:rPr>
      </w:pPr>
    </w:p>
    <w:p>
      <w:pPr>
        <w:ind w:left="1300" w:right="1379" w:firstLine="280"/>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10,000,000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Section 203 of the Delaware General Corporation Law</w:t>
      </w:r>
    </w:p>
    <w:p>
      <w:pPr>
        <w:spacing w:after="0" w:line="114"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93" w:lineRule="exact"/>
        <w:rPr>
          <w:sz w:val="20"/>
          <w:szCs w:val="20"/>
          <w:color w:val="auto"/>
        </w:rPr>
      </w:pPr>
    </w:p>
    <w:p>
      <w:pPr>
        <w:ind w:left="1300" w:right="1659" w:firstLine="280"/>
        <w:spacing w:after="0" w:line="283" w:lineRule="auto"/>
        <w:rPr>
          <w:sz w:val="20"/>
          <w:szCs w:val="20"/>
          <w:color w:val="auto"/>
        </w:rPr>
      </w:pPr>
      <w:r>
        <w:rPr>
          <w:rFonts w:ascii="Times New Roman" w:cs="Times New Roman" w:eastAsia="Times New Roman" w:hAnsi="Times New Roman"/>
          <w:sz w:val="14"/>
          <w:szCs w:val="14"/>
          <w:color w:val="auto"/>
        </w:rPr>
        <w:t>Under Section 203, a business combination between a corporation and an interested stockholder is prohibited unless it satisfies one of the following conditions:</w:t>
      </w:r>
    </w:p>
    <w:p>
      <w:pPr>
        <w:spacing w:after="0" w:line="41" w:lineRule="exact"/>
        <w:rPr>
          <w:sz w:val="20"/>
          <w:szCs w:val="20"/>
          <w:color w:val="auto"/>
        </w:rPr>
      </w:pPr>
    </w:p>
    <w:p>
      <w:pPr>
        <w:ind w:left="1720" w:right="1479" w:hanging="131"/>
        <w:spacing w:after="0" w:line="283"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the board of directors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60"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27"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the board of directors of the corporation and authorized at an annual or special meeting of the</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439"/>
        <w:spacing w:after="0" w:line="283" w:lineRule="auto"/>
        <w:rPr>
          <w:sz w:val="20"/>
          <w:szCs w:val="20"/>
          <w:color w:val="auto"/>
        </w:rPr>
      </w:pPr>
      <w:r>
        <w:rPr>
          <w:rFonts w:ascii="Times New Roman" w:cs="Times New Roman" w:eastAsia="Times New Roman" w:hAnsi="Times New Roman"/>
          <w:sz w:val="14"/>
          <w:szCs w:val="14"/>
          <w:color w:val="auto"/>
        </w:rPr>
        <w:t>stockholders by the affirmative vote of at least two-thirds of the outstanding voting stock that is not owned by the interested stockholder.</w:t>
      </w:r>
    </w:p>
    <w:p>
      <w:pPr>
        <w:spacing w:after="0" w:line="72" w:lineRule="exact"/>
        <w:rPr>
          <w:sz w:val="20"/>
          <w:szCs w:val="20"/>
          <w:color w:val="auto"/>
        </w:rPr>
      </w:pPr>
    </w:p>
    <w:p>
      <w:pPr>
        <w:ind w:left="1300" w:right="1459" w:firstLine="280"/>
        <w:spacing w:after="0" w:line="258" w:lineRule="auto"/>
        <w:rPr>
          <w:sz w:val="20"/>
          <w:szCs w:val="20"/>
          <w:color w:val="auto"/>
        </w:rPr>
      </w:pPr>
      <w:r>
        <w:rPr>
          <w:rFonts w:ascii="Times New Roman" w:cs="Times New Roman" w:eastAsia="Times New Roman" w:hAnsi="Times New Roman"/>
          <w:sz w:val="14"/>
          <w:szCs w:val="14"/>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Exclusive Jurisdiction of Certain Actions</w:t>
      </w:r>
    </w:p>
    <w:p>
      <w:pPr>
        <w:spacing w:after="0" w:line="125" w:lineRule="exact"/>
        <w:rPr>
          <w:sz w:val="20"/>
          <w:szCs w:val="20"/>
          <w:color w:val="auto"/>
        </w:rPr>
      </w:pPr>
    </w:p>
    <w:p>
      <w:pPr>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or other state courts of the State of Delaware) will be the sole and exclusive forum for any state law claim for: (1) any derivative action or proceeding brought on our behalf; (2) any action or proceeding asserting a claim of breach of a fiduciary duty or other wrongdoing by any of our directors, officers, employees or agents to us or our stockholders; (3) any action or proceeding asserting a claim against us arising pursuant to any provision of the Delaware General Corporation Law or our certificate of incorporation or bylaws (in each case, as they may be amended from time to time);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or (6) any action asserting a claim against us or any of our directors, officers or employees that is governed by the internal affairs doctrine. The choice of forum provision does not apply to any actions arising under the Exchange Act. Our amended and restated certificate of incorporation further provides that, unless we consent in writing to an alternative forum, the United States District Court for the District of Pennsylvania will be the exclusive forum for resolving any complaint asserting a cause of action arising under the Securities Act. We have chosen the United States District Court for the District of Pennsylvania as the exclusive forum for such Securities Act causes of action because our principal executive offices are located in Newtown Square, Pennsylvania. In addition, our amended and restated certificate of incorporation provides that any person or entity purchasing or otherwise acquiring any interest in shares of our common stock is deemed to have notice of and consented to the foregoing provisions.</w:t>
      </w:r>
    </w:p>
    <w:p>
      <w:pPr>
        <w:spacing w:after="0" w:line="256" w:lineRule="exact"/>
        <w:rPr>
          <w:sz w:val="20"/>
          <w:szCs w:val="20"/>
          <w:color w:val="auto"/>
        </w:rPr>
      </w:pPr>
    </w:p>
    <w:p>
      <w:pPr>
        <w:ind w:left="1300" w:right="1359" w:firstLine="280"/>
        <w:spacing w:after="0" w:line="255" w:lineRule="auto"/>
        <w:rPr>
          <w:sz w:val="20"/>
          <w:szCs w:val="20"/>
          <w:color w:val="auto"/>
        </w:rPr>
      </w:pPr>
      <w:r>
        <w:rPr>
          <w:rFonts w:ascii="Times New Roman" w:cs="Times New Roman" w:eastAsia="Times New Roman" w:hAnsi="Times New Roman"/>
          <w:sz w:val="14"/>
          <w:szCs w:val="14"/>
          <w:color w:val="auto"/>
        </w:rPr>
        <w:t>The choice of forum provisions may limit a stockholder’s ability to bring a claim in a judicial forum that it finds favorable for disputes with us or any of our current or former director, officer, other employee, agent, or stockholder to the Company, which may discourage such claims against us or any of our current or former director, officer, other employee, agent, or stockholder to the Company and result in increased costs for investors to bring a claim.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Limitation of Liability and Indemnification</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no director or officer of our company shall be personally liable to us or our stockholders for monetary damages for any breach of fiduciary duty as a director or officer, except for liability (1) for any breach of the director’s or officer’s duty of loyalty to us or our stockholders, (2) for acts or omissions not in good faith or which involve intentional misconduct or a knowing violation of law, (3) with respect to a director, under Section 174 of the Delaware General Corporation Law, and with respect to an officer, from any action by or in the right of the Registrant, or (4) for any transaction from which a director or an officer derived an improper personal benefit. In addition, our amended and restated certificate of incorporation provides that if the Delaware General Corporation Law is amended to authorize the further elimination or limitation of the liability of directors of officers, then the liability of a director or officer of our company shall be eliminated or limited to the fullest extent permitted by the Delaware General Corporation Law, as so amended.</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39" w:firstLine="280"/>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91"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Our amended and restated bylaws,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VII, Section 2 of our amended and restated bylaws further provides for the advancement of expenses to each of our directors and, in the discretion of the board of directors, to certain officers and employees.</w:t>
      </w:r>
    </w:p>
    <w:p>
      <w:pPr>
        <w:spacing w:after="0" w:line="271"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In addition, our amended and restated bylaws provide that the right of each of our directors and officers to indemnification and advancement of expenses shall be a contract right and shall not be exclusive of any other right now possessed or hereafter acquired under any statute, provision of our amended and restated certificate of incorporation or our amended and restated bylaws, agreement, vote of stockholders or otherwise. Furthermore, Article VII, Section 5 of our amended and restated bylaws authorizes us to provide insurance for our directors, officers and employees, against any liability, whether or not we would have the power to indemnify such person against such liability under the Delaware General Corporation Law or the provisions of Article VII, Section 1 of our amended and restated bylaws.</w:t>
      </w:r>
    </w:p>
    <w:p>
      <w:pPr>
        <w:spacing w:after="0" w:line="82" w:lineRule="exact"/>
        <w:rPr>
          <w:sz w:val="20"/>
          <w:szCs w:val="20"/>
          <w:color w:val="auto"/>
        </w:rPr>
      </w:pPr>
    </w:p>
    <w:p>
      <w:pPr>
        <w:ind w:left="1300" w:right="1339" w:firstLine="280"/>
        <w:spacing w:after="0" w:line="264"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our executive officers. These agreements provide that we will indemnify each of our directors and such officers to the fullest extent permitted by law and our amended and restated certificate of incorporation and our amended and restated bylaws.</w:t>
      </w:r>
    </w:p>
    <w:p>
      <w:pPr>
        <w:spacing w:after="0" w:line="257" w:lineRule="exact"/>
        <w:rPr>
          <w:sz w:val="20"/>
          <w:szCs w:val="20"/>
          <w:color w:val="auto"/>
        </w:rPr>
      </w:pPr>
    </w:p>
    <w:p>
      <w:pPr>
        <w:jc w:val="both"/>
        <w:ind w:left="1300" w:right="1499" w:firstLine="280"/>
        <w:spacing w:after="0" w:line="267" w:lineRule="auto"/>
        <w:rPr>
          <w:sz w:val="20"/>
          <w:szCs w:val="20"/>
          <w:color w:val="auto"/>
        </w:rPr>
      </w:pPr>
      <w:r>
        <w:rPr>
          <w:rFonts w:ascii="Times New Roman" w:cs="Times New Roman" w:eastAsia="Times New Roman" w:hAnsi="Times New Roman"/>
          <w:sz w:val="14"/>
          <w:szCs w:val="14"/>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83"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The foregoing discussion of our amended and restated certificate of incorporation and our amended and restated bylaws, indemnification agreements and Delaware law is not intended to be exhaustive and is qualified in its entirety by such amended and restated certificate of incorporation, our amended and restated bylaws, indemnification agreements or law.</w:t>
      </w:r>
    </w:p>
    <w:p>
      <w:pPr>
        <w:spacing w:after="0" w:line="78"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have entered into a sales agreement with Jefferies, under which we may offer and sell up to</w:t>
      </w:r>
    </w:p>
    <w:p>
      <w:pPr>
        <w:spacing w:after="0" w:line="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$250,000,000 of our shares of common stock from time to time through Jefferies acting as agent. Sales of</w:t>
      </w:r>
    </w:p>
    <w:p>
      <w:pPr>
        <w:ind w:left="1300"/>
        <w:spacing w:after="0" w:line="235" w:lineRule="auto"/>
        <w:rPr>
          <w:sz w:val="20"/>
          <w:szCs w:val="20"/>
          <w:color w:val="auto"/>
        </w:rPr>
      </w:pPr>
      <w:r>
        <w:rPr>
          <w:rFonts w:ascii="Times New Roman" w:cs="Times New Roman" w:eastAsia="Times New Roman" w:hAnsi="Times New Roman"/>
          <w:sz w:val="14"/>
          <w:szCs w:val="14"/>
          <w:color w:val="auto"/>
        </w:rPr>
        <w:t>our shares of common stock, if any, under this prospectus will be made by any method that is deemed to be</w:t>
      </w:r>
    </w:p>
    <w:p>
      <w:pPr>
        <w:ind w:left="1300"/>
        <w:spacing w:after="0"/>
        <w:rPr>
          <w:sz w:val="20"/>
          <w:szCs w:val="20"/>
          <w:color w:val="auto"/>
        </w:rPr>
      </w:pPr>
      <w:r>
        <w:rPr>
          <w:rFonts w:ascii="Times New Roman" w:cs="Times New Roman" w:eastAsia="Times New Roman" w:hAnsi="Times New Roman"/>
          <w:sz w:val="14"/>
          <w:szCs w:val="14"/>
          <w:color w:val="auto"/>
        </w:rPr>
        <w:t>an “at the market” offering as defined in Rule 415(a)(4) under the Securities Act.</w:t>
      </w:r>
    </w:p>
    <w:p>
      <w:pPr>
        <w:spacing w:after="0" w:line="75" w:lineRule="exact"/>
        <w:rPr>
          <w:sz w:val="20"/>
          <w:szCs w:val="20"/>
          <w:color w:val="auto"/>
        </w:rPr>
      </w:pPr>
    </w:p>
    <w:p>
      <w:pPr>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221" w:lineRule="exact"/>
        <w:rPr>
          <w:sz w:val="20"/>
          <w:szCs w:val="20"/>
          <w:color w:val="auto"/>
        </w:rPr>
      </w:pPr>
    </w:p>
    <w:p>
      <w:pPr>
        <w:ind w:left="1300" w:right="1399" w:firstLine="280"/>
        <w:spacing w:after="0" w:line="251" w:lineRule="auto"/>
        <w:rPr>
          <w:sz w:val="20"/>
          <w:szCs w:val="20"/>
          <w:color w:val="auto"/>
        </w:rPr>
      </w:pPr>
      <w:r>
        <w:rPr>
          <w:rFonts w:ascii="Times New Roman" w:cs="Times New Roman" w:eastAsia="Times New Roman" w:hAnsi="Times New Roman"/>
          <w:sz w:val="14"/>
          <w:szCs w:val="14"/>
          <w:color w:val="auto"/>
        </w:rPr>
        <w:t>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52"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We will pay Jefferies a commission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filing of this prospectus supplement, in an amount not to exceed $40,000, in addition to certain ongoing disbursements of its legal counsel. We estimate that the total expenses for the offering, excluding any commissions or expense reimbursement payable to Jefferies under the terms of the sales agreement, will be approximately $150,000. The remaining sale proceeds, after deducting any other transaction fees, will equal our net proceeds from the sale of such shares.</w:t>
      </w:r>
    </w:p>
    <w:p>
      <w:pPr>
        <w:spacing w:after="0" w:line="56" w:lineRule="exact"/>
        <w:rPr>
          <w:sz w:val="20"/>
          <w:szCs w:val="20"/>
          <w:color w:val="auto"/>
        </w:rPr>
      </w:pPr>
    </w:p>
    <w:p>
      <w:pPr>
        <w:ind w:left="1300" w:right="1439" w:firstLine="280"/>
        <w:spacing w:after="0" w:line="251" w:lineRule="auto"/>
        <w:rPr>
          <w:sz w:val="20"/>
          <w:szCs w:val="20"/>
          <w:color w:val="auto"/>
        </w:rPr>
      </w:pPr>
      <w:r>
        <w:rPr>
          <w:rFonts w:ascii="Times New Roman" w:cs="Times New Roman" w:eastAsia="Times New Roman" w:hAnsi="Times New Roman"/>
          <w:sz w:val="14"/>
          <w:szCs w:val="14"/>
          <w:color w:val="auto"/>
        </w:rPr>
        <w:t>Jefferies will provide written confirmation to us before the open on The Nasdaq Global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52" w:lineRule="exact"/>
        <w:rPr>
          <w:sz w:val="20"/>
          <w:szCs w:val="20"/>
          <w:color w:val="auto"/>
        </w:rPr>
      </w:pPr>
    </w:p>
    <w:p>
      <w:pPr>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65" w:lineRule="exact"/>
        <w:rPr>
          <w:sz w:val="20"/>
          <w:szCs w:val="20"/>
          <w:color w:val="auto"/>
        </w:rPr>
      </w:pPr>
    </w:p>
    <w:p>
      <w:pPr>
        <w:ind w:left="1300" w:right="1359" w:firstLine="280"/>
        <w:spacing w:after="0" w:line="251" w:lineRule="auto"/>
        <w:rPr>
          <w:sz w:val="20"/>
          <w:szCs w:val="20"/>
          <w:color w:val="auto"/>
        </w:rPr>
      </w:pPr>
      <w:r>
        <w:rPr>
          <w:rFonts w:ascii="Times New Roman" w:cs="Times New Roman" w:eastAsia="Times New Roman" w:hAnsi="Times New Roman"/>
          <w:sz w:val="14"/>
          <w:szCs w:val="14"/>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62" w:lineRule="exact"/>
        <w:rPr>
          <w:sz w:val="20"/>
          <w:szCs w:val="20"/>
          <w:color w:val="auto"/>
        </w:rPr>
      </w:pPr>
    </w:p>
    <w:p>
      <w:pPr>
        <w:ind w:left="1300" w:right="1399" w:firstLine="280"/>
        <w:spacing w:after="0" w:line="259" w:lineRule="auto"/>
        <w:rPr>
          <w:sz w:val="20"/>
          <w:szCs w:val="20"/>
          <w:color w:val="auto"/>
        </w:rPr>
      </w:pPr>
      <w:r>
        <w:rPr>
          <w:rFonts w:ascii="Times New Roman" w:cs="Times New Roman" w:eastAsia="Times New Roman" w:hAnsi="Times New Roman"/>
          <w:sz w:val="14"/>
          <w:szCs w:val="14"/>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68"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76" w:lineRule="exact"/>
        <w:rPr>
          <w:sz w:val="20"/>
          <w:szCs w:val="20"/>
          <w:color w:val="auto"/>
        </w:rPr>
      </w:pPr>
    </w:p>
    <w:p>
      <w:pPr>
        <w:ind w:left="1300" w:right="1459" w:firstLine="280"/>
        <w:spacing w:after="0" w:line="251" w:lineRule="auto"/>
        <w:rPr>
          <w:sz w:val="20"/>
          <w:szCs w:val="20"/>
          <w:color w:val="auto"/>
        </w:rPr>
      </w:pPr>
      <w:r>
        <w:rPr>
          <w:rFonts w:ascii="Times New Roman" w:cs="Times New Roman" w:eastAsia="Times New Roman" w:hAnsi="Times New Roman"/>
          <w:sz w:val="14"/>
          <w:szCs w:val="14"/>
          <w:color w:val="auto"/>
        </w:rPr>
        <w:t>A prospectus supplement and the accompanying base prospectus in electronic format may be made available on a website maintained by Jefferies, and Jefferies may distribute the prospectus supplement and the accompanying base prospectus electronically.</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419" w:firstLine="280"/>
        <w:spacing w:after="0" w:line="259" w:lineRule="auto"/>
        <w:rPr>
          <w:sz w:val="20"/>
          <w:szCs w:val="20"/>
          <w:color w:val="auto"/>
        </w:rPr>
      </w:pPr>
      <w:r>
        <w:rPr>
          <w:rFonts w:ascii="Times New Roman" w:cs="Times New Roman" w:eastAsia="Times New Roman" w:hAnsi="Times New Roman"/>
          <w:sz w:val="14"/>
          <w:szCs w:val="14"/>
          <w:color w:val="auto"/>
        </w:rPr>
        <w:t>Mintz, Levin, Cohn, Ferris, Glovsky and Popeo, P.C., Boston, Massachusetts, will pass upon certain legal matters relating to this offering. Latham &amp; Watkins LLP, New York, New York is acting as counsel to the sales agent in connection with this offering.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59" w:firstLine="280"/>
        <w:spacing w:after="0" w:line="247"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as of December 31, 2025 and for the year ended December 31, 2025 </w:t>
      </w:r>
      <w:hyperlink r:id="rId27">
        <w:r>
          <w:rPr>
            <w:rFonts w:ascii="Times New Roman" w:cs="Times New Roman" w:eastAsia="Times New Roman" w:hAnsi="Times New Roman"/>
            <w:sz w:val="14"/>
            <w:szCs w:val="14"/>
            <w:color w:val="auto"/>
          </w:rPr>
          <w:t xml:space="preserve">incorporated in this Prospectus by reference to the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EE"/>
          </w:rPr>
          <w:t>December 31,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have been so incorporated in reliance on the report of PricewaterhouseCoopers </w:t>
        </w:r>
      </w:hyperlink>
      <w:r>
        <w:rPr>
          <w:rFonts w:ascii="Times New Roman" w:cs="Times New Roman" w:eastAsia="Times New Roman" w:hAnsi="Times New Roman"/>
          <w:sz w:val="14"/>
          <w:szCs w:val="14"/>
          <w:color w:val="0000EE"/>
        </w:rPr>
        <w:t xml:space="preserve">LLP, </w:t>
      </w:r>
      <w:r>
        <w:rPr>
          <w:rFonts w:ascii="Times New Roman" w:cs="Times New Roman" w:eastAsia="Times New Roman" w:hAnsi="Times New Roman"/>
          <w:sz w:val="14"/>
          <w:szCs w:val="14"/>
          <w:color w:val="000000"/>
        </w:rPr>
        <w:t>an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independent registered public accounting firm, given on the authority of said firm as experts in auditing and accounting.</w:t>
      </w:r>
    </w:p>
    <w:p>
      <w:pPr>
        <w:spacing w:after="0" w:line="252" w:lineRule="exact"/>
        <w:rPr>
          <w:sz w:val="20"/>
          <w:szCs w:val="20"/>
          <w:color w:val="auto"/>
        </w:rPr>
      </w:pPr>
    </w:p>
    <w:p>
      <w:pPr>
        <w:ind w:left="1300" w:right="1399" w:firstLine="280"/>
        <w:spacing w:after="0" w:line="251" w:lineRule="auto"/>
        <w:rPr>
          <w:sz w:val="20"/>
          <w:szCs w:val="20"/>
          <w:color w:val="auto"/>
        </w:rPr>
      </w:pPr>
      <w:r>
        <w:rPr>
          <w:rFonts w:ascii="Times New Roman" w:cs="Times New Roman" w:eastAsia="Times New Roman" w:hAnsi="Times New Roman"/>
          <w:sz w:val="14"/>
          <w:szCs w:val="14"/>
          <w:color w:val="auto"/>
        </w:rPr>
        <w:t>The financial statements of ArriVent BioPharma, Inc. as of December 31, 2024, and for the year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INFORMATION BY REFERENCE</w:t>
      </w:r>
    </w:p>
    <w:p>
      <w:pPr>
        <w:spacing w:after="0" w:line="125" w:lineRule="exact"/>
        <w:rPr>
          <w:sz w:val="20"/>
          <w:szCs w:val="20"/>
          <w:color w:val="auto"/>
        </w:rPr>
      </w:pPr>
    </w:p>
    <w:p>
      <w:pPr>
        <w:ind w:left="1300" w:right="1359" w:firstLine="280"/>
        <w:spacing w:after="0" w:line="24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information that we file later with the SEC will automatically update and supersede this information. We filed a registration statement on Form S-3 under the Securities Act with the SEC with respect to the securities we may offer pursuant to this prospectus supplement. This prospectus supplement omits certain information contained in the registration statement, as permitted by the SEC. You should refer to the registration statement, including the exhibits, for further information about us and the securities we may offer pursuant to this prospectus supplement. Statements in this prospectus supplement regarding the provisions of certain documents filed with, or incorporated by reference in, the registration statement are not necessarily complete, and each statement is qualified in all respects by that reference.</w:t>
      </w:r>
    </w:p>
    <w:p>
      <w:pPr>
        <w:spacing w:after="0" w:line="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Copies of all or any part of the registration statement, including the documents incorporated by</w:t>
      </w:r>
    </w:p>
    <w:p>
      <w:pPr>
        <w:spacing w:after="0" w:line="13" w:lineRule="exact"/>
        <w:rPr>
          <w:sz w:val="20"/>
          <w:szCs w:val="20"/>
          <w:color w:val="auto"/>
        </w:rPr>
      </w:pPr>
    </w:p>
    <w:p>
      <w:pPr>
        <w:ind w:left="1300" w:right="1359"/>
        <w:spacing w:after="0" w:line="249" w:lineRule="auto"/>
        <w:rPr>
          <w:sz w:val="20"/>
          <w:szCs w:val="20"/>
          <w:color w:val="auto"/>
        </w:rPr>
      </w:pPr>
      <w:r>
        <w:rPr>
          <w:rFonts w:ascii="Times New Roman" w:cs="Times New Roman" w:eastAsia="Times New Roman" w:hAnsi="Times New Roman"/>
          <w:sz w:val="14"/>
          <w:szCs w:val="14"/>
          <w:color w:val="auto"/>
        </w:rPr>
        <w:t>reference or the exhibits, may be obtained upon payment of the prescribed rates at the offices of the SEC listed above in “Where You Can Find More Information.” The documents we are incorporating by reference are:</w:t>
      </w:r>
    </w:p>
    <w:p>
      <w:pPr>
        <w:spacing w:after="0" w:line="218" w:lineRule="exact"/>
        <w:rPr>
          <w:sz w:val="20"/>
          <w:szCs w:val="20"/>
          <w:color w:val="auto"/>
        </w:rPr>
      </w:pPr>
    </w:p>
    <w:p>
      <w:pPr>
        <w:ind w:left="1720" w:right="1339" w:hanging="131"/>
        <w:spacing w:after="0" w:line="283" w:lineRule="auto"/>
        <w:tabs>
          <w:tab w:leader="none" w:pos="1720" w:val="left"/>
        </w:tabs>
        <w:numPr>
          <w:ilvl w:val="0"/>
          <w:numId w:val="7"/>
        </w:numPr>
        <w:rPr>
          <w:rFonts w:ascii="Times New Roman" w:cs="Times New Roman" w:eastAsia="Times New Roman" w:hAnsi="Times New Roman"/>
          <w:sz w:val="14"/>
          <w:szCs w:val="14"/>
          <w:u w:val="single" w:color="auto"/>
          <w:color w:val="0000EE"/>
        </w:rPr>
      </w:pPr>
      <w:hyperlink r:id="rId27">
        <w:r>
          <w:rPr>
            <w:rFonts w:ascii="Times New Roman" w:cs="Times New Roman" w:eastAsia="Times New Roman" w:hAnsi="Times New Roman"/>
            <w:sz w:val="14"/>
            <w:szCs w:val="14"/>
            <w:u w:val="single" w:color="auto"/>
            <w:color w:val="0000EE"/>
          </w:rPr>
          <w:t>our Annual Report on Form 10-K for the fiscal year ended December 31, 2025, that we filed with the</w:t>
        </w:r>
      </w:hyperlink>
      <w:r>
        <w:rPr>
          <w:rFonts w:ascii="Times New Roman" w:cs="Times New Roman" w:eastAsia="Times New Roman" w:hAnsi="Times New Roman"/>
          <w:sz w:val="14"/>
          <w:szCs w:val="14"/>
          <w:u w:val="single" w:color="auto"/>
          <w:color w:val="0000EE"/>
        </w:rPr>
        <w:t xml:space="preserve"> </w:t>
      </w:r>
      <w:hyperlink r:id="rId27">
        <w:r>
          <w:rPr>
            <w:rFonts w:ascii="Times New Roman" w:cs="Times New Roman" w:eastAsia="Times New Roman" w:hAnsi="Times New Roman"/>
            <w:sz w:val="14"/>
            <w:szCs w:val="14"/>
            <w:u w:val="single" w:color="auto"/>
            <w:color w:val="0000EE"/>
          </w:rPr>
          <w:t>SEC on March 5, 2026;</w:t>
        </w:r>
      </w:hyperlink>
    </w:p>
    <w:p>
      <w:pPr>
        <w:spacing w:after="0" w:line="40" w:lineRule="exact"/>
        <w:rPr>
          <w:rFonts w:ascii="Times New Roman" w:cs="Times New Roman" w:eastAsia="Times New Roman" w:hAnsi="Times New Roman"/>
          <w:sz w:val="14"/>
          <w:szCs w:val="14"/>
          <w:u w:val="single" w:color="auto"/>
          <w:color w:val="0000EE"/>
        </w:rPr>
      </w:pPr>
    </w:p>
    <w:p>
      <w:pPr>
        <w:ind w:left="1720" w:right="1319" w:hanging="131"/>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 ended </w:t>
      </w:r>
      <w:hyperlink r:id="rId45">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 that we filed with the SEC on May 11, 2026;</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that we filed with the SEC on </w:t>
      </w:r>
      <w:hyperlink r:id="rId46">
        <w:r>
          <w:rPr>
            <w:rFonts w:ascii="Times New Roman" w:cs="Times New Roman" w:eastAsia="Times New Roman" w:hAnsi="Times New Roman"/>
            <w:sz w:val="14"/>
            <w:szCs w:val="14"/>
            <w:u w:val="single" w:color="auto"/>
            <w:color w:val="0000EE"/>
          </w:rPr>
          <w:t>March 17,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(Item 8.01 only);</w:t>
      </w:r>
    </w:p>
    <w:p>
      <w:pPr>
        <w:spacing w:after="0" w:line="80" w:lineRule="exact"/>
        <w:rPr>
          <w:rFonts w:ascii="Times New Roman" w:cs="Times New Roman" w:eastAsia="Times New Roman" w:hAnsi="Times New Roman"/>
          <w:sz w:val="14"/>
          <w:szCs w:val="14"/>
          <w:color w:val="auto"/>
        </w:rPr>
      </w:pPr>
    </w:p>
    <w:p>
      <w:pPr>
        <w:jc w:val="both"/>
        <w:ind w:left="1720" w:right="1399" w:hanging="131"/>
        <w:spacing w:after="0" w:line="267" w:lineRule="auto"/>
        <w:tabs>
          <w:tab w:leader="none" w:pos="1720" w:val="left"/>
        </w:tabs>
        <w:numPr>
          <w:ilvl w:val="0"/>
          <w:numId w:val="7"/>
        </w:numPr>
        <w:rPr>
          <w:rFonts w:ascii="Times New Roman" w:cs="Times New Roman" w:eastAsia="Times New Roman" w:hAnsi="Times New Roman"/>
          <w:sz w:val="14"/>
          <w:szCs w:val="14"/>
          <w:color w:val="0000EE"/>
        </w:rPr>
      </w:pPr>
      <w:hyperlink r:id="rId47">
        <w:r>
          <w:rPr>
            <w:rFonts w:ascii="Times New Roman" w:cs="Times New Roman" w:eastAsia="Times New Roman" w:hAnsi="Times New Roman"/>
            <w:sz w:val="14"/>
            <w:szCs w:val="14"/>
            <w:color w:val="auto"/>
          </w:rPr>
          <w:t xml:space="preserve">the description of our common stock included in our registration statement on </w:t>
        </w:r>
        <w:r>
          <w:rPr>
            <w:rFonts w:ascii="Times New Roman" w:cs="Times New Roman" w:eastAsia="Times New Roman" w:hAnsi="Times New Roman"/>
            <w:sz w:val="14"/>
            <w:szCs w:val="14"/>
            <w:u w:val="single" w:color="auto"/>
            <w:color w:val="0000EE"/>
          </w:rPr>
          <w:t>Form 8-A12B that we</w:t>
        </w:r>
      </w:hyperlink>
      <w:r>
        <w:rPr>
          <w:rFonts w:ascii="Times New Roman" w:cs="Times New Roman" w:eastAsia="Times New Roman" w:hAnsi="Times New Roman"/>
          <w:sz w:val="14"/>
          <w:szCs w:val="14"/>
          <w:color w:val="auto"/>
        </w:rPr>
        <w:t xml:space="preserve"> </w:t>
      </w:r>
      <w:hyperlink r:id="rId47">
        <w:r>
          <w:rPr>
            <w:rFonts w:ascii="Times New Roman" w:cs="Times New Roman" w:eastAsia="Times New Roman" w:hAnsi="Times New Roman"/>
            <w:sz w:val="14"/>
            <w:szCs w:val="14"/>
            <w:u w:val="single" w:color="auto"/>
            <w:color w:val="0000EE"/>
          </w:rPr>
          <w:t>filed with the SEC on January 23,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as updated or amended in any amendment or report filed for</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such purpose; and</w:t>
      </w:r>
    </w:p>
    <w:p>
      <w:pPr>
        <w:spacing w:after="0" w:line="51" w:lineRule="exact"/>
        <w:rPr>
          <w:rFonts w:ascii="Times New Roman" w:cs="Times New Roman" w:eastAsia="Times New Roman" w:hAnsi="Times New Roman"/>
          <w:sz w:val="14"/>
          <w:szCs w:val="14"/>
          <w:color w:val="0000EE"/>
        </w:rPr>
      </w:pPr>
    </w:p>
    <w:p>
      <w:pPr>
        <w:ind w:left="1720" w:right="1419" w:hanging="131"/>
        <w:spacing w:after="0" w:line="261"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reports and documents (other than information furnished pursuant to Item 2.02 or Item 7.01 of Form 8-K or as otherwise permitted by SEC rules) filed after the date of this prospectus supplement and prior to the termination or completion of the offering hereunder pursuant to Sections 13(a), 13(c), 14 or 15(d) of the Securities Exchange Act of 1934.</w:t>
      </w:r>
    </w:p>
    <w:p>
      <w:pPr>
        <w:spacing w:after="0" w:line="88" w:lineRule="exact"/>
        <w:rPr>
          <w:rFonts w:ascii="Times New Roman" w:cs="Times New Roman" w:eastAsia="Times New Roman" w:hAnsi="Times New Roman"/>
          <w:sz w:val="14"/>
          <w:szCs w:val="14"/>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SEC file number for each of the documents listed above is 001-41929.</w:t>
      </w:r>
    </w:p>
    <w:p>
      <w:pPr>
        <w:spacing w:after="0" w:line="112" w:lineRule="exact"/>
        <w:rPr>
          <w:rFonts w:ascii="Times New Roman" w:cs="Times New Roman" w:eastAsia="Times New Roman" w:hAnsi="Times New Roman"/>
          <w:sz w:val="14"/>
          <w:szCs w:val="14"/>
          <w:color w:val="auto"/>
        </w:rPr>
      </w:pPr>
    </w:p>
    <w:p>
      <w:pPr>
        <w:ind w:left="1300" w:right="1399" w:firstLine="280"/>
        <w:spacing w:after="0" w:line="251" w:lineRule="auto"/>
        <w:rPr>
          <w:sz w:val="20"/>
          <w:szCs w:val="20"/>
          <w:color w:val="auto"/>
        </w:rPr>
      </w:pPr>
      <w:r>
        <w:rPr>
          <w:rFonts w:ascii="Times New Roman" w:cs="Times New Roman" w:eastAsia="Times New Roman" w:hAnsi="Times New Roman"/>
          <w:sz w:val="14"/>
          <w:szCs w:val="14"/>
          <w:color w:val="auto"/>
        </w:rPr>
        <w:t>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w:t>
      </w:r>
    </w:p>
    <w:p>
      <w:pPr>
        <w:spacing w:after="0" w:line="28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99"/>
        <w:spacing w:after="0" w:line="283" w:lineRule="auto"/>
        <w:rPr>
          <w:sz w:val="20"/>
          <w:szCs w:val="20"/>
          <w:color w:val="auto"/>
        </w:rPr>
      </w:pPr>
      <w:r>
        <w:rPr>
          <w:rFonts w:ascii="Times New Roman" w:cs="Times New Roman" w:eastAsia="Times New Roman" w:hAnsi="Times New Roman"/>
          <w:sz w:val="14"/>
          <w:szCs w:val="14"/>
          <w:color w:val="auto"/>
        </w:rPr>
        <w:t>this prospectus supplement modifies or supersedes the statement. Any statement so modified or superseded will not be deemed, except as so modified or superseded, to constitute a part of this prospectus supplement.</w:t>
      </w:r>
    </w:p>
    <w:p>
      <w:pPr>
        <w:spacing w:after="0" w:line="72" w:lineRule="exact"/>
        <w:rPr>
          <w:sz w:val="20"/>
          <w:szCs w:val="20"/>
          <w:color w:val="auto"/>
        </w:rPr>
      </w:pPr>
    </w:p>
    <w:p>
      <w:pPr>
        <w:ind w:left="1300" w:right="1479" w:firstLine="280"/>
        <w:spacing w:after="0" w:line="255" w:lineRule="auto"/>
        <w:rPr>
          <w:sz w:val="20"/>
          <w:szCs w:val="20"/>
          <w:color w:val="auto"/>
        </w:rPr>
      </w:pPr>
      <w:r>
        <w:rPr>
          <w:rFonts w:ascii="Times New Roman" w:cs="Times New Roman" w:eastAsia="Times New Roman" w:hAnsi="Times New Roman"/>
          <w:sz w:val="14"/>
          <w:szCs w:val="14"/>
          <w:color w:val="auto"/>
        </w:rPr>
        <w:t>We will provide, without charge and upon oral or written request, to each person, including any beneficial owner, to whom a copy of this prospectus supplement has been delivered, a copy of any of the documents referred to above as being incorporated by reference into this prospectus supplement but not delivered with it. You may obtain a copy of these filings, at no cost, by writing or calling us at ArriVent BioPharma, Inc., Attn: Investor Relations, 18 Campus Boulevard, Suite 100, Newtown Square, PA 19073,</w:t>
      </w:r>
    </w:p>
    <w:p>
      <w:pPr>
        <w:ind w:left="1300" w:right="1719" w:firstLine="8"/>
        <w:spacing w:after="0" w:line="261" w:lineRule="auto"/>
        <w:tabs>
          <w:tab w:leader="none" w:pos="165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277-4836. Exhibits to the filings will not be provided, however, unless those exhibits have been specifically incorporated by reference in this prospectus supplement.</w:t>
      </w:r>
    </w:p>
    <w:p>
      <w:pPr>
        <w:spacing w:after="0" w:line="87" w:lineRule="exact"/>
        <w:rPr>
          <w:sz w:val="20"/>
          <w:szCs w:val="20"/>
          <w:color w:val="auto"/>
        </w:rPr>
      </w:pPr>
    </w:p>
    <w:p>
      <w:pPr>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supplement and any other prospectus supplement. We have not authorized anyone to provide you with information different from that contained in this prospectus supplement or incorporated by reference in this prospectus supplement.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4" w:lineRule="exact"/>
        <w:rPr>
          <w:sz w:val="20"/>
          <w:szCs w:val="20"/>
          <w:color w:val="auto"/>
        </w:rPr>
      </w:pPr>
    </w:p>
    <w:p>
      <w:pPr>
        <w:ind w:left="1300" w:right="1439" w:firstLine="280"/>
        <w:spacing w:after="0" w:line="267" w:lineRule="auto"/>
        <w:rPr>
          <w:sz w:val="20"/>
          <w:szCs w:val="20"/>
          <w:color w:val="auto"/>
        </w:rPr>
      </w:pPr>
      <w:r>
        <w:rPr>
          <w:rFonts w:ascii="Times New Roman" w:cs="Times New Roman" w:eastAsia="Times New Roman" w:hAnsi="Times New Roman"/>
          <w:sz w:val="14"/>
          <w:szCs w:val="14"/>
          <w:color w:val="auto"/>
        </w:rPr>
        <w:t>We are subject to the information requirements of the Exchange Act, and in accordance therewith, file periodic reports, proxy statements and other information with the SEC. SEC filings are available at the SEC’s web site at https://www.sec.gov.</w:t>
      </w:r>
    </w:p>
    <w:p>
      <w:pPr>
        <w:spacing w:after="0" w:line="83" w:lineRule="exact"/>
        <w:rPr>
          <w:sz w:val="20"/>
          <w:szCs w:val="20"/>
          <w:color w:val="auto"/>
        </w:rPr>
      </w:pPr>
    </w:p>
    <w:p>
      <w:pPr>
        <w:ind w:left="1300" w:right="1359" w:firstLine="280"/>
        <w:spacing w:after="0" w:line="258" w:lineRule="auto"/>
        <w:rPr>
          <w:sz w:val="20"/>
          <w:szCs w:val="20"/>
          <w:color w:val="auto"/>
        </w:rPr>
      </w:pPr>
      <w:r>
        <w:rPr>
          <w:rFonts w:ascii="Times New Roman" w:cs="Times New Roman" w:eastAsia="Times New Roman" w:hAnsi="Times New Roman"/>
          <w:sz w:val="14"/>
          <w:szCs w:val="14"/>
          <w:color w:val="auto"/>
        </w:rPr>
        <w:t>This prospectus supplement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supplement, and you should refer to the applicable exhibit or schedule for a complete description of any statement referring to any contract or other document.</w:t>
      </w:r>
    </w:p>
    <w:p>
      <w:pPr>
        <w:spacing w:after="0" w:line="91" w:lineRule="exact"/>
        <w:rPr>
          <w:sz w:val="20"/>
          <w:szCs w:val="20"/>
          <w:color w:val="auto"/>
        </w:rPr>
      </w:pPr>
    </w:p>
    <w:p>
      <w:pPr>
        <w:ind w:left="1300" w:right="1359" w:firstLine="280"/>
        <w:spacing w:after="0" w:line="283" w:lineRule="auto"/>
        <w:rPr>
          <w:sz w:val="20"/>
          <w:szCs w:val="20"/>
          <w:color w:val="auto"/>
        </w:rPr>
      </w:pPr>
      <w:r>
        <w:rPr>
          <w:rFonts w:ascii="Times New Roman" w:cs="Times New Roman" w:eastAsia="Times New Roman" w:hAnsi="Times New Roman"/>
          <w:sz w:val="14"/>
          <w:szCs w:val="14"/>
          <w:color w:val="auto"/>
        </w:rPr>
        <w:t>We also maintain a website at https://arrivent.com/, through which you can access our SEC filings. The information set forth on our website is not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85090</wp:posOffset>
            </wp:positionV>
            <wp:extent cx="2263140" cy="380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263140" cy="38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59"/>
        <w:spacing w:after="0" w:line="231" w:lineRule="auto"/>
        <w:rPr>
          <w:sz w:val="20"/>
          <w:szCs w:val="20"/>
          <w:color w:val="auto"/>
        </w:rPr>
      </w:pPr>
      <w:r>
        <w:rPr>
          <w:rFonts w:ascii="Times New Roman" w:cs="Times New Roman" w:eastAsia="Times New Roman" w:hAnsi="Times New Roman"/>
          <w:sz w:val="20"/>
          <w:szCs w:val="20"/>
          <w:b w:val="1"/>
          <w:bCs w:val="1"/>
          <w:color w:val="auto"/>
        </w:rPr>
        <w:t>DEBT SECURITIES</w:t>
      </w:r>
    </w:p>
    <w:p>
      <w:pPr>
        <w:jc w:val="center"/>
        <w:ind w:right="59"/>
        <w:spacing w:after="0" w:line="219" w:lineRule="auto"/>
        <w:rPr>
          <w:sz w:val="20"/>
          <w:szCs w:val="20"/>
          <w:color w:val="auto"/>
        </w:rPr>
      </w:pPr>
      <w:r>
        <w:rPr>
          <w:rFonts w:ascii="Times New Roman" w:cs="Times New Roman" w:eastAsia="Times New Roman" w:hAnsi="Times New Roman"/>
          <w:sz w:val="20"/>
          <w:szCs w:val="20"/>
          <w:b w:val="1"/>
          <w:bCs w:val="1"/>
          <w:color w:val="auto"/>
        </w:rPr>
        <w:t>WARRANTS</w:t>
      </w:r>
    </w:p>
    <w:p>
      <w:pPr>
        <w:jc w:val="center"/>
        <w:ind w:right="59"/>
        <w:spacing w:after="0" w:line="231" w:lineRule="auto"/>
        <w:rPr>
          <w:sz w:val="20"/>
          <w:szCs w:val="20"/>
          <w:color w:val="auto"/>
        </w:rPr>
      </w:pPr>
      <w:r>
        <w:rPr>
          <w:rFonts w:ascii="Times New Roman" w:cs="Times New Roman" w:eastAsia="Times New Roman" w:hAnsi="Times New Roman"/>
          <w:sz w:val="20"/>
          <w:szCs w:val="20"/>
          <w:b w:val="1"/>
          <w:bCs w:val="1"/>
          <w:color w:val="auto"/>
        </w:rPr>
        <w:t>RIGHTS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92075</wp:posOffset>
            </wp:positionV>
            <wp:extent cx="80772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807720" cy="6985"/>
                    </a:xfrm>
                    <a:prstGeom prst="rect">
                      <a:avLst/>
                    </a:prstGeom>
                    <a:noFill/>
                  </pic:spPr>
                </pic:pic>
              </a:graphicData>
            </a:graphic>
          </wp:anchor>
        </w:drawing>
      </w:r>
    </w:p>
    <w:p>
      <w:pPr>
        <w:spacing w:after="0" w:line="278"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We may offer and sell securities from time to time in one or more offerings. This prospectus describes the general terms of these securities and the general manner in which these securities will be offered. This prospectus will allow us to issue, from time to time at prices and on terms to be determined at or prior to the time of the offering,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69"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78" w:lineRule="exact"/>
        <w:rPr>
          <w:sz w:val="20"/>
          <w:szCs w:val="20"/>
          <w:color w:val="auto"/>
        </w:rPr>
      </w:pPr>
    </w:p>
    <w:p>
      <w:pPr>
        <w:ind w:left="1300" w:right="1379" w:firstLine="280"/>
        <w:spacing w:after="0" w:line="244" w:lineRule="auto"/>
        <w:rPr>
          <w:sz w:val="20"/>
          <w:szCs w:val="20"/>
          <w:color w:val="auto"/>
        </w:rPr>
      </w:pPr>
      <w:r>
        <w:rPr>
          <w:rFonts w:ascii="Times New Roman" w:cs="Times New Roman" w:eastAsia="Times New Roman" w:hAnsi="Times New Roman"/>
          <w:sz w:val="14"/>
          <w:szCs w:val="14"/>
          <w:color w:val="auto"/>
        </w:rPr>
        <w:t>Our securities may be sold directly by us to you, through agents designated from time to time or to or through underwriters or dealers.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242"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Our common stock is listed on The Nasdaq Global Market (Nasdaq), under the symbol “AVBP.” On January 30, 2025, the last reported sale price of our common stock was $29.09 per share. The applicable prospectus supplement will contain information, where applicable, as to any other listing, if any, on Nasdaq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106680</wp:posOffset>
            </wp:positionV>
            <wp:extent cx="80772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807720" cy="6985"/>
                    </a:xfrm>
                    <a:prstGeom prst="rect">
                      <a:avLst/>
                    </a:prstGeom>
                    <a:noFill/>
                  </pic:spPr>
                </pic:pic>
              </a:graphicData>
            </a:graphic>
          </wp:anchor>
        </w:drawing>
      </w:r>
    </w:p>
    <w:p>
      <w:pPr>
        <w:spacing w:after="0" w:line="300"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a high degree of risk. Before deciding whether to invest in our securities, you should consider carefully the risks that we have described on page </w:t>
      </w:r>
      <w:r>
        <w:rPr>
          <w:rFonts w:ascii="Times New Roman" w:cs="Times New Roman" w:eastAsia="Times New Roman" w:hAnsi="Times New Roman"/>
          <w:sz w:val="14"/>
          <w:szCs w:val="14"/>
          <w:b w:val="1"/>
          <w:bCs w:val="1"/>
          <w:u w:val="single" w:color="auto"/>
          <w:color w:val="0000EE"/>
        </w:rPr>
        <w:t>3</w:t>
      </w:r>
      <w:r>
        <w:rPr>
          <w:rFonts w:ascii="Times New Roman" w:cs="Times New Roman" w:eastAsia="Times New Roman" w:hAnsi="Times New Roman"/>
          <w:sz w:val="14"/>
          <w:szCs w:val="14"/>
          <w:b w:val="1"/>
          <w:bCs w:val="1"/>
          <w:color w:val="auto"/>
        </w:rPr>
        <w:t xml:space="preserve">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65" w:lineRule="exact"/>
        <w:rPr>
          <w:sz w:val="20"/>
          <w:szCs w:val="20"/>
          <w:color w:val="auto"/>
        </w:rPr>
      </w:pPr>
    </w:p>
    <w:p>
      <w:pPr>
        <w:ind w:left="1300" w:right="1499" w:firstLine="280"/>
        <w:spacing w:after="0" w:line="260"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99060</wp:posOffset>
            </wp:positionV>
            <wp:extent cx="80772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807720" cy="6985"/>
                    </a:xfrm>
                    <a:prstGeom prst="rect">
                      <a:avLst/>
                    </a:prstGeom>
                    <a:noFill/>
                  </pic:spPr>
                </pic:pic>
              </a:graphicData>
            </a:graphic>
          </wp:anchor>
        </w:drawing>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-85725</wp:posOffset>
            </wp:positionV>
            <wp:extent cx="4062095" cy="933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PROSPECTUS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-8255</wp:posOffset>
            </wp:positionV>
            <wp:extent cx="4062095" cy="153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SPECIAL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260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4062095" cy="260350"/>
                    </a:xfrm>
                    <a:prstGeom prst="rect">
                      <a:avLst/>
                    </a:prstGeom>
                    <a:noFill/>
                  </pic:spPr>
                </pic:pic>
              </a:graphicData>
            </a:graphic>
          </wp:anchor>
        </w:drawing>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EE"/>
        </w:rPr>
        <w:t>CERTAIN PROVISIONS OF DELAWARE LAW AND OF OUR AMENDED AND RESTATED</w:t>
      </w:r>
    </w:p>
    <w:p>
      <w:pPr>
        <w:spacing w:after="0" w:line="18" w:lineRule="exact"/>
        <w:rPr>
          <w:sz w:val="20"/>
          <w:szCs w:val="20"/>
          <w:color w:val="auto"/>
        </w:rPr>
      </w:pPr>
    </w:p>
    <w:p>
      <w:pPr>
        <w:ind w:left="1440" w:hanging="132"/>
        <w:spacing w:after="0"/>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CERTIFICATE OF INCORPORATION AND AMENDED AND RESTATED BYLAWS</w:t>
      </w:r>
    </w:p>
    <w:p>
      <w:pPr>
        <w:spacing w:after="0" w:line="45"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WARRANTS</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RIGHTS</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UNITS</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9" w:lineRule="exact"/>
        <w:rPr>
          <w:rFonts w:ascii="Times New Roman" w:cs="Times New Roman" w:eastAsia="Times New Roman" w:hAnsi="Times New Roman"/>
          <w:sz w:val="14"/>
          <w:szCs w:val="14"/>
          <w:color w:val="auto"/>
        </w:rPr>
      </w:pPr>
    </w:p>
    <w:p>
      <w:pPr>
        <w:ind w:left="1300" w:right="4500"/>
        <w:spacing w:after="0" w:line="31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 </w:t>
      </w: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4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-1073785</wp:posOffset>
            </wp:positionV>
            <wp:extent cx="4062095" cy="153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4062095" cy="15367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-806450</wp:posOffset>
            </wp:positionV>
            <wp:extent cx="4062095" cy="153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4062095" cy="15367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-539750</wp:posOffset>
            </wp:positionV>
            <wp:extent cx="4062095" cy="153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4062095" cy="15367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-252730</wp:posOffset>
            </wp:positionV>
            <wp:extent cx="4062095" cy="133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4062095" cy="13335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-5715</wp:posOffset>
            </wp:positionV>
            <wp:extent cx="21755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1755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ectPr>
          <w:pgSz w:w="11900" w:h="16838" w:orient="portrait"/>
          <w:cols w:equalWidth="0" w:num="2">
            <w:col w:w="6980" w:space="440"/>
            <w:col w:w="1599"/>
          </w:cols>
          <w:pgMar w:left="1440" w:top="107"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 Securities and Exchange Commission (the SEC), as a “well-known seasoned issuer” as defined in Rule 405 under the Securities Act of 1933, as amended (the Securities Act), utilizing an automatic “shelf” registration process. Under this shelf registration process, we may from time to time offer shares of our common stock and preferred stock, various series of debt securities and/or warrants or rights to purchase any of such securities described in this prospectus, either individually or in units, in one or more offerings, at prices and on terms to be set forth in one or more supplements to this prospectus at the time of an offering. This prospectus provides you with a general description of the securities we may offer. Each time we offer a type or series of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w:t>
      </w:r>
    </w:p>
    <w:p>
      <w:pPr>
        <w:spacing w:after="0" w:line="92" w:lineRule="exact"/>
        <w:rPr>
          <w:sz w:val="20"/>
          <w:szCs w:val="20"/>
          <w:color w:val="auto"/>
        </w:rPr>
      </w:pPr>
    </w:p>
    <w:p>
      <w:pPr>
        <w:ind w:left="1300" w:right="1359" w:firstLine="280"/>
        <w:spacing w:after="0" w:line="253" w:lineRule="auto"/>
        <w:rPr>
          <w:sz w:val="20"/>
          <w:szCs w:val="20"/>
          <w:color w:val="auto"/>
        </w:rPr>
      </w:pPr>
      <w:r>
        <w:rPr>
          <w:rFonts w:ascii="Times New Roman" w:cs="Times New Roman" w:eastAsia="Times New Roman" w:hAnsi="Times New Roman"/>
          <w:sz w:val="14"/>
          <w:szCs w:val="14"/>
          <w:color w:val="auto"/>
        </w:rPr>
        <w:t>This prospectus does not contain all of the information included in the registration statement. For a more complete understanding of the offering of the securities, you should refer to the registration statement, including its exhibits and the prospectus supplement, as applicable. The prospectus supplement or any applicable free writing prospectus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any applicable free writing prospectuses and the documents incorporated by reference into this prospectus, includes all material information relating to the offering of securities under this prospectus. You should carefully read this prospectus, the applicable prospectus supplement, any applicable free writing prospectus, the information and documents incorporated herein by reference and the additional information under the headings “Where You Can Find More Information” and “Incorporation of Documents by Reference” before making an investment decision.</w:t>
      </w:r>
    </w:p>
    <w:p>
      <w:pPr>
        <w:spacing w:after="0" w:line="87" w:lineRule="exact"/>
        <w:rPr>
          <w:sz w:val="20"/>
          <w:szCs w:val="20"/>
          <w:color w:val="auto"/>
        </w:rPr>
      </w:pPr>
    </w:p>
    <w:p>
      <w:pPr>
        <w:ind w:left="1300" w:right="1359" w:firstLine="280"/>
        <w:spacing w:after="0" w:line="253" w:lineRule="auto"/>
        <w:rPr>
          <w:sz w:val="20"/>
          <w:szCs w:val="20"/>
          <w:color w:val="auto"/>
        </w:rPr>
      </w:pPr>
      <w:r>
        <w:rPr>
          <w:rFonts w:ascii="Times New Roman" w:cs="Times New Roman" w:eastAsia="Times New Roman" w:hAnsi="Times New Roman"/>
          <w:sz w:val="14"/>
          <w:szCs w:val="14"/>
          <w:color w:val="auto"/>
        </w:rPr>
        <w:t>You should rely only on the information provided or incorporated by reference in this prospectus, any prospectus supplement or any free writing prospectuses prepared by or on our behalf or to which we have referred you.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any prospectus supplement or any applicable free writing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any prospectus supplement or any applicable free writing prospectus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98"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or any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91" w:lineRule="exact"/>
        <w:rPr>
          <w:sz w:val="20"/>
          <w:szCs w:val="20"/>
          <w:color w:val="auto"/>
        </w:rPr>
      </w:pPr>
    </w:p>
    <w:p>
      <w:pPr>
        <w:ind w:left="1300" w:right="1519" w:firstLine="280"/>
        <w:spacing w:after="0" w:line="264" w:lineRule="auto"/>
        <w:rPr>
          <w:sz w:val="20"/>
          <w:szCs w:val="20"/>
          <w:color w:val="auto"/>
        </w:rPr>
      </w:pPr>
      <w:r>
        <w:rPr>
          <w:rFonts w:ascii="Times New Roman" w:cs="Times New Roman" w:eastAsia="Times New Roman" w:hAnsi="Times New Roman"/>
          <w:sz w:val="14"/>
          <w:szCs w:val="14"/>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247" w:lineRule="exact"/>
        <w:rPr>
          <w:sz w:val="20"/>
          <w:szCs w:val="20"/>
          <w:color w:val="auto"/>
        </w:rPr>
      </w:pPr>
    </w:p>
    <w:p>
      <w:pPr>
        <w:ind w:left="1300" w:right="1359" w:firstLine="280"/>
        <w:spacing w:after="0" w:line="283" w:lineRule="auto"/>
        <w:rPr>
          <w:sz w:val="20"/>
          <w:szCs w:val="20"/>
          <w:color w:val="auto"/>
        </w:rPr>
      </w:pPr>
      <w:r>
        <w:rPr>
          <w:rFonts w:ascii="Times New Roman" w:cs="Times New Roman" w:eastAsia="Times New Roman" w:hAnsi="Times New Roman"/>
          <w:sz w:val="14"/>
          <w:szCs w:val="14"/>
          <w:color w:val="auto"/>
        </w:rPr>
        <w:t>Unless the context otherwise requires, “ArriVent,” “the Company,” “we,” “us,” “our” and similar terms refer to ArriVent BioPharma, Inc. and its subsidiaries.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354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4291330" cy="635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23" w:lineRule="exact"/>
        <w:rPr>
          <w:sz w:val="20"/>
          <w:szCs w:val="20"/>
          <w:color w:val="auto"/>
        </w:rPr>
      </w:pPr>
    </w:p>
    <w:p>
      <w:pPr>
        <w:ind w:left="1320" w:right="1319" w:firstLine="280"/>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is a summary of what we believe to be the most important aspects of our business and the offering of our securities under this prospectus. We urge you to read this entire prospectus, including the more detailed financial statements, notes to the financial statements and other information incorporated by reference from our other filings with the SEC or included in any applicable prospectus supplement. Investing in our securities involves risks. Therefore, carefully consider the risk factors set forth in this prospectus,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3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4" w:lineRule="exact"/>
        <w:rPr>
          <w:sz w:val="20"/>
          <w:szCs w:val="20"/>
          <w:color w:val="auto"/>
        </w:rPr>
      </w:pPr>
    </w:p>
    <w:p>
      <w:pPr>
        <w:ind w:left="1320" w:right="1319" w:firstLine="280"/>
        <w:spacing w:after="0" w:line="263" w:lineRule="auto"/>
        <w:rPr>
          <w:sz w:val="20"/>
          <w:szCs w:val="20"/>
          <w:color w:val="auto"/>
        </w:rPr>
      </w:pPr>
      <w:r>
        <w:rPr>
          <w:rFonts w:ascii="Times New Roman" w:cs="Times New Roman" w:eastAsia="Times New Roman" w:hAnsi="Times New Roman"/>
          <w:sz w:val="14"/>
          <w:szCs w:val="14"/>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United States Food and Drug Administration (FDA) in October 2023, and Orphan Drug Designation for treatment of NSCLC with EGFRm or human epidermal growth factor receptor 2 mutations or human epidermal growth factor receptor 4 mutations in</w:t>
      </w:r>
    </w:p>
    <w:p>
      <w:pPr>
        <w:ind w:left="1320"/>
        <w:spacing w:after="0"/>
        <w:rPr>
          <w:sz w:val="20"/>
          <w:szCs w:val="20"/>
          <w:color w:val="auto"/>
        </w:rPr>
      </w:pPr>
      <w:r>
        <w:rPr>
          <w:rFonts w:ascii="Times New Roman" w:cs="Times New Roman" w:eastAsia="Times New Roman" w:hAnsi="Times New Roman"/>
          <w:sz w:val="14"/>
          <w:szCs w:val="14"/>
          <w:color w:val="auto"/>
        </w:rPr>
        <w:t>February 2024.</w:t>
      </w:r>
    </w:p>
    <w:p>
      <w:pPr>
        <w:spacing w:after="0" w:line="119" w:lineRule="exact"/>
        <w:rPr>
          <w:sz w:val="20"/>
          <w:szCs w:val="20"/>
          <w:color w:val="auto"/>
        </w:rPr>
      </w:pPr>
    </w:p>
    <w:p>
      <w:pPr>
        <w:ind w:left="1320" w:right="1339" w:firstLine="280"/>
        <w:spacing w:after="0" w:line="262" w:lineRule="auto"/>
        <w:rPr>
          <w:sz w:val="20"/>
          <w:szCs w:val="20"/>
          <w:color w:val="auto"/>
        </w:rPr>
      </w:pPr>
      <w:r>
        <w:rPr>
          <w:rFonts w:ascii="Times New Roman" w:cs="Times New Roman" w:eastAsia="Times New Roman" w:hAnsi="Times New Roman"/>
          <w:sz w:val="14"/>
          <w:szCs w:val="14"/>
          <w:color w:val="auto"/>
        </w:rPr>
        <w:t>In 2021, we licensed from Shanghai Allist Pharmaceuticals Co. Ltd. (Allist) the right to develop and commercialize firmonertinib worldwide, with the exception of greater China, which includes mainland China, Hong Kong, Macau and Taiwan. Firmonertinib is an investigational, novel, EGFRm-selective tyrosine kinase inhibitor (TKI) that we are developing for the treatment of NSCLC patients across a broader set of EGFRm than are currently served by approved EGFR TKIs. Firmonertinib is currently only approved and commercially distributed by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In a subsequent interim data readout from the FAVOUR trial of firmonertinib in first-line patients with locally advanced or metastatic EGFRm NSCLC with exon 20 insertion mutations, 79% of patients (n=22 out of 28 patients) were observed to experience a reduction in tumor size of at least 30%. If the future clinical trial results of the FAVOUR trial are unfavorable, our clinical development plans for firmonertinib, which include conducting our global, pivotal Phase 3 FURVENT clinical trial in first-line non-squamous locally advanced or metastatic EGFRm NSCLC patients with exon 20 insertion mutations, may be adversely affected. In a separate Phase 1b interim readout from our FURTHER clinical trial evaluating first-line treatment with EGFR PACC mutations we reported in September 2024, 64% of patients (n=14 out of 22 patients) were observed to experience a reduction in tumor size of at least 30%.</w:t>
      </w:r>
    </w:p>
    <w:p>
      <w:pPr>
        <w:spacing w:after="0" w:line="3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14" w:lineRule="exact"/>
        <w:rPr>
          <w:sz w:val="20"/>
          <w:szCs w:val="20"/>
          <w:color w:val="auto"/>
        </w:rPr>
      </w:pPr>
    </w:p>
    <w:p>
      <w:pPr>
        <w:ind w:left="1320" w:right="2019" w:firstLine="280"/>
        <w:spacing w:after="0" w:line="261"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For additional information related to our business and operations, please refer to the reports </w:t>
      </w:r>
      <w:hyperlink r:id="rId67">
        <w:r>
          <w:rPr>
            <w:rFonts w:ascii="Times New Roman" w:cs="Times New Roman" w:eastAsia="Times New Roman" w:hAnsi="Times New Roman"/>
            <w:sz w:val="14"/>
            <w:szCs w:val="14"/>
            <w:color w:val="auto"/>
          </w:rPr>
          <w:t xml:space="preserve">incorporated herein by reference, including our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67">
        <w:r>
          <w:rPr>
            <w:rFonts w:ascii="Times New Roman" w:cs="Times New Roman" w:eastAsia="Times New Roman" w:hAnsi="Times New Roman"/>
            <w:sz w:val="14"/>
            <w:szCs w:val="14"/>
            <w:u w:val="single" w:color="auto"/>
            <w:color w:val="0000EE"/>
          </w:rPr>
          <w:t>December 31, 2023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subsequent reports filed with the SEC, as described under the caption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“Incorporation of Documents by Reference” on page </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000000"/>
        </w:rPr>
        <w:t xml:space="preserve"> of this prospectus.</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125" w:lineRule="exact"/>
        <w:rPr>
          <w:sz w:val="20"/>
          <w:szCs w:val="20"/>
          <w:color w:val="auto"/>
        </w:rPr>
      </w:pPr>
    </w:p>
    <w:p>
      <w:pPr>
        <w:ind w:left="1320" w:right="1399" w:firstLine="280"/>
        <w:spacing w:after="0" w:line="257"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April 14, 2021. Our principal executive offices are located at 18 Campus Boulevard, Suite 100, Newtown Square, PA 19073, and our telephone number is (628) 277-4836. Our website address is https://arrivent.com/.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stock.</w:t>
      </w:r>
    </w:p>
    <w:p>
      <w:pPr>
        <w:spacing w:after="0" w:line="90" w:lineRule="exact"/>
        <w:rPr>
          <w:sz w:val="20"/>
          <w:szCs w:val="20"/>
          <w:color w:val="auto"/>
        </w:rPr>
      </w:pPr>
    </w:p>
    <w:p>
      <w:pPr>
        <w:ind w:left="1320" w:right="1499" w:firstLine="280"/>
        <w:spacing w:after="0" w:line="258"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all amendments to those reports filed or furnished pursuant to Section 13(a) or 15(d) of the Securities Exchange Act of 1934, as amended (the Exchange Act), are available free of charge through the investor relations page of our internet website as soon as reasonably practicable after we electronically file such material with, or furnish it to, the SEC.</w:t>
      </w:r>
    </w:p>
    <w:p>
      <w:pPr>
        <w:spacing w:after="0" w:line="81" w:lineRule="exact"/>
        <w:rPr>
          <w:sz w:val="20"/>
          <w:szCs w:val="20"/>
          <w:color w:val="auto"/>
        </w:rPr>
      </w:pPr>
    </w:p>
    <w:p>
      <w:pPr>
        <w:ind w:left="1320" w:right="1399" w:firstLine="280"/>
        <w:spacing w:after="0" w:line="267" w:lineRule="auto"/>
        <w:rPr>
          <w:sz w:val="20"/>
          <w:szCs w:val="20"/>
          <w:color w:val="auto"/>
        </w:rPr>
      </w:pPr>
      <w:r>
        <w:rPr>
          <w:rFonts w:ascii="Times New Roman" w:cs="Times New Roman" w:eastAsia="Times New Roman" w:hAnsi="Times New Roman"/>
          <w:sz w:val="14"/>
          <w:szCs w:val="14"/>
          <w:color w:val="auto"/>
        </w:rPr>
        <w:t>All trademarks appearing in this prospectus are the property of their respective holders. Use or display by us of other parties’ trademarks, or products in this prospectus is not intended to, and does not, imply a relationship with, or endorsements or sponsorship of, us by the trademark.</w:t>
      </w:r>
    </w:p>
    <w:p>
      <w:pPr>
        <w:spacing w:after="0" w:line="81" w:lineRule="exact"/>
        <w:rPr>
          <w:sz w:val="20"/>
          <w:szCs w:val="20"/>
          <w:color w:val="auto"/>
        </w:rPr>
      </w:pPr>
    </w:p>
    <w:p>
      <w:pPr>
        <w:ind w:left="1320" w:right="1679" w:firstLine="280"/>
        <w:spacing w:after="0" w:line="286"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359" w:firstLine="280"/>
        <w:spacing w:after="0" w:line="253" w:lineRule="auto"/>
        <w:rPr>
          <w:sz w:val="20"/>
          <w:szCs w:val="20"/>
          <w:color w:val="auto"/>
        </w:rPr>
      </w:pPr>
      <w:r>
        <w:rPr>
          <w:rFonts w:ascii="Times New Roman" w:cs="Times New Roman" w:eastAsia="Times New Roman" w:hAnsi="Times New Roman"/>
          <w:sz w:val="14"/>
          <w:szCs w:val="14"/>
          <w:color w:val="auto"/>
        </w:rPr>
        <w:t>Investing in our securities involves significant risk. The prospectus supplement applicable to each offering of our securities will contain a discussion of the risks applicable to an investment in ArriVent BioPharma, Inc.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subsequent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25" w:lineRule="exact"/>
        <w:rPr>
          <w:sz w:val="20"/>
          <w:szCs w:val="20"/>
          <w:color w:val="auto"/>
        </w:rPr>
      </w:pPr>
    </w:p>
    <w:p>
      <w:pPr>
        <w:ind w:left="1300" w:right="1339" w:firstLine="280"/>
        <w:spacing w:after="0" w:line="241"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This prospectus and the documents incorporated by reference in this prospectus include forward-looking statements within the meaning of Section 27A of the Securities Act and Section 21E of the Exchange Act that relate to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“anticipate,” “believe,” “contemplate,” “continue,” “could,” “estimate,” “expect,” “intend,” “may,” “plan,” “potential,” “predict,” “project,” “seek,” “should,” “target,” “will,” “would,” or the negative of these words or other comparable terminology, are intended to identify forward- looking statements, although not all forward-looking statements contain these identifying words. Although we believe that we have a reasonable basis for each forward -looking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from those expressed or </w:t>
      </w:r>
      <w:hyperlink r:id="rId67">
        <w:r>
          <w:rPr>
            <w:rFonts w:ascii="Times New Roman" w:cs="Times New Roman" w:eastAsia="Times New Roman" w:hAnsi="Times New Roman"/>
            <w:sz w:val="14"/>
            <w:szCs w:val="14"/>
            <w:color w:val="auto"/>
          </w:rPr>
          <w:t xml:space="preserve">implied by any forward-looking statement. The sections in our periodic reports, including our </w:t>
        </w:r>
        <w:r>
          <w:rPr>
            <w:rFonts w:ascii="Times New Roman" w:cs="Times New Roman" w:eastAsia="Times New Roman" w:hAnsi="Times New Roman"/>
            <w:sz w:val="14"/>
            <w:szCs w:val="14"/>
            <w:u w:val="single" w:color="auto"/>
            <w:color w:val="0000EE"/>
          </w:rPr>
          <w:t>Annual</w:t>
        </w:r>
      </w:hyperlink>
      <w:r>
        <w:rPr>
          <w:rFonts w:ascii="Times New Roman" w:cs="Times New Roman" w:eastAsia="Times New Roman" w:hAnsi="Times New Roman"/>
          <w:sz w:val="14"/>
          <w:szCs w:val="14"/>
          <w:color w:val="auto"/>
        </w:rPr>
        <w:t xml:space="preserve"> </w:t>
      </w:r>
      <w:hyperlink r:id="rId67">
        <w:r>
          <w:rPr>
            <w:rFonts w:ascii="Times New Roman" w:cs="Times New Roman" w:eastAsia="Times New Roman" w:hAnsi="Times New Roman"/>
            <w:sz w:val="14"/>
            <w:szCs w:val="14"/>
            <w:u w:val="single" w:color="auto"/>
            <w:color w:val="0000EE"/>
          </w:rPr>
          <w:t>Report on Form 10-K for the fiscal year ended December 31, 2023</w:t>
        </w:r>
        <w:r>
          <w:rPr>
            <w:rFonts w:ascii="Times New Roman" w:cs="Times New Roman" w:eastAsia="Times New Roman" w:hAnsi="Times New Roman"/>
            <w:sz w:val="14"/>
            <w:szCs w:val="14"/>
            <w:color w:val="000000"/>
          </w:rPr>
          <w:t xml:space="preserve">, entitled “Business,” “Risk Factors,” </w:t>
        </w:r>
      </w:hyperlink>
      <w:r>
        <w:rPr>
          <w:rFonts w:ascii="Times New Roman" w:cs="Times New Roman" w:eastAsia="Times New Roman" w:hAnsi="Times New Roman"/>
          <w:sz w:val="14"/>
          <w:szCs w:val="14"/>
          <w:color w:val="0000EE"/>
        </w:rPr>
        <w:t xml:space="preserve">and </w:t>
      </w:r>
      <w:r>
        <w:rPr>
          <w:rFonts w:ascii="Times New Roman" w:cs="Times New Roman" w:eastAsia="Times New Roman" w:hAnsi="Times New Roman"/>
          <w:sz w:val="14"/>
          <w:szCs w:val="14"/>
          <w:color w:val="000000"/>
        </w:rPr>
        <w:t>“Management’s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228" w:lineRule="exact"/>
        <w:rPr>
          <w:sz w:val="20"/>
          <w:szCs w:val="20"/>
          <w:color w:val="auto"/>
        </w:rPr>
      </w:pPr>
    </w:p>
    <w:p>
      <w:pPr>
        <w:ind w:left="1720" w:right="1519" w:hanging="131"/>
        <w:spacing w:after="0" w:line="276"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progress and results of preclinical studies and clinical trials for firmonertinib or any of our other current or future product candidates, including our product development plans and strategies;</w:t>
      </w:r>
    </w:p>
    <w:p>
      <w:pPr>
        <w:spacing w:after="0" w:line="218"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addressable market, market growth, future revenue, key performance indicators, expenses, capital requirements and our needs for additional financing;</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w:t>
      </w:r>
    </w:p>
    <w:p>
      <w:pPr>
        <w:spacing w:after="0" w:line="80"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continued service of our key professionals and to identify, hire and retain additional qualified professionals;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product candidates into, and successfully complete, clinical trials;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 and approvals;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commercialization of our product candidates, if approved;</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91"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strategic plans for our business, product candidates and technology;</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 and technology;</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91"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capital requirements and needs for additional financing;</w:t>
      </w:r>
    </w:p>
    <w:p>
      <w:pPr>
        <w:spacing w:after="0" w:line="40"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source sufficient clinical product for our clinical trials and, if our product candidates are approved and commercialized, commercial product; and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112" w:lineRule="exact"/>
        <w:rPr>
          <w:sz w:val="20"/>
          <w:szCs w:val="20"/>
          <w:color w:val="auto"/>
        </w:rPr>
      </w:pPr>
    </w:p>
    <w:p>
      <w:pPr>
        <w:ind w:left="1300" w:right="1539" w:firstLine="280"/>
        <w:spacing w:after="0" w:line="283" w:lineRule="auto"/>
        <w:rPr>
          <w:sz w:val="20"/>
          <w:szCs w:val="20"/>
          <w:color w:val="auto"/>
        </w:rPr>
      </w:pPr>
      <w:r>
        <w:rPr>
          <w:rFonts w:ascii="Times New Roman" w:cs="Times New Roman" w:eastAsia="Times New Roman" w:hAnsi="Times New Roman"/>
          <w:sz w:val="14"/>
          <w:szCs w:val="14"/>
          <w:color w:val="auto"/>
        </w:rPr>
        <w:t>We may not actually achieve the plans, intentions or expectations disclosed in our forward-looking statements, and you should not place undue reliance on our forward-looking statements. Actual results or</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spacing w:after="0" w:line="253" w:lineRule="auto"/>
        <w:rPr>
          <w:sz w:val="20"/>
          <w:szCs w:val="20"/>
          <w:color w:val="auto"/>
        </w:rPr>
      </w:pPr>
      <w:r>
        <w:rPr>
          <w:rFonts w:ascii="Times New Roman" w:cs="Times New Roman" w:eastAsia="Times New Roman" w:hAnsi="Times New Roman"/>
          <w:sz w:val="14"/>
          <w:szCs w:val="14"/>
          <w:color w:val="auto"/>
        </w:rPr>
        <w:t>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98" w:lineRule="exact"/>
        <w:rPr>
          <w:sz w:val="20"/>
          <w:szCs w:val="20"/>
          <w:color w:val="auto"/>
        </w:rPr>
      </w:pPr>
    </w:p>
    <w:p>
      <w:pPr>
        <w:ind w:left="1300" w:right="1419" w:firstLine="280"/>
        <w:spacing w:after="0" w:line="255" w:lineRule="auto"/>
        <w:rPr>
          <w:sz w:val="20"/>
          <w:szCs w:val="20"/>
          <w:color w:val="auto"/>
        </w:rPr>
      </w:pPr>
      <w:r>
        <w:rPr>
          <w:rFonts w:ascii="Times New Roman" w:cs="Times New Roman" w:eastAsia="Times New Roman" w:hAnsi="Times New Roman"/>
          <w:sz w:val="14"/>
          <w:szCs w:val="14"/>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except as required by law.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399" w:firstLine="280"/>
        <w:spacing w:after="0" w:line="254"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intend to use any net proceeds from the sale of securities under this prospectus for, together with our existing cash resources, to support our activities for firmonertinib and our other pipeline programs and for working capital and other general corporate purposes.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Additional information on the use of net proceeds from the sale of securities covered by this prospectus may be set forth in the prospectus supplement relating to the specific offering. Pending application of the net proceeds as described above, we may initially invest the net proceeds in short-term, investment-grade, or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3" w:lineRule="exact"/>
        <w:rPr>
          <w:sz w:val="20"/>
          <w:szCs w:val="20"/>
          <w:color w:val="auto"/>
        </w:rPr>
      </w:pPr>
    </w:p>
    <w:p>
      <w:pPr>
        <w:ind w:left="1300" w:right="1439" w:firstLine="280"/>
        <w:spacing w:after="0" w:line="246" w:lineRule="auto"/>
        <w:rPr>
          <w:sz w:val="20"/>
          <w:szCs w:val="20"/>
          <w:color w:val="auto"/>
        </w:rPr>
      </w:pPr>
      <w:r>
        <w:rPr>
          <w:rFonts w:ascii="Times New Roman" w:cs="Times New Roman" w:eastAsia="Times New Roman" w:hAnsi="Times New Roman"/>
          <w:sz w:val="14"/>
          <w:szCs w:val="14"/>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and our amended and restated bylaws, which are exhibits to the registration statement of which this prospectus forms a part, and by applicable law. The terms of our common stock and preferred stock may also be affected by Delaware law.</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Our authorized capital stock consists of 200,000,000 shares of common stock, par value $0.0001 per share, and 10,000,000 shares of preferred stock, par value $ 0.0001 per share, all of which is undesignated. As of September 30, 2024, there were 33,694,355 shares of our common stock issued and outstanding. As of September 30, 2024, we had approximately 59 record holders of our capital stock.</w:t>
      </w:r>
    </w:p>
    <w:p>
      <w:pPr>
        <w:spacing w:after="0" w:line="83" w:lineRule="exact"/>
        <w:rPr>
          <w:sz w:val="20"/>
          <w:szCs w:val="20"/>
          <w:color w:val="auto"/>
        </w:rPr>
      </w:pPr>
    </w:p>
    <w:p>
      <w:pPr>
        <w:ind w:left="1300" w:right="1339" w:firstLine="280"/>
        <w:spacing w:after="0" w:line="260" w:lineRule="auto"/>
        <w:rPr>
          <w:sz w:val="20"/>
          <w:szCs w:val="20"/>
          <w:color w:val="auto"/>
        </w:rPr>
      </w:pPr>
      <w:r>
        <w:rPr>
          <w:rFonts w:ascii="Times New Roman" w:cs="Times New Roman" w:eastAsia="Times New Roman" w:hAnsi="Times New Roman"/>
          <w:sz w:val="14"/>
          <w:szCs w:val="14"/>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is a part.</w:t>
      </w:r>
    </w:p>
    <w:p>
      <w:pPr>
        <w:spacing w:after="0" w:line="3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3"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We are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 Except as described under the “— Certain Provisions of Delaware Law and of Our Amended and Restated Certificate of Incorporation and Amended and Restated Bylaws” section below, a majority vote of the holders of common stock is generally required to take action under our amended and restated certificate of incorporation and amended and restated bylaws.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color w:val="auto"/>
        </w:rPr>
        <w:t>The following description of our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rights, preferences, privileges and restrictions of the preferred stock of each series will be fixed by the certificate of designation relating to that series.</w:t>
      </w:r>
    </w:p>
    <w:p>
      <w:pPr>
        <w:spacing w:after="0" w:line="263"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As of September 30, 2024, there were no shares of preferred stock outstanding. Our board of directors is authorized, without action by our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19"/>
        <w:spacing w:after="0" w:line="248" w:lineRule="auto"/>
        <w:rPr>
          <w:sz w:val="20"/>
          <w:szCs w:val="20"/>
          <w:color w:val="auto"/>
        </w:rPr>
      </w:pPr>
      <w:r>
        <w:rPr>
          <w:rFonts w:ascii="Times New Roman" w:cs="Times New Roman" w:eastAsia="Times New Roman" w:hAnsi="Times New Roman"/>
          <w:sz w:val="14"/>
          <w:szCs w:val="14"/>
          <w:color w:val="auto"/>
        </w:rPr>
        <w:t>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 the “— Certain Provisions of Delaware Law and of Our Amended and Restated Certificate of Incorporation and Amended and Restated Bylaws” section of this prospectus.</w:t>
      </w:r>
    </w:p>
    <w:p>
      <w:pPr>
        <w:spacing w:after="0" w:line="25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board of directors may specify the following characteristics of any preferred stock:</w:t>
      </w:r>
    </w:p>
    <w:p>
      <w:pPr>
        <w:spacing w:after="0" w:line="91" w:lineRule="exact"/>
        <w:rPr>
          <w:sz w:val="20"/>
          <w:szCs w:val="20"/>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shares;</w:t>
      </w:r>
    </w:p>
    <w:p>
      <w:pPr>
        <w:spacing w:after="0" w:line="91"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dividend rate, if any, whether the dividend rate is fixed or variable, the date or dates on which dividends will accrue, the dividend payment dates, and whether dividends will be cumulative;</w:t>
      </w:r>
    </w:p>
    <w:p>
      <w:pPr>
        <w:spacing w:after="0" w:line="30" w:lineRule="exact"/>
        <w:rPr>
          <w:rFonts w:ascii="Times New Roman" w:cs="Times New Roman" w:eastAsia="Times New Roman" w:hAnsi="Times New Roman"/>
          <w:sz w:val="14"/>
          <w:szCs w:val="14"/>
          <w:color w:val="auto"/>
        </w:rPr>
      </w:pPr>
    </w:p>
    <w:p>
      <w:pPr>
        <w:ind w:left="1720" w:right="1459" w:hanging="131"/>
        <w:spacing w:after="0" w:line="267"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and the terms and conditions for redemption, if any, including redemption at our option or at the option of the holders, including the time period for redemption, and any accumulated dividends or premiums;</w:t>
      </w:r>
    </w:p>
    <w:p>
      <w:pPr>
        <w:spacing w:after="0" w:line="51"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if any, and any accumulated dividends upon the liquidation, dissolution or winding up of ArriVent’s affairs;</w:t>
      </w:r>
    </w:p>
    <w:p>
      <w:pPr>
        <w:spacing w:after="0" w:line="40"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similar provision, and, if so, the terms and provisions relating to the purpose and operation of the fund;</w:t>
      </w:r>
    </w:p>
    <w:p>
      <w:pPr>
        <w:spacing w:after="0" w:line="40" w:lineRule="exact"/>
        <w:rPr>
          <w:rFonts w:ascii="Times New Roman" w:cs="Times New Roman" w:eastAsia="Times New Roman" w:hAnsi="Times New Roman"/>
          <w:sz w:val="14"/>
          <w:szCs w:val="14"/>
          <w:color w:val="auto"/>
        </w:rPr>
      </w:pPr>
    </w:p>
    <w:p>
      <w:pPr>
        <w:ind w:left="1720" w:right="1359" w:hanging="131"/>
        <w:spacing w:after="0" w:line="261"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56"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w:t>
      </w:r>
    </w:p>
    <w:p>
      <w:pPr>
        <w:spacing w:after="0" w:line="91"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or all other preferences and relative, participating, optional or other special rights, privileges or qualifications, limitations or restrictions; and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preferred stock issued will be fully paid and nonassessable upon issuance.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Amended and Restated Investors’ Rights Agreement</w:t>
      </w:r>
    </w:p>
    <w:p>
      <w:pPr>
        <w:spacing w:after="0" w:line="93"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In connection with our Series B Preferred Stock financing in December 2022, we entered into an Amended and Restated Investors’ Rights Agreement (the Investors’ Rights Agreement), dated December 16, 2022, with certain holders of more than 5% of our outstanding capital stock, including LAV Fund VI, L.P. (together with its affiliates, LAV Funds), and VSUM VIII Holdings Limited (together with its affiliates, VSUM), as well as OrbiMed Asia Partners IV, L.P. and OrbiMed Private Investments VIII, L.P. (together with its affiliates, OrbiMed) and Sofinnova Venture Partners XI, L.P. (Sofinnova), each of which, besides VSUM and LAV Funds, is affiliated with certain of our directors and officers. Pursuant to the Investors’ Rights Agreement, these stockholders have registration rights with respect to certain issuances of our capital stock. The registration rights include the right to demand that we file a registration statement or request that their shares be covered by a registration statement that we have otherwise filed, subject, in each case, to certain exceptions.</w:t>
      </w:r>
    </w:p>
    <w:p>
      <w:pPr>
        <w:spacing w:after="0" w:line="31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Demand Registration Rights</w:t>
      </w:r>
    </w:p>
    <w:p>
      <w:pPr>
        <w:spacing w:after="0" w:line="93" w:lineRule="exact"/>
        <w:rPr>
          <w:sz w:val="20"/>
          <w:szCs w:val="20"/>
          <w:color w:val="auto"/>
        </w:rPr>
      </w:pPr>
    </w:p>
    <w:p>
      <w:pPr>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The holders of a majority of registrable securities outstanding under the Investors’ Rights Agreement may require us to file a registration statement under the Securities Act on a Form S-1 at our expense, subject to certain exceptions, with an anticipated aggregate offering price, net of the offering expenses, of more than $20.0 million, in which case we will be required to effect the registration as soon as practicable, and in any event within 60 days. We are required to effect only two demand registrations pursuant to this provision of the Investors’ Rights Agreement. Any time after we are eligible to use a registration statement on Form S-3 under the Securities Act, the holders of at least 10% of our registrable securities under the Investors’ Rights Agreement may require us to file a registration statement on Form S-3 at our expense, subject to certain</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19"/>
        <w:spacing w:after="0" w:line="256" w:lineRule="auto"/>
        <w:rPr>
          <w:sz w:val="20"/>
          <w:szCs w:val="20"/>
          <w:color w:val="auto"/>
        </w:rPr>
      </w:pPr>
      <w:r>
        <w:rPr>
          <w:rFonts w:ascii="Times New Roman" w:cs="Times New Roman" w:eastAsia="Times New Roman" w:hAnsi="Times New Roman"/>
          <w:sz w:val="14"/>
          <w:szCs w:val="14"/>
          <w:color w:val="auto"/>
        </w:rPr>
        <w:t>exceptions, with respect to the then outstanding registrable securities of such holders having an anticipated aggregate offering price, net of the offering expenses, of at least $5.0 million, in which case we will be required to effect the registration as soon as practicable, and in any event within 45 days. If we determine that it would be detrimental to us and our stockholders to effect a requested registration, we may postpone each such registration for a period of up to 60 days; provided that we may neither invoke this right more than once in any 12-month period nor effect a registration for our own account or any other stockholder during such 60 day period.</w:t>
      </w:r>
    </w:p>
    <w:p>
      <w:pPr>
        <w:spacing w:after="0" w:line="91" w:lineRule="exact"/>
        <w:rPr>
          <w:sz w:val="20"/>
          <w:szCs w:val="20"/>
          <w:color w:val="auto"/>
        </w:rPr>
      </w:pPr>
    </w:p>
    <w:p>
      <w:pPr>
        <w:ind w:left="1300" w:right="1899" w:firstLine="280"/>
        <w:spacing w:after="0" w:line="283" w:lineRule="auto"/>
        <w:rPr>
          <w:sz w:val="20"/>
          <w:szCs w:val="20"/>
          <w:color w:val="auto"/>
        </w:rPr>
      </w:pPr>
      <w:r>
        <w:rPr>
          <w:rFonts w:ascii="Times New Roman" w:cs="Times New Roman" w:eastAsia="Times New Roman" w:hAnsi="Times New Roman"/>
          <w:sz w:val="14"/>
          <w:szCs w:val="14"/>
          <w:color w:val="auto"/>
        </w:rPr>
        <w:t>The foregoing demand registration rights are subject to a number of additional exceptions and limitations.</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Piggyback Registration Rights</w:t>
      </w:r>
    </w:p>
    <w:p>
      <w:pPr>
        <w:spacing w:after="0" w:line="93"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If we propose to file a registration statement under the Securities Act for the purposes of a public offering of our securities, including, but not limited to, registration statements relating to a secondary offering of our securities but excluding (i) a registration statement relating to the sale or grant of securities to employees pursuant to a stock option, stock purchase, equity incentive or similar plan; (ii) with respect to any corporate reorganization or transaction under Rule 145 of the Securities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the holders of registrable securities are entitled to receive notice of such registration and to request that we include their registrable securities for resale in the registration statement. The underwriters of the offering will have the right to limit the number of shares to be included in such registration.</w:t>
      </w:r>
    </w:p>
    <w:p>
      <w:pPr>
        <w:spacing w:after="0" w:line="92" w:lineRule="exact"/>
        <w:rPr>
          <w:sz w:val="20"/>
          <w:szCs w:val="20"/>
          <w:color w:val="auto"/>
        </w:rPr>
      </w:pPr>
    </w:p>
    <w:p>
      <w:pPr>
        <w:ind w:left="1300" w:right="1759" w:firstLine="280"/>
        <w:spacing w:after="0" w:line="283" w:lineRule="auto"/>
        <w:rPr>
          <w:sz w:val="20"/>
          <w:szCs w:val="20"/>
          <w:color w:val="auto"/>
        </w:rPr>
      </w:pPr>
      <w:r>
        <w:rPr>
          <w:rFonts w:ascii="Times New Roman" w:cs="Times New Roman" w:eastAsia="Times New Roman" w:hAnsi="Times New Roman"/>
          <w:sz w:val="14"/>
          <w:szCs w:val="14"/>
          <w:color w:val="auto"/>
        </w:rPr>
        <w:t>The foregoing piggyback registration rights are subject to a number of additional exceptions and limitations.</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Expenses of Registration</w:t>
      </w:r>
    </w:p>
    <w:p>
      <w:pPr>
        <w:spacing w:after="0" w:line="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will pay all registration expenses along with reasonable fees and disbursements, not to exceed</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$50,000 of one counsel for the selling stockholders selected by the holders of a majority of the registrable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securities to be registered, other than underwriting discounts and commissions, related to any demand or</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piggyback registration.</w:t>
      </w:r>
    </w:p>
    <w:p>
      <w:pPr>
        <w:spacing w:after="0" w:line="15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93" w:lineRule="exact"/>
        <w:rPr>
          <w:sz w:val="20"/>
          <w:szCs w:val="20"/>
          <w:color w:val="auto"/>
        </w:rPr>
      </w:pPr>
    </w:p>
    <w:p>
      <w:pPr>
        <w:ind w:left="1300" w:right="1399" w:firstLine="280"/>
        <w:spacing w:after="0" w:line="261" w:lineRule="auto"/>
        <w:rPr>
          <w:sz w:val="20"/>
          <w:szCs w:val="20"/>
          <w:color w:val="auto"/>
        </w:rPr>
      </w:pPr>
      <w:r>
        <w:rPr>
          <w:rFonts w:ascii="Times New Roman" w:cs="Times New Roman" w:eastAsia="Times New Roman" w:hAnsi="Times New Roman"/>
          <w:sz w:val="14"/>
          <w:szCs w:val="14"/>
          <w:color w:val="auto"/>
        </w:rPr>
        <w:t>The Investors’ Rights Agreement contains customary cross-indemnification provisions pursuant to which we are obligated to indemnify the selling stockholders, in the event of misstatements or omissions in the registration statement attributable to us, and they are obligated to indemnify us for misstatements or omissions attributable to them.</w:t>
      </w:r>
    </w:p>
    <w:p>
      <w:pPr>
        <w:spacing w:after="0" w:line="13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Expiration of Registration Rights</w:t>
      </w:r>
    </w:p>
    <w:p>
      <w:pPr>
        <w:spacing w:after="0" w:line="93" w:lineRule="exact"/>
        <w:rPr>
          <w:sz w:val="20"/>
          <w:szCs w:val="20"/>
          <w:color w:val="auto"/>
        </w:rPr>
      </w:pPr>
    </w:p>
    <w:p>
      <w:pPr>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The registration rights of any holder terminate upon the earliest to occur of (i) the closing of certain liquidation events and (ii) such time after closing of our initial public offering in January 2024 as Rule 144 or another similar exemption under the Securities Act is available for the sale of all such holder’s registrable securities without limitation, during a three-month period without registration.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Nasdaq Listing</w:t>
      </w:r>
    </w:p>
    <w:p>
      <w:pPr>
        <w:spacing w:after="0" w:line="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trading symbol “AVBP.”</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960" w:right="1759" w:hanging="240"/>
        <w:spacing w:after="0" w:line="326" w:lineRule="auto"/>
        <w:rPr>
          <w:sz w:val="20"/>
          <w:szCs w:val="20"/>
          <w:color w:val="auto"/>
        </w:rPr>
      </w:pPr>
      <w:r>
        <w:rPr>
          <w:rFonts w:ascii="Times New Roman" w:cs="Times New Roman" w:eastAsia="Times New Roman" w:hAnsi="Times New Roman"/>
          <w:sz w:val="13"/>
          <w:szCs w:val="13"/>
          <w:b w:val="1"/>
          <w:bCs w:val="1"/>
          <w:color w:val="auto"/>
        </w:rPr>
        <w:t>CERTAIN PROVISIONS OF DELAWARE LAW AND OF OUR AMENDED AND RESTATED CERTIFICATE OF INCORPORATION AND AMENDED AND RESTATED BYLAWS</w:t>
      </w:r>
    </w:p>
    <w:p>
      <w:pPr>
        <w:spacing w:after="0" w:line="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25"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Some provisions of Delaware law, our amended and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254"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Board Composition and Filling Vacancies</w:t>
      </w:r>
    </w:p>
    <w:p>
      <w:pPr>
        <w:spacing w:after="0" w:line="114"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In accordance with our amended and restated certificate of incorporation, our board of directors is divided into three classes serving three-year terms, with one class being elected each year. Our amended and restated certificate of incorporation also provides that directors may be removed only for cause and then only by the affirmative vote of the holders of seventy-five percent of the shares then entitled to vote at an election of directors. Furthermore, any vacancy on our board of directors, however occurring, including a vacancy resulting from an increase in the size of our board of directors, will only be able to be filled by the affirmative vote of a majority of our directors then in office, even if less than a quorum.</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No Written Consent of Stockholders</w:t>
      </w:r>
    </w:p>
    <w:p>
      <w:pPr>
        <w:spacing w:after="0" w:line="114" w:lineRule="exact"/>
        <w:rPr>
          <w:sz w:val="20"/>
          <w:szCs w:val="20"/>
          <w:color w:val="auto"/>
        </w:rPr>
      </w:pPr>
    </w:p>
    <w:p>
      <w:pPr>
        <w:jc w:val="both"/>
        <w:ind w:left="1300" w:right="1359" w:firstLine="280"/>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Meetings of Stockholders</w:t>
      </w:r>
    </w:p>
    <w:p>
      <w:pPr>
        <w:spacing w:after="0" w:line="125"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Advance Notice Requirements</w:t>
      </w:r>
    </w:p>
    <w:p>
      <w:pPr>
        <w:spacing w:after="0" w:line="125"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w:t>
      </w:r>
    </w:p>
    <w:p>
      <w:pPr>
        <w:spacing w:after="0" w:line="88"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Amendment to Bylaws and Certificate of Incorporation</w:t>
      </w:r>
    </w:p>
    <w:p>
      <w:pPr>
        <w:spacing w:after="0" w:line="125"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amended and restated bylaws and amended and restated certificate of incorporation must be approved by not less than seventy-five percent of the outstanding shares entitled to vote on the amendment, and not less than seventy-five percent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seventy- five percent of the outstanding shares entitled to vote on the amendment, or, if the board of directors recommends that the stockholders approve the amendment, by the affirmative vote of the majority of the outstanding shares entitled to vote on the amendment.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Blank Check Preferred Stock</w:t>
      </w:r>
    </w:p>
    <w:p>
      <w:pPr>
        <w:spacing w:after="0" w:line="125" w:lineRule="exact"/>
        <w:rPr>
          <w:sz w:val="20"/>
          <w:szCs w:val="20"/>
          <w:color w:val="auto"/>
        </w:rPr>
      </w:pPr>
    </w:p>
    <w:p>
      <w:pPr>
        <w:ind w:left="1300" w:right="1379" w:firstLine="280"/>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10,000,000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Section 203 of the Delaware General Corporation Law</w:t>
      </w:r>
    </w:p>
    <w:p>
      <w:pPr>
        <w:spacing w:after="0" w:line="114"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93" w:lineRule="exact"/>
        <w:rPr>
          <w:sz w:val="20"/>
          <w:szCs w:val="20"/>
          <w:color w:val="auto"/>
        </w:rPr>
      </w:pPr>
    </w:p>
    <w:p>
      <w:pPr>
        <w:ind w:left="1300" w:right="1659" w:firstLine="280"/>
        <w:spacing w:after="0" w:line="283" w:lineRule="auto"/>
        <w:rPr>
          <w:sz w:val="20"/>
          <w:szCs w:val="20"/>
          <w:color w:val="auto"/>
        </w:rPr>
      </w:pPr>
      <w:r>
        <w:rPr>
          <w:rFonts w:ascii="Times New Roman" w:cs="Times New Roman" w:eastAsia="Times New Roman" w:hAnsi="Times New Roman"/>
          <w:sz w:val="14"/>
          <w:szCs w:val="14"/>
          <w:color w:val="auto"/>
        </w:rPr>
        <w:t>Under Section 203, a business combination between a corporation and an interested stockholder is prohibited unless it satisfies one of the following conditions:</w:t>
      </w:r>
    </w:p>
    <w:p>
      <w:pPr>
        <w:spacing w:after="0" w:line="41" w:lineRule="exact"/>
        <w:rPr>
          <w:sz w:val="20"/>
          <w:szCs w:val="20"/>
          <w:color w:val="auto"/>
        </w:rPr>
      </w:pPr>
    </w:p>
    <w:p>
      <w:pPr>
        <w:ind w:left="1720" w:right="1479" w:hanging="131"/>
        <w:spacing w:after="0" w:line="283"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the board of directors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60"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27"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the board of directors of the corporation and authorized at an annual or special meeting of the</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439"/>
        <w:spacing w:after="0" w:line="283" w:lineRule="auto"/>
        <w:rPr>
          <w:sz w:val="20"/>
          <w:szCs w:val="20"/>
          <w:color w:val="auto"/>
        </w:rPr>
      </w:pPr>
      <w:r>
        <w:rPr>
          <w:rFonts w:ascii="Times New Roman" w:cs="Times New Roman" w:eastAsia="Times New Roman" w:hAnsi="Times New Roman"/>
          <w:sz w:val="14"/>
          <w:szCs w:val="14"/>
          <w:color w:val="auto"/>
        </w:rPr>
        <w:t>stockholders by the affirmative vote of at least two-thirds of the outstanding voting stock that is not owned by the interested stockholder.</w:t>
      </w:r>
    </w:p>
    <w:p>
      <w:pPr>
        <w:spacing w:after="0" w:line="72" w:lineRule="exact"/>
        <w:rPr>
          <w:sz w:val="20"/>
          <w:szCs w:val="20"/>
          <w:color w:val="auto"/>
        </w:rPr>
      </w:pPr>
    </w:p>
    <w:p>
      <w:pPr>
        <w:ind w:left="1300" w:right="1459" w:firstLine="280"/>
        <w:spacing w:after="0" w:line="258" w:lineRule="auto"/>
        <w:rPr>
          <w:sz w:val="20"/>
          <w:szCs w:val="20"/>
          <w:color w:val="auto"/>
        </w:rPr>
      </w:pPr>
      <w:r>
        <w:rPr>
          <w:rFonts w:ascii="Times New Roman" w:cs="Times New Roman" w:eastAsia="Times New Roman" w:hAnsi="Times New Roman"/>
          <w:sz w:val="14"/>
          <w:szCs w:val="14"/>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Exclusive Jurisdiction of Certain Actions</w:t>
      </w:r>
    </w:p>
    <w:p>
      <w:pPr>
        <w:spacing w:after="0" w:line="125" w:lineRule="exact"/>
        <w:rPr>
          <w:sz w:val="20"/>
          <w:szCs w:val="20"/>
          <w:color w:val="auto"/>
        </w:rPr>
      </w:pPr>
    </w:p>
    <w:p>
      <w:pPr>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or other state courts of the State of Delaware) will be the sole and exclusive forum for any state law claim for: (1) any derivative action or proceeding brought on our behalf; (2) any action or proceeding asserting a claim of breach of a fiduciary duty or other wrongdoing by any of our directors, officers, employees or agents to us or our stockholders; (3) any action or proceeding asserting a claim against us arising pursuant to any provision of the Delaware General Corporation Law or our certificate of incorporation or bylaws (in each case, as they may be amended from time to time);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or (6) any action asserting a claim against us or any of our directors, officers or employees that is governed by the internal affairs doctrine. The choice of forum provision does not apply to any actions arising under the Exchange Act. Our amended and restated certificate of incorporation further provides that, unless we consent in writing to an alternative forum, the United States District Court for the District of Pennsylvania will be the exclusive forum for resolving any complaint asserting a cause of action arising under the Securities Act. We have chosen the United States District Court for the District of Pennsylvania as the exclusive forum for such Securities Act causes of action because our principal executive offices are located in Newtown Square, Pennsylvania. In addition, our amended and restated certificate of incorporation provides that any person or entity purchasing or otherwise acquiring any interest in shares of our common stock is deemed to have notice of and consented to the foregoing provisions.</w:t>
      </w:r>
    </w:p>
    <w:p>
      <w:pPr>
        <w:spacing w:after="0" w:line="256" w:lineRule="exact"/>
        <w:rPr>
          <w:sz w:val="20"/>
          <w:szCs w:val="20"/>
          <w:color w:val="auto"/>
        </w:rPr>
      </w:pPr>
    </w:p>
    <w:p>
      <w:pPr>
        <w:ind w:left="1300" w:right="1359" w:firstLine="280"/>
        <w:spacing w:after="0" w:line="255" w:lineRule="auto"/>
        <w:rPr>
          <w:sz w:val="20"/>
          <w:szCs w:val="20"/>
          <w:color w:val="auto"/>
        </w:rPr>
      </w:pPr>
      <w:r>
        <w:rPr>
          <w:rFonts w:ascii="Times New Roman" w:cs="Times New Roman" w:eastAsia="Times New Roman" w:hAnsi="Times New Roman"/>
          <w:sz w:val="14"/>
          <w:szCs w:val="14"/>
          <w:color w:val="auto"/>
        </w:rPr>
        <w:t>The choice of forum provisions may limit a stockholder’s ability to bring a claim in a judicial forum that it finds favorable for disputes with us or any of our current or former director, officer, other employee, agent, or stockholder to the Company, which may discourage such claims against us or any of our current or former director, officer, other employee, agent, or stockholder to the Company and result in increased costs for investors to bring a claim.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Limitation of Liability and Indemnification</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no director or officer of our company shall be personally liable to us or our stockholders for monetary damages for any breach of fiduciary duty as a director or officer, except for liability (1) for any breach of the director’s or officer’s duty of loyalty to us or our stockholders, (2) for acts or omissions not in good faith or which involve intentional misconduct or a knowing violation of law, (3) with respect to a director, under Section 174 of the Delaware General Corporation Law, and with respect to an officer, from any action by or in the right of the Registrant, or (4) for any transaction from which a director or an officer derived an improper personal benefit. In addition, our amended and restated certificate of incorporation provides that if the Delaware General Corporation Law is amended to authorize the further elimination or limitation of the liability of directors of officers, then the liability of a director or officer of our company shall be eliminated or limited to the fullest extent permitted by the Delaware General Corporation Law, as so amended.</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39" w:firstLine="280"/>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91"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Our amended and restated bylaws,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VII, Section 2 of our amended and restated bylaws further provides for the advancement of expenses to each of our directors and, in the discretion of the board of directors, to certain officers and employees.</w:t>
      </w:r>
    </w:p>
    <w:p>
      <w:pPr>
        <w:spacing w:after="0" w:line="271"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In addition, our amended and restated bylaws provide that the right of each of our directors and officers to indemnification and advancement of expenses shall be a contract right and shall not be exclusive of any other right now possessed or hereafter acquired under any statute, provision of our amended and restated certificate of incorporation or our amended and restated bylaws, agreement, vote of stockholders or otherwise. Furthermore, Article VII, Section 5 of our amended and restated bylaws authorizes us to provide insurance for our directors, officers and employees, against any liability, whether or not we would have the power to indemnify such person against such liability under the Delaware General Corporation Law or the provisions of Article VII, Section 1 of our amended and restated bylaws.</w:t>
      </w:r>
    </w:p>
    <w:p>
      <w:pPr>
        <w:spacing w:after="0" w:line="82" w:lineRule="exact"/>
        <w:rPr>
          <w:sz w:val="20"/>
          <w:szCs w:val="20"/>
          <w:color w:val="auto"/>
        </w:rPr>
      </w:pPr>
    </w:p>
    <w:p>
      <w:pPr>
        <w:ind w:left="1300" w:right="1339" w:firstLine="280"/>
        <w:spacing w:after="0" w:line="264"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our executive officers. These agreements provide that we will indemnify each of our directors and such officers to the fullest extent permitted by law and our amended and restated certificate of incorporation and our amended and restated bylaws.</w:t>
      </w:r>
    </w:p>
    <w:p>
      <w:pPr>
        <w:spacing w:after="0" w:line="257" w:lineRule="exact"/>
        <w:rPr>
          <w:sz w:val="20"/>
          <w:szCs w:val="20"/>
          <w:color w:val="auto"/>
        </w:rPr>
      </w:pPr>
    </w:p>
    <w:p>
      <w:pPr>
        <w:jc w:val="both"/>
        <w:ind w:left="1300" w:right="1499" w:firstLine="280"/>
        <w:spacing w:after="0" w:line="267" w:lineRule="auto"/>
        <w:rPr>
          <w:sz w:val="20"/>
          <w:szCs w:val="20"/>
          <w:color w:val="auto"/>
        </w:rPr>
      </w:pPr>
      <w:r>
        <w:rPr>
          <w:rFonts w:ascii="Times New Roman" w:cs="Times New Roman" w:eastAsia="Times New Roman" w:hAnsi="Times New Roman"/>
          <w:sz w:val="14"/>
          <w:szCs w:val="14"/>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83"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The foregoing discussion of our amended and restated certificate of incorporation and our amended and restated bylaws, indemnification agreements and Delaware law is not intended to be exhaustive and is qualified in its entirety by such amended and restated certificate of incorporation, our amended and restated bylaws, indemnification agreements or law.</w:t>
      </w:r>
    </w:p>
    <w:p>
      <w:pPr>
        <w:spacing w:after="0" w:line="78"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5" w:lineRule="exact"/>
        <w:rPr>
          <w:sz w:val="20"/>
          <w:szCs w:val="20"/>
          <w:color w:val="auto"/>
        </w:rPr>
      </w:pPr>
    </w:p>
    <w:p>
      <w:pPr>
        <w:ind w:left="1300" w:right="1459" w:firstLine="280"/>
        <w:spacing w:after="0" w:line="244"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89" w:lineRule="exact"/>
        <w:rPr>
          <w:sz w:val="20"/>
          <w:szCs w:val="20"/>
          <w:color w:val="auto"/>
        </w:rPr>
      </w:pPr>
    </w:p>
    <w:p>
      <w:pPr>
        <w:ind w:left="1300" w:right="1379" w:firstLine="280"/>
        <w:spacing w:after="0" w:line="243" w:lineRule="auto"/>
        <w:rPr>
          <w:sz w:val="20"/>
          <w:szCs w:val="20"/>
          <w:color w:val="auto"/>
        </w:rPr>
      </w:pPr>
      <w:r>
        <w:rPr>
          <w:rFonts w:ascii="Times New Roman" w:cs="Times New Roman" w:eastAsia="Times New Roman" w:hAnsi="Times New Roman"/>
          <w:sz w:val="14"/>
          <w:szCs w:val="14"/>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(the Trust Indenture Act) as in effect on the date of the indenture. We use the term “debenture trustee” to refer to either the trustee under the senior indenture or the trustee under the subordinated indenture, as applicable.</w:t>
      </w:r>
    </w:p>
    <w:p>
      <w:pPr>
        <w:spacing w:after="0" w:line="257" w:lineRule="exact"/>
        <w:rPr>
          <w:sz w:val="20"/>
          <w:szCs w:val="20"/>
          <w:color w:val="auto"/>
        </w:rPr>
      </w:pPr>
    </w:p>
    <w:p>
      <w:pPr>
        <w:ind w:left="1300" w:right="1399" w:firstLine="280"/>
        <w:spacing w:after="0" w:line="259" w:lineRule="auto"/>
        <w:rPr>
          <w:sz w:val="20"/>
          <w:szCs w:val="20"/>
          <w:color w:val="auto"/>
        </w:rPr>
      </w:pPr>
      <w:r>
        <w:rPr>
          <w:rFonts w:ascii="Times New Roman" w:cs="Times New Roman" w:eastAsia="Times New Roman" w:hAnsi="Times New Roman"/>
          <w:sz w:val="14"/>
          <w:szCs w:val="14"/>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ind w:left="1300" w:right="1399" w:firstLine="280"/>
        <w:spacing w:after="0" w:line="247" w:lineRule="auto"/>
        <w:rPr>
          <w:sz w:val="20"/>
          <w:szCs w:val="20"/>
          <w:color w:val="auto"/>
        </w:rPr>
      </w:pPr>
      <w:r>
        <w:rPr>
          <w:rFonts w:ascii="Times New Roman" w:cs="Times New Roman" w:eastAsia="Times New Roman" w:hAnsi="Times New Roman"/>
          <w:sz w:val="14"/>
          <w:szCs w:val="14"/>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Each indenture provides that the specific terms of any series of debt securities shall be set forth in, or determined pursuant to, an authorizing resolution and/or a supplemental indenture, if any, relating to such series.</w:t>
      </w:r>
    </w:p>
    <w:p>
      <w:pPr>
        <w:spacing w:after="0" w:line="86" w:lineRule="exact"/>
        <w:rPr>
          <w:sz w:val="20"/>
          <w:szCs w:val="20"/>
          <w:color w:val="auto"/>
        </w:rPr>
      </w:pPr>
    </w:p>
    <w:p>
      <w:pPr>
        <w:ind w:left="1300" w:right="1859" w:firstLine="280"/>
        <w:spacing w:after="0" w:line="267" w:lineRule="auto"/>
        <w:rPr>
          <w:sz w:val="20"/>
          <w:szCs w:val="20"/>
          <w:color w:val="auto"/>
        </w:rPr>
      </w:pPr>
      <w:r>
        <w:rPr>
          <w:rFonts w:ascii="Times New Roman" w:cs="Times New Roman" w:eastAsia="Times New Roman" w:hAnsi="Times New Roman"/>
          <w:sz w:val="14"/>
          <w:szCs w:val="14"/>
          <w:color w:val="auto"/>
        </w:rPr>
        <w:t>We will describe in each prospectus supplement the following terms relating to a series of debt securities:</w:t>
      </w:r>
    </w:p>
    <w:p>
      <w:pPr>
        <w:spacing w:after="0" w:line="52" w:lineRule="exact"/>
        <w:rPr>
          <w:sz w:val="20"/>
          <w:szCs w:val="20"/>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or designation;</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and any limit on the amount that may be issued;</w:t>
      </w:r>
    </w:p>
    <w:p>
      <w:pPr>
        <w:spacing w:after="0" w:line="80"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units based on or relating to currencies in which debt securities of such series are denominated and the currency or units in which principal or interest or both will or may be payable;</w:t>
      </w:r>
    </w:p>
    <w:p>
      <w:pPr>
        <w:spacing w:after="0" w:line="40"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series of debt securities in global form, the terms of any global securities and who the depositary will be;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and the date or dates on which principal will be payable;</w:t>
      </w:r>
    </w:p>
    <w:p>
      <w:pPr>
        <w:spacing w:after="0" w:line="91" w:lineRule="exact"/>
        <w:rPr>
          <w:rFonts w:ascii="Times New Roman" w:cs="Times New Roman" w:eastAsia="Times New Roman" w:hAnsi="Times New Roman"/>
          <w:sz w:val="14"/>
          <w:szCs w:val="14"/>
          <w:color w:val="auto"/>
        </w:rPr>
      </w:pPr>
    </w:p>
    <w:p>
      <w:pPr>
        <w:ind w:left="1720" w:right="1399" w:hanging="131"/>
        <w:spacing w:after="0" w:line="267"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subordination of any series of subordinated debt;</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payments will be payable;</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after which, and the price at which, we may, at our option, redeem the series of debt securities pursuant to any optional redemption provisions;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499" w:hanging="131"/>
        <w:spacing w:after="0" w:line="267"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which, and the price at which we are obligated, pursuant to any mandatory sinking fund provisions or otherwise, to redeem, or at the holder’s option to purchase, the series of debt securities;</w:t>
      </w:r>
    </w:p>
    <w:p>
      <w:pPr>
        <w:spacing w:after="0" w:line="51"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restrict our ability to pay dividends, or will require us to maintain any asset ratios or reserves;</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be restricted from incurring any additional indebtedness;</w:t>
      </w:r>
    </w:p>
    <w:p>
      <w:pPr>
        <w:spacing w:after="0" w:line="80"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considerations applicable to a series of debt securities;</w:t>
      </w:r>
    </w:p>
    <w:p>
      <w:pPr>
        <w:spacing w:after="0" w:line="30"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 and</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w:t>
      </w:r>
    </w:p>
    <w:p>
      <w:pPr>
        <w:spacing w:after="0" w:line="123" w:lineRule="exact"/>
        <w:rPr>
          <w:sz w:val="20"/>
          <w:szCs w:val="20"/>
          <w:color w:val="auto"/>
        </w:rPr>
      </w:pPr>
    </w:p>
    <w:p>
      <w:pPr>
        <w:ind w:left="1300" w:right="1539" w:firstLine="280"/>
        <w:spacing w:after="0" w:line="251"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125" w:lineRule="exact"/>
        <w:rPr>
          <w:sz w:val="20"/>
          <w:szCs w:val="20"/>
          <w:color w:val="auto"/>
        </w:rPr>
      </w:pPr>
    </w:p>
    <w:p>
      <w:pPr>
        <w:ind w:left="1300" w:right="1479" w:firstLine="280"/>
        <w:spacing w:after="0" w:line="247" w:lineRule="auto"/>
        <w:rPr>
          <w:sz w:val="20"/>
          <w:szCs w:val="20"/>
          <w:color w:val="auto"/>
        </w:rPr>
      </w:pPr>
      <w:r>
        <w:rPr>
          <w:rFonts w:ascii="Times New Roman" w:cs="Times New Roman" w:eastAsia="Times New Roman" w:hAnsi="Times New Roman"/>
          <w:sz w:val="14"/>
          <w:szCs w:val="14"/>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Consolidation, Merger or Sale; No Protection in Event of a Change of Control or Highly Leveraged Transaction</w:t>
      </w:r>
    </w:p>
    <w:p>
      <w:pPr>
        <w:spacing w:after="0" w:line="126" w:lineRule="exact"/>
        <w:rPr>
          <w:sz w:val="20"/>
          <w:szCs w:val="20"/>
          <w:color w:val="auto"/>
        </w:rPr>
      </w:pPr>
    </w:p>
    <w:p>
      <w:pPr>
        <w:ind w:left="1300" w:right="1479" w:firstLine="280"/>
        <w:spacing w:after="0" w:line="251" w:lineRule="auto"/>
        <w:rPr>
          <w:sz w:val="20"/>
          <w:szCs w:val="20"/>
          <w:color w:val="auto"/>
        </w:rPr>
      </w:pPr>
      <w:r>
        <w:rPr>
          <w:rFonts w:ascii="Times New Roman" w:cs="Times New Roman" w:eastAsia="Times New Roman" w:hAnsi="Times New Roman"/>
          <w:sz w:val="14"/>
          <w:szCs w:val="14"/>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83" w:lineRule="exact"/>
        <w:rPr>
          <w:sz w:val="20"/>
          <w:szCs w:val="20"/>
          <w:color w:val="auto"/>
        </w:rPr>
      </w:pPr>
    </w:p>
    <w:p>
      <w:pPr>
        <w:ind w:left="1300" w:right="1379" w:firstLine="280"/>
        <w:spacing w:after="0" w:line="251"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125" w:lineRule="exact"/>
        <w:rPr>
          <w:sz w:val="20"/>
          <w:szCs w:val="20"/>
          <w:color w:val="auto"/>
        </w:rPr>
      </w:pPr>
    </w:p>
    <w:p>
      <w:pPr>
        <w:ind w:left="1300" w:right="1559" w:firstLine="280"/>
        <w:spacing w:after="0" w:line="267" w:lineRule="auto"/>
        <w:rPr>
          <w:sz w:val="20"/>
          <w:szCs w:val="20"/>
          <w:color w:val="auto"/>
        </w:rPr>
      </w:pPr>
      <w:r>
        <w:rPr>
          <w:rFonts w:ascii="Times New Roman" w:cs="Times New Roman" w:eastAsia="Times New Roman" w:hAnsi="Times New Roman"/>
          <w:sz w:val="14"/>
          <w:szCs w:val="14"/>
          <w:color w:val="auto"/>
        </w:rPr>
        <w:t>The following are events of default under the indentures with respect to any series of debt securities that we may issue:</w:t>
      </w:r>
    </w:p>
    <w:p>
      <w:pPr>
        <w:spacing w:after="0" w:line="52" w:lineRule="exact"/>
        <w:rPr>
          <w:sz w:val="20"/>
          <w:szCs w:val="20"/>
          <w:color w:val="auto"/>
        </w:rPr>
      </w:pPr>
    </w:p>
    <w:p>
      <w:pPr>
        <w:ind w:left="1720" w:right="1339" w:hanging="131"/>
        <w:spacing w:after="0" w:line="283"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interest when due and our failure continues for 90 days and the time for payment has not been extended or deferred;</w:t>
      </w:r>
    </w:p>
    <w:p>
      <w:pPr>
        <w:spacing w:after="0" w:line="30"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or premium, if any, when due and the time for payment has not been extend-ed or delayed;</w:t>
      </w:r>
    </w:p>
    <w:p>
      <w:pPr>
        <w:spacing w:after="0" w:line="30" w:lineRule="exact"/>
        <w:rPr>
          <w:rFonts w:ascii="Times New Roman" w:cs="Times New Roman" w:eastAsia="Times New Roman" w:hAnsi="Times New Roman"/>
          <w:sz w:val="14"/>
          <w:szCs w:val="14"/>
          <w:color w:val="auto"/>
        </w:rPr>
      </w:pPr>
    </w:p>
    <w:p>
      <w:pPr>
        <w:ind w:left="1720" w:right="1359" w:hanging="131"/>
        <w:spacing w:after="0" w:line="258"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49"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 as to us.</w:t>
      </w:r>
    </w:p>
    <w:p>
      <w:pPr>
        <w:spacing w:after="0" w:line="112" w:lineRule="exact"/>
        <w:rPr>
          <w:sz w:val="20"/>
          <w:szCs w:val="20"/>
          <w:color w:val="auto"/>
        </w:rPr>
      </w:pPr>
    </w:p>
    <w:p>
      <w:pPr>
        <w:ind w:left="1300" w:right="1479" w:firstLine="280"/>
        <w:spacing w:after="0" w:line="283"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59"/>
        <w:spacing w:after="0" w:line="272" w:lineRule="auto"/>
        <w:rPr>
          <w:sz w:val="20"/>
          <w:szCs w:val="20"/>
          <w:color w:val="auto"/>
        </w:rPr>
      </w:pPr>
      <w:r>
        <w:rPr>
          <w:rFonts w:ascii="Times New Roman" w:cs="Times New Roman" w:eastAsia="Times New Roman" w:hAnsi="Times New Roman"/>
          <w:sz w:val="14"/>
          <w:szCs w:val="14"/>
          <w:color w:val="auto"/>
        </w:rPr>
        <w:t>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90" w:lineRule="exact"/>
        <w:rPr>
          <w:sz w:val="20"/>
          <w:szCs w:val="20"/>
          <w:color w:val="auto"/>
        </w:rPr>
      </w:pPr>
    </w:p>
    <w:p>
      <w:pPr>
        <w:ind w:left="1300" w:right="1339" w:firstLine="280"/>
        <w:spacing w:after="0" w:line="262"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00" w:lineRule="exact"/>
        <w:rPr>
          <w:sz w:val="20"/>
          <w:szCs w:val="20"/>
          <w:color w:val="auto"/>
        </w:rPr>
      </w:pPr>
    </w:p>
    <w:p>
      <w:pPr>
        <w:ind w:left="1300" w:right="1479" w:firstLine="280"/>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232" w:lineRule="exact"/>
        <w:rPr>
          <w:sz w:val="20"/>
          <w:szCs w:val="20"/>
          <w:color w:val="auto"/>
        </w:rPr>
      </w:pPr>
    </w:p>
    <w:p>
      <w:pPr>
        <w:ind w:left="1720" w:hanging="131"/>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101" w:lineRule="exact"/>
        <w:rPr>
          <w:rFonts w:ascii="Times New Roman" w:cs="Times New Roman" w:eastAsia="Times New Roman" w:hAnsi="Times New Roman"/>
          <w:sz w:val="14"/>
          <w:szCs w:val="14"/>
          <w:color w:val="auto"/>
        </w:rPr>
      </w:pPr>
    </w:p>
    <w:p>
      <w:pPr>
        <w:jc w:val="both"/>
        <w:ind w:left="1720" w:right="1359" w:hanging="131"/>
        <w:spacing w:after="0" w:line="267"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51"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the debt securities of any series will only have the right to institute a proceeding under the indentures or to appoint a receiver or trustee, or to seek other remedies if:</w:t>
      </w:r>
    </w:p>
    <w:p>
      <w:pPr>
        <w:spacing w:after="0" w:line="51" w:lineRule="exact"/>
        <w:rPr>
          <w:rFonts w:ascii="Times New Roman" w:cs="Times New Roman" w:eastAsia="Times New Roman" w:hAnsi="Times New Roman"/>
          <w:sz w:val="14"/>
          <w:szCs w:val="14"/>
          <w:color w:val="auto"/>
        </w:rPr>
      </w:pPr>
    </w:p>
    <w:p>
      <w:pPr>
        <w:ind w:left="1720" w:right="1739" w:hanging="131"/>
        <w:spacing w:after="0" w:line="28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previously has given written notice to the debenture trustee of a continuing event of default with respect to that series;</w:t>
      </w:r>
    </w:p>
    <w:p>
      <w:pPr>
        <w:spacing w:after="0" w:line="40" w:lineRule="exact"/>
        <w:rPr>
          <w:rFonts w:ascii="Times New Roman" w:cs="Times New Roman" w:eastAsia="Times New Roman" w:hAnsi="Times New Roman"/>
          <w:sz w:val="14"/>
          <w:szCs w:val="14"/>
          <w:color w:val="auto"/>
        </w:rPr>
      </w:pPr>
    </w:p>
    <w:p>
      <w:pPr>
        <w:ind w:left="1720" w:right="1459" w:hanging="131"/>
        <w:spacing w:after="0" w:line="267"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61" w:lineRule="exact"/>
        <w:rPr>
          <w:rFonts w:ascii="Times New Roman" w:cs="Times New Roman" w:eastAsia="Times New Roman" w:hAnsi="Times New Roman"/>
          <w:sz w:val="14"/>
          <w:szCs w:val="14"/>
          <w:color w:val="auto"/>
        </w:rPr>
      </w:pPr>
    </w:p>
    <w:p>
      <w:pPr>
        <w:ind w:left="1720" w:right="1379" w:hanging="131"/>
        <w:spacing w:after="0" w:line="258"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91" w:lineRule="exact"/>
        <w:rPr>
          <w:sz w:val="20"/>
          <w:szCs w:val="20"/>
          <w:color w:val="auto"/>
        </w:rPr>
      </w:pPr>
    </w:p>
    <w:p>
      <w:pPr>
        <w:ind w:left="1300" w:right="1659" w:firstLine="280"/>
        <w:spacing w:after="0" w:line="283"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62" w:lineRule="exact"/>
        <w:rPr>
          <w:sz w:val="20"/>
          <w:szCs w:val="20"/>
          <w:color w:val="auto"/>
        </w:rPr>
      </w:pPr>
    </w:p>
    <w:p>
      <w:pPr>
        <w:ind w:left="1300" w:right="1599" w:firstLine="280"/>
        <w:spacing w:after="0" w:line="283" w:lineRule="auto"/>
        <w:rPr>
          <w:sz w:val="20"/>
          <w:szCs w:val="20"/>
          <w:color w:val="auto"/>
        </w:rPr>
      </w:pPr>
      <w:r>
        <w:rPr>
          <w:rFonts w:ascii="Times New Roman" w:cs="Times New Roman" w:eastAsia="Times New Roman" w:hAnsi="Times New Roman"/>
          <w:sz w:val="14"/>
          <w:szCs w:val="14"/>
          <w:color w:val="auto"/>
        </w:rPr>
        <w:t>We will periodically file statements with the applicable debenture trustee regarding our compliance with specified covenants in the applicable indenture.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125" w:lineRule="exact"/>
        <w:rPr>
          <w:sz w:val="20"/>
          <w:szCs w:val="20"/>
          <w:color w:val="auto"/>
        </w:rPr>
      </w:pPr>
    </w:p>
    <w:p>
      <w:pPr>
        <w:ind w:left="1300" w:right="1439" w:firstLine="280"/>
        <w:spacing w:after="0" w:line="283" w:lineRule="auto"/>
        <w:rPr>
          <w:sz w:val="20"/>
          <w:szCs w:val="20"/>
          <w:color w:val="auto"/>
        </w:rPr>
      </w:pPr>
      <w:r>
        <w:rPr>
          <w:rFonts w:ascii="Times New Roman" w:cs="Times New Roman" w:eastAsia="Times New Roman" w:hAnsi="Times New Roman"/>
          <w:sz w:val="14"/>
          <w:szCs w:val="14"/>
          <w:color w:val="auto"/>
        </w:rPr>
        <w:t>The debenture trustee and we may change the applicable indenture without the consent of any holders with respect to specific matters, including:</w:t>
      </w:r>
    </w:p>
    <w:p>
      <w:pPr>
        <w:spacing w:after="0" w:line="41" w:lineRule="exact"/>
        <w:rPr>
          <w:sz w:val="20"/>
          <w:szCs w:val="20"/>
          <w:color w:val="auto"/>
        </w:rPr>
      </w:pPr>
    </w:p>
    <w:p>
      <w:pPr>
        <w:ind w:left="1720" w:hanging="131"/>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fix any ambiguity, defect or inconsistency in the indenture; and</w:t>
      </w:r>
    </w:p>
    <w:p>
      <w:pPr>
        <w:spacing w:after="0" w:line="101" w:lineRule="exact"/>
        <w:rPr>
          <w:rFonts w:ascii="Times New Roman" w:cs="Times New Roman" w:eastAsia="Times New Roman" w:hAnsi="Times New Roman"/>
          <w:sz w:val="14"/>
          <w:szCs w:val="14"/>
          <w:color w:val="auto"/>
        </w:rPr>
      </w:pPr>
    </w:p>
    <w:p>
      <w:pPr>
        <w:ind w:left="1720" w:right="1759" w:hanging="131"/>
        <w:spacing w:after="0" w:line="283"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anything that does not materially adversely affect the interests of any holder of debt securities of any series issued pursuant to such indenture.</w:t>
      </w:r>
    </w:p>
    <w:p>
      <w:pPr>
        <w:spacing w:after="0" w:line="62"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59" w:lineRule="exact"/>
        <w:rPr>
          <w:sz w:val="20"/>
          <w:szCs w:val="20"/>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the series of debt securities;</w:t>
      </w:r>
    </w:p>
    <w:p>
      <w:pPr>
        <w:spacing w:after="0" w:line="101"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any premium payable upon the redemption of any debt securities;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of discount securities payable upon acceleration of maturity;</w:t>
      </w:r>
    </w:p>
    <w:p>
      <w:pPr>
        <w:spacing w:after="0" w:line="91"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the principal of or premium or interest on any debt security payable in currency other than that stated in the debt security; or</w:t>
      </w:r>
    </w:p>
    <w:p>
      <w:pPr>
        <w:spacing w:after="0" w:line="40" w:lineRule="exact"/>
        <w:rPr>
          <w:rFonts w:ascii="Times New Roman" w:cs="Times New Roman" w:eastAsia="Times New Roman" w:hAnsi="Times New Roman"/>
          <w:sz w:val="14"/>
          <w:szCs w:val="14"/>
          <w:color w:val="auto"/>
        </w:rPr>
      </w:pPr>
    </w:p>
    <w:p>
      <w:pPr>
        <w:ind w:left="1720" w:right="177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or waiver.</w:t>
      </w:r>
    </w:p>
    <w:p>
      <w:pPr>
        <w:spacing w:after="0" w:line="72" w:lineRule="exact"/>
        <w:rPr>
          <w:sz w:val="20"/>
          <w:szCs w:val="20"/>
          <w:color w:val="auto"/>
        </w:rPr>
      </w:pPr>
    </w:p>
    <w:p>
      <w:pPr>
        <w:ind w:left="1300" w:right="1379" w:firstLine="280"/>
        <w:spacing w:after="0" w:line="253"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125" w:lineRule="exact"/>
        <w:rPr>
          <w:sz w:val="20"/>
          <w:szCs w:val="20"/>
          <w:color w:val="auto"/>
        </w:rPr>
      </w:pPr>
    </w:p>
    <w:p>
      <w:pPr>
        <w:ind w:left="1300" w:right="1419" w:firstLine="280"/>
        <w:spacing w:after="0" w:line="283"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obligations to:</w:t>
      </w:r>
    </w:p>
    <w:p>
      <w:pPr>
        <w:spacing w:after="0" w:line="41" w:lineRule="exact"/>
        <w:rPr>
          <w:sz w:val="20"/>
          <w:szCs w:val="20"/>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or exchange of debt securities of the series;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12"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125" w:lineRule="exact"/>
        <w:rPr>
          <w:sz w:val="20"/>
          <w:szCs w:val="20"/>
          <w:color w:val="auto"/>
        </w:rPr>
      </w:pPr>
    </w:p>
    <w:p>
      <w:pPr>
        <w:ind w:left="1300" w:right="1439" w:firstLine="280"/>
        <w:spacing w:after="0" w:line="247"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 -entry securities that will be deposited with, or on behalf of, The Depository Trust Company or another depositary named by us and identified in a prospectus supplement with respect to that series.</w:t>
      </w:r>
    </w:p>
    <w:p>
      <w:pPr>
        <w:spacing w:after="0" w:line="89" w:lineRule="exact"/>
        <w:rPr>
          <w:sz w:val="20"/>
          <w:szCs w:val="20"/>
          <w:color w:val="auto"/>
        </w:rPr>
      </w:pPr>
    </w:p>
    <w:p>
      <w:pPr>
        <w:ind w:left="1300" w:right="1419" w:firstLine="280"/>
        <w:spacing w:after="0" w:line="251"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83"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252"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1" w:lineRule="exact"/>
        <w:rPr>
          <w:sz w:val="20"/>
          <w:szCs w:val="20"/>
          <w:color w:val="auto"/>
        </w:rPr>
      </w:pPr>
    </w:p>
    <w:p>
      <w:pPr>
        <w:ind w:left="1720" w:right="1339" w:hanging="131"/>
        <w:spacing w:after="0" w:line="264"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25" w:lineRule="exact"/>
        <w:rPr>
          <w:rFonts w:ascii="Times New Roman" w:cs="Times New Roman" w:eastAsia="Times New Roman" w:hAnsi="Times New Roman"/>
          <w:sz w:val="14"/>
          <w:szCs w:val="14"/>
          <w:color w:val="auto"/>
        </w:rPr>
      </w:pPr>
    </w:p>
    <w:p>
      <w:pPr>
        <w:ind w:left="1720" w:right="1619" w:hanging="131"/>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Information Concerning the Debenture Trustee</w:t>
      </w:r>
    </w:p>
    <w:p>
      <w:pPr>
        <w:spacing w:after="0" w:line="125" w:lineRule="exact"/>
        <w:rPr>
          <w:sz w:val="20"/>
          <w:szCs w:val="20"/>
          <w:color w:val="auto"/>
        </w:rPr>
      </w:pPr>
    </w:p>
    <w:p>
      <w:pPr>
        <w:ind w:left="1300" w:right="1439" w:firstLine="280"/>
        <w:spacing w:after="0" w:line="245" w:lineRule="auto"/>
        <w:rPr>
          <w:sz w:val="20"/>
          <w:szCs w:val="20"/>
          <w:color w:val="auto"/>
        </w:rPr>
      </w:pPr>
      <w:r>
        <w:rPr>
          <w:rFonts w:ascii="Times New Roman" w:cs="Times New Roman" w:eastAsia="Times New Roman" w:hAnsi="Times New Roman"/>
          <w:sz w:val="14"/>
          <w:szCs w:val="14"/>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25" w:lineRule="exact"/>
        <w:rPr>
          <w:sz w:val="20"/>
          <w:szCs w:val="20"/>
          <w:color w:val="auto"/>
        </w:rPr>
      </w:pPr>
    </w:p>
    <w:p>
      <w:pPr>
        <w:ind w:left="1300" w:right="1379" w:firstLine="280"/>
        <w:spacing w:after="0" w:line="252"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250" w:lineRule="exact"/>
        <w:rPr>
          <w:sz w:val="20"/>
          <w:szCs w:val="20"/>
          <w:color w:val="auto"/>
        </w:rPr>
      </w:pPr>
    </w:p>
    <w:p>
      <w:pPr>
        <w:ind w:left="1300" w:right="1339" w:firstLine="280"/>
        <w:spacing w:after="0" w:line="248"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659"/>
        <w:spacing w:after="0" w:line="267" w:lineRule="auto"/>
        <w:rPr>
          <w:sz w:val="20"/>
          <w:szCs w:val="20"/>
          <w:color w:val="auto"/>
        </w:rPr>
      </w:pPr>
      <w:r>
        <w:rPr>
          <w:rFonts w:ascii="Times New Roman" w:cs="Times New Roman" w:eastAsia="Times New Roman" w:hAnsi="Times New Roman"/>
          <w:sz w:val="14"/>
          <w:szCs w:val="14"/>
          <w:color w:val="auto"/>
        </w:rPr>
        <w:t>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3"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5" w:lineRule="exact"/>
        <w:rPr>
          <w:sz w:val="20"/>
          <w:szCs w:val="20"/>
          <w:color w:val="auto"/>
        </w:rPr>
      </w:pPr>
    </w:p>
    <w:p>
      <w:pPr>
        <w:ind w:left="1300" w:right="1479" w:firstLine="280"/>
        <w:spacing w:after="0" w:line="283" w:lineRule="auto"/>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 except to the extent that the Trust Indenture Act is applicable.</w:t>
      </w:r>
    </w:p>
    <w:p>
      <w:pPr>
        <w:spacing w:after="0" w:line="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Subordination of Subordinated Debt Securities</w:t>
      </w:r>
    </w:p>
    <w:p>
      <w:pPr>
        <w:spacing w:after="0" w:line="125"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ind w:left="1300" w:right="1419" w:firstLine="280"/>
        <w:spacing w:after="0" w:line="247" w:lineRule="auto"/>
        <w:rPr>
          <w:sz w:val="20"/>
          <w:szCs w:val="20"/>
          <w:color w:val="auto"/>
        </w:rPr>
      </w:pPr>
      <w:r>
        <w:rPr>
          <w:rFonts w:ascii="Times New Roman" w:cs="Times New Roman" w:eastAsia="Times New Roman" w:hAnsi="Times New Roman"/>
          <w:sz w:val="14"/>
          <w:szCs w:val="14"/>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86" w:lineRule="exact"/>
        <w:rPr>
          <w:sz w:val="20"/>
          <w:szCs w:val="20"/>
          <w:color w:val="auto"/>
        </w:rPr>
      </w:pPr>
    </w:p>
    <w:p>
      <w:pPr>
        <w:ind w:left="1300" w:right="1399" w:firstLine="280"/>
        <w:spacing w:after="0" w:line="283" w:lineRule="auto"/>
        <w:rPr>
          <w:sz w:val="20"/>
          <w:szCs w:val="20"/>
          <w:color w:val="auto"/>
        </w:rPr>
      </w:pPr>
      <w:r>
        <w:rPr>
          <w:rFonts w:ascii="Times New Roman" w:cs="Times New Roman" w:eastAsia="Times New Roman" w:hAnsi="Times New Roman"/>
          <w:sz w:val="14"/>
          <w:szCs w:val="14"/>
          <w:color w:val="auto"/>
        </w:rPr>
        <w:t>The applicable prospectus supplement will contain, where applicable, the following terms of and other information relating to the warrants:</w:t>
      </w:r>
    </w:p>
    <w:p>
      <w:pPr>
        <w:spacing w:after="0" w:line="30" w:lineRule="exact"/>
        <w:rPr>
          <w:sz w:val="20"/>
          <w:szCs w:val="20"/>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price at which we will issue, the warrants;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amount and terms of the securities purchasable upon exercise of the warrants;</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exercise price for shares of our common stock and the number of shares of common stock to be received upon exercise of the warrants;</w:t>
      </w:r>
    </w:p>
    <w:p>
      <w:pPr>
        <w:spacing w:after="0" w:line="40"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exercise price for shares of our preferred stock, the number of shares of preferred stock to be received upon exercise, and a description of that series of our preferred stock;</w:t>
      </w:r>
    </w:p>
    <w:p>
      <w:pPr>
        <w:spacing w:after="0" w:line="30"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exercise price for our debt securities, the amount of debt securities to be received upon exercise, and a description of that series of debt securities;</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67"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Times New Roman" w:cs="Times New Roman" w:eastAsia="Times New Roman" w:hAnsi="Times New Roman"/>
          <w:sz w:val="14"/>
          <w:szCs w:val="14"/>
          <w:color w:val="auto"/>
        </w:rPr>
      </w:pPr>
    </w:p>
    <w:p>
      <w:pPr>
        <w:ind w:left="1720" w:right="1359" w:hanging="131"/>
        <w:spacing w:after="0" w:line="267"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91"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or other agents;</w:t>
      </w:r>
    </w:p>
    <w:p>
      <w:pPr>
        <w:spacing w:after="0" w:line="40" w:lineRule="exact"/>
        <w:rPr>
          <w:rFonts w:ascii="Times New Roman" w:cs="Times New Roman" w:eastAsia="Times New Roman" w:hAnsi="Times New Roman"/>
          <w:sz w:val="14"/>
          <w:szCs w:val="14"/>
          <w:color w:val="auto"/>
        </w:rPr>
      </w:pPr>
    </w:p>
    <w:p>
      <w:pPr>
        <w:ind w:left="1720" w:right="179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40"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warrants and the common stock, preferred stock and/or debt securities will be separately transferable;</w:t>
      </w:r>
    </w:p>
    <w:p>
      <w:pPr>
        <w:spacing w:after="0" w:line="30" w:lineRule="exact"/>
        <w:rPr>
          <w:rFonts w:ascii="Times New Roman" w:cs="Times New Roman" w:eastAsia="Times New Roman" w:hAnsi="Times New Roman"/>
          <w:sz w:val="14"/>
          <w:szCs w:val="14"/>
          <w:color w:val="auto"/>
        </w:rPr>
      </w:pPr>
    </w:p>
    <w:p>
      <w:pPr>
        <w:ind w:left="1720" w:right="155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warrants, if any;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may be sold separately or with other securities as parts of units; and</w:t>
      </w:r>
    </w:p>
    <w:p>
      <w:pPr>
        <w:spacing w:after="0" w:line="80"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and exercise of the warrants.</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25" w:lineRule="exact"/>
        <w:rPr>
          <w:sz w:val="20"/>
          <w:szCs w:val="20"/>
          <w:color w:val="auto"/>
        </w:rPr>
      </w:pPr>
    </w:p>
    <w:p>
      <w:pPr>
        <w:ind w:left="1300" w:right="1359" w:firstLine="280"/>
        <w:spacing w:after="0" w:line="259" w:lineRule="auto"/>
        <w:rPr>
          <w:sz w:val="20"/>
          <w:szCs w:val="20"/>
          <w:color w:val="auto"/>
        </w:rPr>
      </w:pPr>
      <w:r>
        <w:rPr>
          <w:rFonts w:ascii="Times New Roman" w:cs="Times New Roman" w:eastAsia="Times New Roman" w:hAnsi="Times New Roman"/>
          <w:sz w:val="14"/>
          <w:szCs w:val="14"/>
          <w:color w:val="auto"/>
        </w:rPr>
        <w:t>Each warrant will entitle the holder to purchase for cash such shares of our common stock and/or our preferred stock and/or our debt securities at such exercise price as shall be in each case be set forth in, or be determinable as set forth in, the prospectus supplement relating to the warrants offered thereby. Warrants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539"/>
        <w:spacing w:after="0" w:line="267" w:lineRule="auto"/>
        <w:rPr>
          <w:sz w:val="20"/>
          <w:szCs w:val="20"/>
          <w:color w:val="auto"/>
        </w:rPr>
      </w:pPr>
      <w:r>
        <w:rPr>
          <w:rFonts w:ascii="Times New Roman" w:cs="Times New Roman" w:eastAsia="Times New Roman" w:hAnsi="Times New Roman"/>
          <w:sz w:val="14"/>
          <w:szCs w:val="14"/>
          <w:color w:val="auto"/>
        </w:rPr>
        <w:t>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83" w:lineRule="exact"/>
        <w:rPr>
          <w:sz w:val="20"/>
          <w:szCs w:val="20"/>
          <w:color w:val="auto"/>
        </w:rPr>
      </w:pPr>
    </w:p>
    <w:p>
      <w:pPr>
        <w:ind w:left="1300" w:right="1459" w:firstLine="280"/>
        <w:spacing w:after="0" w:line="257" w:lineRule="auto"/>
        <w:rPr>
          <w:sz w:val="20"/>
          <w:szCs w:val="20"/>
          <w:color w:val="auto"/>
        </w:rPr>
      </w:pPr>
      <w:r>
        <w:rPr>
          <w:rFonts w:ascii="Times New Roman" w:cs="Times New Roman" w:eastAsia="Times New Roman" w:hAnsi="Times New Roman"/>
          <w:sz w:val="14"/>
          <w:szCs w:val="14"/>
          <w:color w:val="auto"/>
        </w:rPr>
        <w:t>The warrants may be exercised as set forth in the prospectus supplement relating to the warrants offered. Upon receipt of payment and the warrant certificate properly completed and duly executed at the corporate trust office of the warrant agent or any other office indicated in the prospectus supplement, we will, as soon as practicable, forward the shares of our common stock and/or our preferred stock and/or our debt securities purchasable upon such exercise. If less than all of the warrants represented by such warrant certificate are exercised, a new warrant certificate will be issued for the remaining warrants.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Warrant Agent</w:t>
      </w:r>
    </w:p>
    <w:p>
      <w:pPr>
        <w:spacing w:after="0" w:line="125" w:lineRule="exact"/>
        <w:rPr>
          <w:sz w:val="20"/>
          <w:szCs w:val="20"/>
          <w:color w:val="auto"/>
        </w:rPr>
      </w:pPr>
    </w:p>
    <w:p>
      <w:pPr>
        <w:ind w:left="1300" w:right="1539" w:firstLine="280"/>
        <w:spacing w:after="0" w:line="283" w:lineRule="auto"/>
        <w:rPr>
          <w:sz w:val="20"/>
          <w:szCs w:val="20"/>
          <w:color w:val="auto"/>
        </w:rPr>
      </w:pPr>
      <w:r>
        <w:rPr>
          <w:rFonts w:ascii="Times New Roman" w:cs="Times New Roman" w:eastAsia="Times New Roman" w:hAnsi="Times New Roman"/>
          <w:sz w:val="14"/>
          <w:szCs w:val="14"/>
          <w:color w:val="auto"/>
        </w:rPr>
        <w:t>The name and address of the warrant agent for any warrants we offer, if one is appointed, will be set forth in the applicable prospectus supplement.</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114" w:lineRule="exact"/>
        <w:rPr>
          <w:sz w:val="20"/>
          <w:szCs w:val="20"/>
          <w:color w:val="auto"/>
        </w:rPr>
      </w:pPr>
    </w:p>
    <w:p>
      <w:pPr>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If we appoint a warrant agent, 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Outstanding Warrants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As of September 30, 2024, we had no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ind w:left="1300" w:right="1319" w:firstLine="280"/>
        <w:spacing w:after="0" w:line="242" w:lineRule="auto"/>
        <w:rPr>
          <w:sz w:val="20"/>
          <w:szCs w:val="20"/>
          <w:color w:val="auto"/>
        </w:rPr>
      </w:pPr>
      <w:r>
        <w:rPr>
          <w:rFonts w:ascii="Times New Roman" w:cs="Times New Roman" w:eastAsia="Times New Roman" w:hAnsi="Times New Roman"/>
          <w:sz w:val="14"/>
          <w:szCs w:val="14"/>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will provide in a prospectus supplement the following terms of the rights being issued:</w:t>
      </w:r>
    </w:p>
    <w:p>
      <w:pPr>
        <w:spacing w:after="0" w:line="91" w:lineRule="exact"/>
        <w:rPr>
          <w:sz w:val="20"/>
          <w:szCs w:val="20"/>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determining the stockholders entitled to the rights distribution;</w:t>
      </w:r>
    </w:p>
    <w:p>
      <w:pPr>
        <w:spacing w:after="0" w:line="80" w:lineRule="exact"/>
        <w:rPr>
          <w:rFonts w:ascii="Times New Roman" w:cs="Times New Roman" w:eastAsia="Times New Roman" w:hAnsi="Times New Roman"/>
          <w:sz w:val="14"/>
          <w:szCs w:val="14"/>
          <w:color w:val="auto"/>
        </w:rPr>
      </w:pPr>
    </w:p>
    <w:p>
      <w:pPr>
        <w:ind w:left="1720" w:right="1619" w:hanging="131"/>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of common stock, preferred stock or other securities purchasable upon exercise of the rights;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rights issued;</w:t>
      </w:r>
    </w:p>
    <w:p>
      <w:pPr>
        <w:spacing w:after="0" w:line="80" w:lineRule="exact"/>
        <w:rPr>
          <w:rFonts w:ascii="Times New Roman" w:cs="Times New Roman" w:eastAsia="Times New Roman" w:hAnsi="Times New Roman"/>
          <w:sz w:val="14"/>
          <w:szCs w:val="14"/>
          <w:color w:val="auto"/>
        </w:rPr>
      </w:pPr>
    </w:p>
    <w:p>
      <w:pPr>
        <w:ind w:left="1720" w:right="1859" w:hanging="131"/>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rights are transferrable and the date, if any, on and after which the rights may be separately transferred;</w:t>
      </w:r>
    </w:p>
    <w:p>
      <w:pPr>
        <w:spacing w:after="0" w:line="40"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will commence, and the date on which the right to exercise the rights will expire;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 by which holders of rights will be entitled to exercise;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to the completion of the offering, if any;</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withdrawal, termination and cancellation provisions, if any;</w:t>
      </w:r>
    </w:p>
    <w:p>
      <w:pPr>
        <w:spacing w:after="0" w:line="91" w:lineRule="exact"/>
        <w:rPr>
          <w:rFonts w:ascii="Times New Roman" w:cs="Times New Roman" w:eastAsia="Times New Roman" w:hAnsi="Times New Roman"/>
          <w:sz w:val="14"/>
          <w:szCs w:val="14"/>
          <w:color w:val="auto"/>
        </w:rPr>
      </w:pPr>
    </w:p>
    <w:p>
      <w:pPr>
        <w:ind w:left="1720" w:right="2079" w:hanging="131"/>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there are any backstop or standby purchaser or purchasers and the terms of their commitment, if any;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securityholders are entitled to oversubscription rights, if any;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considerations; and</w:t>
      </w:r>
    </w:p>
    <w:p>
      <w:pPr>
        <w:spacing w:after="0" w:line="80"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rights, including terms, procedures and limitations relating to the distribution, exchange and exercise of the rights, as applicable.</w:t>
      </w:r>
    </w:p>
    <w:p>
      <w:pPr>
        <w:spacing w:after="0" w:line="72" w:lineRule="exact"/>
        <w:rPr>
          <w:sz w:val="20"/>
          <w:szCs w:val="20"/>
          <w:color w:val="auto"/>
        </w:rPr>
      </w:pPr>
    </w:p>
    <w:p>
      <w:pPr>
        <w:ind w:left="1300" w:right="1359" w:firstLine="280"/>
        <w:spacing w:after="0" w:line="251" w:lineRule="auto"/>
        <w:rPr>
          <w:sz w:val="20"/>
          <w:szCs w:val="20"/>
          <w:color w:val="auto"/>
        </w:rPr>
      </w:pPr>
      <w:r>
        <w:rPr>
          <w:rFonts w:ascii="Times New Roman" w:cs="Times New Roman" w:eastAsia="Times New Roman" w:hAnsi="Times New Roman"/>
          <w:sz w:val="14"/>
          <w:szCs w:val="14"/>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83" w:lineRule="exact"/>
        <w:rPr>
          <w:sz w:val="20"/>
          <w:szCs w:val="20"/>
          <w:color w:val="auto"/>
        </w:rPr>
      </w:pPr>
    </w:p>
    <w:p>
      <w:pPr>
        <w:ind w:left="1300" w:right="1439" w:firstLine="280"/>
        <w:spacing w:after="0" w:line="248" w:lineRule="auto"/>
        <w:rPr>
          <w:sz w:val="20"/>
          <w:szCs w:val="20"/>
          <w:color w:val="auto"/>
        </w:rPr>
      </w:pPr>
      <w:r>
        <w:rPr>
          <w:rFonts w:ascii="Times New Roman" w:cs="Times New Roman" w:eastAsia="Times New Roman" w:hAnsi="Times New Roman"/>
          <w:sz w:val="14"/>
          <w:szCs w:val="14"/>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67" w:lineRule="auto"/>
        <w:rPr>
          <w:sz w:val="20"/>
          <w:szCs w:val="20"/>
          <w:color w:val="auto"/>
        </w:rPr>
      </w:pPr>
      <w:r>
        <w:rPr>
          <w:rFonts w:ascii="Times New Roman" w:cs="Times New Roman" w:eastAsia="Times New Roman" w:hAnsi="Times New Roman"/>
          <w:sz w:val="14"/>
          <w:szCs w:val="14"/>
          <w:color w:val="auto"/>
        </w:rPr>
        <w:t>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Rights Agent</w:t>
      </w:r>
    </w:p>
    <w:p>
      <w:pPr>
        <w:spacing w:after="0" w:line="125" w:lineRule="exact"/>
        <w:rPr>
          <w:sz w:val="20"/>
          <w:szCs w:val="20"/>
          <w:color w:val="auto"/>
        </w:rPr>
      </w:pPr>
    </w:p>
    <w:p>
      <w:pPr>
        <w:ind w:left="1300" w:right="1679" w:firstLine="280"/>
        <w:spacing w:after="0" w:line="283" w:lineRule="auto"/>
        <w:rPr>
          <w:sz w:val="20"/>
          <w:szCs w:val="20"/>
          <w:color w:val="auto"/>
        </w:rPr>
      </w:pPr>
      <w:r>
        <w:rPr>
          <w:rFonts w:ascii="Times New Roman" w:cs="Times New Roman" w:eastAsia="Times New Roman" w:hAnsi="Times New Roman"/>
          <w:sz w:val="14"/>
          <w:szCs w:val="14"/>
          <w:color w:val="auto"/>
        </w:rPr>
        <w:t>The name and address of the rights agent for any rights we offer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04" w:lineRule="exact"/>
        <w:rPr>
          <w:sz w:val="20"/>
          <w:szCs w:val="20"/>
          <w:color w:val="auto"/>
        </w:rPr>
      </w:pPr>
    </w:p>
    <w:p>
      <w:pPr>
        <w:jc w:val="both"/>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68" w:lineRule="exact"/>
        <w:rPr>
          <w:sz w:val="20"/>
          <w:szCs w:val="20"/>
          <w:color w:val="auto"/>
        </w:rPr>
      </w:pPr>
    </w:p>
    <w:p>
      <w:pPr>
        <w:ind w:left="1300" w:right="1439" w:firstLine="280"/>
        <w:spacing w:after="0" w:line="248" w:lineRule="auto"/>
        <w:rPr>
          <w:sz w:val="20"/>
          <w:szCs w:val="20"/>
          <w:color w:val="auto"/>
        </w:rPr>
      </w:pPr>
      <w:r>
        <w:rPr>
          <w:rFonts w:ascii="Times New Roman" w:cs="Times New Roman" w:eastAsia="Times New Roman" w:hAnsi="Times New Roman"/>
          <w:sz w:val="14"/>
          <w:szCs w:val="14"/>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w:t>
      </w:r>
    </w:p>
    <w:p>
      <w:pPr>
        <w:spacing w:after="0" w:line="1" w:lineRule="exact"/>
        <w:rPr>
          <w:sz w:val="20"/>
          <w:szCs w:val="20"/>
          <w:color w:val="auto"/>
        </w:rPr>
      </w:pPr>
    </w:p>
    <w:p>
      <w:pPr>
        <w:ind w:left="1300" w:right="1459"/>
        <w:spacing w:after="0" w:line="241" w:lineRule="auto"/>
        <w:rPr>
          <w:sz w:val="20"/>
          <w:szCs w:val="20"/>
          <w:color w:val="auto"/>
        </w:rPr>
      </w:pPr>
      <w:r>
        <w:rPr>
          <w:rFonts w:ascii="Times New Roman" w:cs="Times New Roman" w:eastAsia="Times New Roman" w:hAnsi="Times New Roman"/>
          <w:sz w:val="14"/>
          <w:szCs w:val="14"/>
          <w:color w:val="auto"/>
        </w:rPr>
        <w:t>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We may issue units consisting of common stock, preferred stock, one or more debt securities, warrants or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233" w:lineRule="exact"/>
        <w:rPr>
          <w:sz w:val="20"/>
          <w:szCs w:val="20"/>
          <w:color w:val="auto"/>
        </w:rPr>
      </w:pPr>
    </w:p>
    <w:p>
      <w:pPr>
        <w:ind w:left="1300" w:right="1379" w:firstLine="280"/>
        <w:spacing w:after="0" w:line="283" w:lineRule="auto"/>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units being offered, including:</w:t>
      </w:r>
    </w:p>
    <w:p>
      <w:pPr>
        <w:spacing w:after="0" w:line="20" w:lineRule="exact"/>
        <w:rPr>
          <w:sz w:val="20"/>
          <w:szCs w:val="20"/>
          <w:color w:val="auto"/>
        </w:rPr>
      </w:pPr>
    </w:p>
    <w:p>
      <w:pPr>
        <w:ind w:left="1720" w:right="1479" w:hanging="131"/>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 that differ from those described below; and</w:t>
      </w:r>
    </w:p>
    <w:p>
      <w:pPr>
        <w:spacing w:after="0" w:line="91" w:lineRule="exact"/>
        <w:rPr>
          <w:rFonts w:ascii="Times New Roman" w:cs="Times New Roman" w:eastAsia="Times New Roman" w:hAnsi="Times New Roman"/>
          <w:sz w:val="14"/>
          <w:szCs w:val="14"/>
          <w:color w:val="auto"/>
        </w:rPr>
      </w:pPr>
    </w:p>
    <w:p>
      <w:pPr>
        <w:ind w:left="1720" w:right="1699" w:hanging="131"/>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w:t>
      </w:r>
    </w:p>
    <w:p>
      <w:pPr>
        <w:spacing w:after="0" w:line="51" w:lineRule="exact"/>
        <w:rPr>
          <w:sz w:val="20"/>
          <w:szCs w:val="20"/>
          <w:color w:val="auto"/>
        </w:rPr>
      </w:pPr>
    </w:p>
    <w:p>
      <w:pPr>
        <w:ind w:left="1300" w:right="1479" w:firstLine="280"/>
        <w:spacing w:after="0" w:line="251" w:lineRule="auto"/>
        <w:rPr>
          <w:sz w:val="20"/>
          <w:szCs w:val="20"/>
          <w:color w:val="auto"/>
        </w:rPr>
      </w:pPr>
      <w:r>
        <w:rPr>
          <w:rFonts w:ascii="Times New Roman" w:cs="Times New Roman" w:eastAsia="Times New Roman" w:hAnsi="Times New Roman"/>
          <w:sz w:val="14"/>
          <w:szCs w:val="14"/>
          <w:color w:val="auto"/>
        </w:rPr>
        <w:t>The provisions described in this section, as well as those set forth in any prospectus supplement or as described under “Description of Capital Stock,” “Description of Debt Securities,” “Description of Warrants,” and “Description of Rights” will apply to each unit, as applicable, and to any common stock, preferred stock, debt security, warrant, or right included in each unit, as applicable.</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Unit Agent</w:t>
      </w:r>
    </w:p>
    <w:p>
      <w:pPr>
        <w:spacing w:after="0" w:line="104" w:lineRule="exact"/>
        <w:rPr>
          <w:sz w:val="20"/>
          <w:szCs w:val="20"/>
          <w:color w:val="auto"/>
        </w:rPr>
      </w:pPr>
    </w:p>
    <w:p>
      <w:pPr>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The name and address of the unit agent, if any, for any units we offer will be set forth in the applicable prospectus supplement.</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10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issue units in such amounts and in such numerous distinct series as we determine.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Units</w:t>
      </w:r>
    </w:p>
    <w:p>
      <w:pPr>
        <w:spacing w:after="0" w:line="93"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Under this prospectus, we may offer shares of our common stock and preferred stock, various series of debt securities and/or warrants or rights to purchase any of such securities, either individually or in units,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57" w:lineRule="exact"/>
        <w:rPr>
          <w:sz w:val="20"/>
          <w:szCs w:val="20"/>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if applicable;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or sinking fund terms, if any;</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exercise prices, if any, and the various factors considered in determining such price.</w:t>
      </w:r>
    </w:p>
    <w:p>
      <w:pPr>
        <w:spacing w:after="0" w:line="123" w:lineRule="exact"/>
        <w:rPr>
          <w:sz w:val="20"/>
          <w:szCs w:val="20"/>
          <w:color w:val="auto"/>
        </w:rPr>
      </w:pPr>
    </w:p>
    <w:p>
      <w:pPr>
        <w:ind w:left="1300" w:right="1379" w:firstLine="280"/>
        <w:spacing w:after="0" w:line="251" w:lineRule="auto"/>
        <w:rPr>
          <w:sz w:val="20"/>
          <w:szCs w:val="20"/>
          <w:color w:val="auto"/>
        </w:rPr>
      </w:pPr>
      <w:r>
        <w:rPr>
          <w:rFonts w:ascii="Times New Roman" w:cs="Times New Roman" w:eastAsia="Times New Roman" w:hAnsi="Times New Roman"/>
          <w:sz w:val="14"/>
          <w:szCs w:val="14"/>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w:t>
      </w:r>
    </w:p>
    <w:p>
      <w:pPr>
        <w:spacing w:after="0" w:line="83" w:lineRule="exact"/>
        <w:rPr>
          <w:sz w:val="20"/>
          <w:szCs w:val="20"/>
          <w:color w:val="auto"/>
        </w:rPr>
      </w:pPr>
    </w:p>
    <w:p>
      <w:pPr>
        <w:ind w:left="1300" w:right="1519" w:firstLine="280"/>
        <w:spacing w:after="0" w:line="247" w:lineRule="auto"/>
        <w:rPr>
          <w:sz w:val="20"/>
          <w:szCs w:val="20"/>
          <w:color w:val="auto"/>
        </w:rPr>
      </w:pPr>
      <w:r>
        <w:rPr>
          <w:rFonts w:ascii="Times New Roman" w:cs="Times New Roman" w:eastAsia="Times New Roman" w:hAnsi="Times New Roman"/>
          <w:sz w:val="14"/>
          <w:szCs w:val="14"/>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w:t>
      </w:r>
    </w:p>
    <w:p>
      <w:pPr>
        <w:spacing w:after="0" w:line="1" w:lineRule="exact"/>
        <w:rPr>
          <w:sz w:val="20"/>
          <w:szCs w:val="20"/>
          <w:color w:val="auto"/>
        </w:rPr>
      </w:pPr>
    </w:p>
    <w:p>
      <w:pPr>
        <w:ind w:left="1300" w:right="1559" w:firstLine="8"/>
        <w:spacing w:after="0" w:line="245" w:lineRule="auto"/>
        <w:tabs>
          <w:tab w:leader="none" w:pos="151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 through a combination of such methods. We may distribute the securities from time to time in one or more transactions at:</w:t>
      </w:r>
    </w:p>
    <w:p>
      <w:pPr>
        <w:spacing w:after="0" w:line="56"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 prices, which may be changed from time to time;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sale;</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 prevailing market prices; or</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23" w:lineRule="exact"/>
        <w:rPr>
          <w:sz w:val="20"/>
          <w:szCs w:val="20"/>
          <w:color w:val="auto"/>
        </w:rPr>
      </w:pPr>
    </w:p>
    <w:p>
      <w:pPr>
        <w:ind w:left="1300" w:right="1419" w:firstLine="280"/>
        <w:spacing w:after="0" w:line="251" w:lineRule="auto"/>
        <w:rPr>
          <w:sz w:val="20"/>
          <w:szCs w:val="20"/>
          <w:color w:val="auto"/>
        </w:rPr>
      </w:pPr>
      <w:r>
        <w:rPr>
          <w:rFonts w:ascii="Times New Roman" w:cs="Times New Roman" w:eastAsia="Times New Roman" w:hAnsi="Times New Roman"/>
          <w:sz w:val="14"/>
          <w:szCs w:val="14"/>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83" w:lineRule="exact"/>
        <w:rPr>
          <w:sz w:val="20"/>
          <w:szCs w:val="20"/>
          <w:color w:val="auto"/>
        </w:rPr>
      </w:pPr>
    </w:p>
    <w:p>
      <w:pPr>
        <w:ind w:left="1300" w:right="1399" w:firstLine="280"/>
        <w:spacing w:after="0" w:line="251" w:lineRule="auto"/>
        <w:rPr>
          <w:sz w:val="20"/>
          <w:szCs w:val="20"/>
          <w:color w:val="auto"/>
        </w:rPr>
      </w:pPr>
      <w:r>
        <w:rPr>
          <w:rFonts w:ascii="Times New Roman" w:cs="Times New Roman" w:eastAsia="Times New Roman" w:hAnsi="Times New Roman"/>
          <w:sz w:val="14"/>
          <w:szCs w:val="14"/>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84"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90" w:lineRule="exact"/>
        <w:rPr>
          <w:sz w:val="20"/>
          <w:szCs w:val="20"/>
          <w:color w:val="auto"/>
        </w:rPr>
      </w:pPr>
    </w:p>
    <w:p>
      <w:pPr>
        <w:ind w:left="1300" w:right="1359" w:firstLine="280"/>
        <w:spacing w:after="0" w:line="248" w:lineRule="auto"/>
        <w:rPr>
          <w:sz w:val="20"/>
          <w:szCs w:val="20"/>
          <w:color w:val="auto"/>
        </w:rPr>
      </w:pPr>
      <w:r>
        <w:rPr>
          <w:rFonts w:ascii="Times New Roman" w:cs="Times New Roman" w:eastAsia="Times New Roman" w:hAnsi="Times New Roman"/>
          <w:sz w:val="14"/>
          <w:szCs w:val="14"/>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99"/>
        <w:spacing w:after="0" w:line="261" w:lineRule="auto"/>
        <w:rPr>
          <w:sz w:val="20"/>
          <w:szCs w:val="20"/>
          <w:color w:val="auto"/>
        </w:rPr>
      </w:pPr>
      <w:r>
        <w:rPr>
          <w:rFonts w:ascii="Times New Roman" w:cs="Times New Roman" w:eastAsia="Times New Roman" w:hAnsi="Times New Roman"/>
          <w:sz w:val="14"/>
          <w:szCs w:val="14"/>
          <w:color w:val="auto"/>
        </w:rPr>
        <w:t>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88"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dealers or other persons acting as our agents to solicit offers by certain institutions to purchase securities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4" w:lineRule="exact"/>
        <w:rPr>
          <w:sz w:val="20"/>
          <w:szCs w:val="20"/>
          <w:color w:val="auto"/>
        </w:rPr>
      </w:pPr>
    </w:p>
    <w:p>
      <w:pPr>
        <w:ind w:left="1720" w:right="1579" w:hanging="131"/>
        <w:spacing w:after="0" w:line="283"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40"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w:t>
      </w:r>
    </w:p>
    <w:p>
      <w:pPr>
        <w:spacing w:after="0" w:line="72" w:lineRule="exact"/>
        <w:rPr>
          <w:sz w:val="20"/>
          <w:szCs w:val="20"/>
          <w:color w:val="auto"/>
        </w:rPr>
      </w:pPr>
    </w:p>
    <w:p>
      <w:pPr>
        <w:ind w:left="1300" w:right="1379" w:firstLine="280"/>
        <w:spacing w:after="0" w:line="254" w:lineRule="auto"/>
        <w:rPr>
          <w:sz w:val="20"/>
          <w:szCs w:val="20"/>
          <w:color w:val="auto"/>
        </w:rPr>
      </w:pPr>
      <w:r>
        <w:rPr>
          <w:rFonts w:ascii="Times New Roman" w:cs="Times New Roman" w:eastAsia="Times New Roman" w:hAnsi="Times New Roman"/>
          <w:sz w:val="14"/>
          <w:szCs w:val="14"/>
          <w:color w:val="auto"/>
        </w:rPr>
        <w:t>The underwriters and other persons acting as our agents will not have any responsibility in respect of the validity or performance of delayed delivery contracts. 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81"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(FINRA).</w:t>
      </w:r>
    </w:p>
    <w:p>
      <w:pPr>
        <w:spacing w:after="0" w:line="91"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Shares of our common stock sold pursuant to the registration statement of which this prospectus is a part will be authorized for listing and trading on Nasdaq. The applicable prospectus supplement will contain information, where applicable, as to any other listing, if any, on Nasdaq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91" w:lineRule="exact"/>
        <w:rPr>
          <w:sz w:val="20"/>
          <w:szCs w:val="20"/>
          <w:color w:val="auto"/>
        </w:rPr>
      </w:pPr>
    </w:p>
    <w:p>
      <w:pPr>
        <w:ind w:left="1300" w:right="1379" w:firstLine="280"/>
        <w:spacing w:after="0" w:line="254" w:lineRule="auto"/>
        <w:rPr>
          <w:sz w:val="20"/>
          <w:szCs w:val="20"/>
          <w:color w:val="auto"/>
        </w:rPr>
      </w:pPr>
      <w:r>
        <w:rPr>
          <w:rFonts w:ascii="Times New Roman" w:cs="Times New Roman" w:eastAsia="Times New Roman" w:hAnsi="Times New Roman"/>
          <w:sz w:val="14"/>
          <w:szCs w:val="14"/>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83" w:lineRule="auto"/>
        <w:rPr>
          <w:sz w:val="20"/>
          <w:szCs w:val="20"/>
          <w:color w:val="auto"/>
        </w:rPr>
      </w:pPr>
      <w:r>
        <w:rPr>
          <w:rFonts w:ascii="Times New Roman" w:cs="Times New Roman" w:eastAsia="Times New Roman" w:hAnsi="Times New Roman"/>
          <w:sz w:val="14"/>
          <w:szCs w:val="14"/>
          <w:color w:val="auto"/>
        </w:rPr>
        <w:t>stabilize or maintain the market price of the securities at a level above that which might otherwise prevail in the open market. These transactions may be discontinued at any time.</w:t>
      </w:r>
    </w:p>
    <w:p>
      <w:pPr>
        <w:spacing w:after="0" w:line="72" w:lineRule="exact"/>
        <w:rPr>
          <w:sz w:val="20"/>
          <w:szCs w:val="20"/>
          <w:color w:val="auto"/>
        </w:rPr>
      </w:pPr>
    </w:p>
    <w:p>
      <w:pPr>
        <w:ind w:left="1300" w:right="1799" w:firstLine="280"/>
        <w:spacing w:after="0" w:line="283" w:lineRule="auto"/>
        <w:rPr>
          <w:sz w:val="20"/>
          <w:szCs w:val="20"/>
          <w:color w:val="auto"/>
        </w:rPr>
      </w:pPr>
      <w:r>
        <w:rPr>
          <w:rFonts w:ascii="Times New Roman" w:cs="Times New Roman" w:eastAsia="Times New Roman" w:hAnsi="Times New Roman"/>
          <w:sz w:val="14"/>
          <w:szCs w:val="14"/>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779" w:firstLine="280"/>
        <w:spacing w:after="0" w:line="267" w:lineRule="auto"/>
        <w:rPr>
          <w:sz w:val="20"/>
          <w:szCs w:val="20"/>
          <w:color w:val="auto"/>
        </w:rPr>
      </w:pPr>
      <w:r>
        <w:rPr>
          <w:rFonts w:ascii="Times New Roman" w:cs="Times New Roman" w:eastAsia="Times New Roman" w:hAnsi="Times New Roman"/>
          <w:sz w:val="14"/>
          <w:szCs w:val="14"/>
          <w:color w:val="auto"/>
        </w:rPr>
        <w:t>Mintz, Levin, Cohn, Ferris, Glovsky and Popeo, P.C., Boston, Massachusetts, will pass upon the validity of the issuance of the securities to be offered by this prospectus.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14" w:lineRule="exact"/>
        <w:rPr>
          <w:sz w:val="20"/>
          <w:szCs w:val="20"/>
          <w:color w:val="auto"/>
        </w:rPr>
      </w:pPr>
    </w:p>
    <w:p>
      <w:pPr>
        <w:ind w:left="1300" w:right="1639" w:firstLine="280"/>
        <w:spacing w:after="0" w:line="251" w:lineRule="auto"/>
        <w:rPr>
          <w:sz w:val="20"/>
          <w:szCs w:val="20"/>
          <w:color w:val="auto"/>
        </w:rPr>
      </w:pPr>
      <w:r>
        <w:rPr>
          <w:rFonts w:ascii="Times New Roman" w:cs="Times New Roman" w:eastAsia="Times New Roman" w:hAnsi="Times New Roman"/>
          <w:sz w:val="14"/>
          <w:szCs w:val="14"/>
          <w:color w:val="auto"/>
        </w:rPr>
        <w:t>The financial statements of ArriVent BioPharma, Inc. as of December 31, 2023 and 2022,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4" w:lineRule="exact"/>
        <w:rPr>
          <w:sz w:val="20"/>
          <w:szCs w:val="20"/>
          <w:color w:val="auto"/>
        </w:rPr>
      </w:pPr>
    </w:p>
    <w:p>
      <w:pPr>
        <w:jc w:val="both"/>
        <w:ind w:left="1300" w:right="1359" w:firstLine="280"/>
        <w:spacing w:after="0" w:line="259" w:lineRule="auto"/>
        <w:rPr>
          <w:sz w:val="20"/>
          <w:szCs w:val="20"/>
          <w:color w:val="auto"/>
        </w:rPr>
      </w:pPr>
      <w:r>
        <w:rPr>
          <w:rFonts w:ascii="Times New Roman" w:cs="Times New Roman" w:eastAsia="Times New Roman" w:hAnsi="Times New Roman"/>
          <w:sz w:val="14"/>
          <w:szCs w:val="14"/>
          <w:color w:val="auto"/>
        </w:rPr>
        <w:t>We are subject to the reporting requirements of the Securities Exchange Act of 1934, as amended, and file annual, quarterly and current reports, proxy statements and other information with the SEC. SEC filings are available at the SEC’s web site at http://www.sec.gov.</w:t>
      </w:r>
    </w:p>
    <w:p>
      <w:pPr>
        <w:spacing w:after="0" w:line="78" w:lineRule="exact"/>
        <w:rPr>
          <w:sz w:val="20"/>
          <w:szCs w:val="20"/>
          <w:color w:val="auto"/>
        </w:rPr>
      </w:pPr>
    </w:p>
    <w:p>
      <w:pPr>
        <w:ind w:left="1300" w:right="1559" w:firstLine="280"/>
        <w:spacing w:after="0" w:line="247" w:lineRule="auto"/>
        <w:rPr>
          <w:sz w:val="20"/>
          <w:szCs w:val="20"/>
          <w:color w:val="auto"/>
        </w:rPr>
      </w:pPr>
      <w:r>
        <w:rPr>
          <w:rFonts w:ascii="Times New Roman" w:cs="Times New Roman" w:eastAsia="Times New Roman" w:hAnsi="Times New Roman"/>
          <w:sz w:val="14"/>
          <w:szCs w:val="14"/>
          <w:color w:val="auto"/>
        </w:rPr>
        <w:t>This prospectus is only part of a registration statement on Form S-3 that we have filed with the SEC under the Securities Act of 1933, as amended,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86" w:lineRule="exact"/>
        <w:rPr>
          <w:sz w:val="20"/>
          <w:szCs w:val="20"/>
          <w:color w:val="auto"/>
        </w:rPr>
      </w:pPr>
    </w:p>
    <w:p>
      <w:pPr>
        <w:ind w:left="1300" w:right="1399" w:firstLine="280"/>
        <w:spacing w:after="0" w:line="245" w:lineRule="auto"/>
        <w:rPr>
          <w:sz w:val="20"/>
          <w:szCs w:val="20"/>
          <w:color w:val="auto"/>
        </w:rPr>
      </w:pPr>
      <w:r>
        <w:rPr>
          <w:rFonts w:ascii="Times New Roman" w:cs="Times New Roman" w:eastAsia="Times New Roman" w:hAnsi="Times New Roman"/>
          <w:sz w:val="14"/>
          <w:szCs w:val="14"/>
          <w:color w:val="auto"/>
        </w:rPr>
        <w:t>We also maintain a website at https://arrivent.com/ with information about our company and through which you may access these materials and other filings with the SEC free of charge as soon as reasonably practicable after they are filed electronically with, or furnished to, the SEC. Except for the documents incorporated by reference as described below under “Incorporation of Certain Documents by Reference,” information contained on our website or any other website is not incorporated into this prospectus and does not constitute a part of this prospectus. Our website address referenced above is intended to be an inactive textual reference only and not an active hyperlink to our website.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25" w:lineRule="exact"/>
        <w:rPr>
          <w:sz w:val="20"/>
          <w:szCs w:val="20"/>
          <w:color w:val="auto"/>
        </w:rPr>
      </w:pPr>
    </w:p>
    <w:p>
      <w:pPr>
        <w:ind w:left="1300" w:right="1359" w:firstLine="280"/>
        <w:spacing w:after="0" w:line="24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w:t>
      </w:r>
    </w:p>
    <w:p>
      <w:pPr>
        <w:spacing w:after="0" w:line="2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Copies of all or any part of the registration statement, including the documents incorporated by</w:t>
      </w:r>
    </w:p>
    <w:p>
      <w:pPr>
        <w:spacing w:after="0" w:line="22" w:lineRule="exact"/>
        <w:rPr>
          <w:sz w:val="20"/>
          <w:szCs w:val="20"/>
          <w:color w:val="auto"/>
        </w:rPr>
      </w:pPr>
    </w:p>
    <w:p>
      <w:pPr>
        <w:ind w:left="1300" w:right="1359"/>
        <w:spacing w:after="0"/>
        <w:rPr>
          <w:sz w:val="20"/>
          <w:szCs w:val="20"/>
          <w:color w:val="auto"/>
        </w:rPr>
      </w:pPr>
      <w:r>
        <w:rPr>
          <w:rFonts w:ascii="Times New Roman" w:cs="Times New Roman" w:eastAsia="Times New Roman" w:hAnsi="Times New Roman"/>
          <w:sz w:val="14"/>
          <w:szCs w:val="14"/>
          <w:color w:val="auto"/>
        </w:rPr>
        <w:t>reference or the exhibits, may be obtained upon payment of the prescribed rates at the offices of the SEC listed above in “Where You Can Find More Information.” The documents we are incorporating by reference are:</w:t>
      </w:r>
    </w:p>
    <w:p>
      <w:pPr>
        <w:spacing w:after="0" w:line="221" w:lineRule="exact"/>
        <w:rPr>
          <w:sz w:val="20"/>
          <w:szCs w:val="20"/>
          <w:color w:val="auto"/>
        </w:rPr>
      </w:pPr>
    </w:p>
    <w:p>
      <w:pPr>
        <w:ind w:left="1720" w:right="1339" w:hanging="131"/>
        <w:spacing w:after="0" w:line="283" w:lineRule="auto"/>
        <w:tabs>
          <w:tab w:leader="none" w:pos="1720" w:val="left"/>
        </w:tabs>
        <w:numPr>
          <w:ilvl w:val="0"/>
          <w:numId w:val="27"/>
        </w:numPr>
        <w:rPr>
          <w:rFonts w:ascii="Times New Roman" w:cs="Times New Roman" w:eastAsia="Times New Roman" w:hAnsi="Times New Roman"/>
          <w:sz w:val="14"/>
          <w:szCs w:val="14"/>
          <w:u w:val="single" w:color="auto"/>
          <w:color w:val="0000EE"/>
        </w:rPr>
      </w:pPr>
      <w:hyperlink r:id="rId67">
        <w:r>
          <w:rPr>
            <w:rFonts w:ascii="Times New Roman" w:cs="Times New Roman" w:eastAsia="Times New Roman" w:hAnsi="Times New Roman"/>
            <w:sz w:val="14"/>
            <w:szCs w:val="14"/>
            <w:u w:val="single" w:color="auto"/>
            <w:color w:val="0000EE"/>
          </w:rPr>
          <w:t>our Annual Report on Form 10-K for the fiscal year ended December 31, 2023, that we filed with the</w:t>
        </w:r>
      </w:hyperlink>
      <w:r>
        <w:rPr>
          <w:rFonts w:ascii="Times New Roman" w:cs="Times New Roman" w:eastAsia="Times New Roman" w:hAnsi="Times New Roman"/>
          <w:sz w:val="14"/>
          <w:szCs w:val="14"/>
          <w:u w:val="single" w:color="auto"/>
          <w:color w:val="0000EE"/>
        </w:rPr>
        <w:t xml:space="preserve"> </w:t>
      </w:r>
      <w:hyperlink r:id="rId67">
        <w:r>
          <w:rPr>
            <w:rFonts w:ascii="Times New Roman" w:cs="Times New Roman" w:eastAsia="Times New Roman" w:hAnsi="Times New Roman"/>
            <w:sz w:val="14"/>
            <w:szCs w:val="14"/>
            <w:u w:val="single" w:color="auto"/>
            <w:color w:val="0000EE"/>
          </w:rPr>
          <w:t>SEC on March 28, 2024;</w:t>
        </w:r>
      </w:hyperlink>
    </w:p>
    <w:p>
      <w:pPr>
        <w:spacing w:after="0" w:line="30" w:lineRule="exact"/>
        <w:rPr>
          <w:rFonts w:ascii="Times New Roman" w:cs="Times New Roman" w:eastAsia="Times New Roman" w:hAnsi="Times New Roman"/>
          <w:sz w:val="14"/>
          <w:szCs w:val="14"/>
          <w:u w:val="single" w:color="auto"/>
          <w:color w:val="0000EE"/>
        </w:rPr>
      </w:pPr>
    </w:p>
    <w:p>
      <w:pPr>
        <w:ind w:left="1720" w:right="1499" w:hanging="131"/>
        <w:spacing w:after="0" w:line="267"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2024, June 30, 2024, and September 30, 2024 filed with the SEC on </w:t>
      </w:r>
      <w:hyperlink r:id="rId96">
        <w:r>
          <w:rPr>
            <w:rFonts w:ascii="Times New Roman" w:cs="Times New Roman" w:eastAsia="Times New Roman" w:hAnsi="Times New Roman"/>
            <w:sz w:val="14"/>
            <w:szCs w:val="14"/>
            <w:u w:val="single" w:color="auto"/>
            <w:color w:val="0000EE"/>
          </w:rPr>
          <w:t>May 8, 2024</w:t>
        </w:r>
      </w:hyperlink>
      <w:r>
        <w:rPr>
          <w:rFonts w:ascii="Times New Roman" w:cs="Times New Roman" w:eastAsia="Times New Roman" w:hAnsi="Times New Roman"/>
          <w:sz w:val="14"/>
          <w:szCs w:val="14"/>
          <w:color w:val="auto"/>
        </w:rPr>
        <w:t xml:space="preserve">, </w:t>
      </w:r>
      <w:hyperlink r:id="rId97">
        <w:r>
          <w:rPr>
            <w:rFonts w:ascii="Times New Roman" w:cs="Times New Roman" w:eastAsia="Times New Roman" w:hAnsi="Times New Roman"/>
            <w:sz w:val="14"/>
            <w:szCs w:val="14"/>
            <w:u w:val="single" w:color="auto"/>
            <w:color w:val="0000EE"/>
          </w:rPr>
          <w:t>August 14,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8">
        <w:r>
          <w:rPr>
            <w:rFonts w:ascii="Times New Roman" w:cs="Times New Roman" w:eastAsia="Times New Roman" w:hAnsi="Times New Roman"/>
            <w:sz w:val="14"/>
            <w:szCs w:val="14"/>
            <w:u w:val="single" w:color="auto"/>
            <w:color w:val="0000EE"/>
          </w:rPr>
          <w:t>November 14, 2024</w:t>
        </w:r>
      </w:hyperlink>
      <w:r>
        <w:rPr>
          <w:rFonts w:ascii="Times New Roman" w:cs="Times New Roman" w:eastAsia="Times New Roman" w:hAnsi="Times New Roman"/>
          <w:sz w:val="14"/>
          <w:szCs w:val="14"/>
          <w:color w:val="auto"/>
        </w:rPr>
        <w:t>, respectively;</w:t>
      </w:r>
    </w:p>
    <w:p>
      <w:pPr>
        <w:spacing w:after="0" w:line="51" w:lineRule="exact"/>
        <w:rPr>
          <w:rFonts w:ascii="Times New Roman" w:cs="Times New Roman" w:eastAsia="Times New Roman" w:hAnsi="Times New Roman"/>
          <w:sz w:val="14"/>
          <w:szCs w:val="14"/>
          <w:color w:val="auto"/>
        </w:rPr>
      </w:pPr>
    </w:p>
    <w:p>
      <w:pPr>
        <w:ind w:left="1720" w:right="1359" w:hanging="131"/>
        <w:spacing w:after="0" w:line="267" w:lineRule="auto"/>
        <w:tabs>
          <w:tab w:leader="none" w:pos="1720" w:val="left"/>
        </w:tabs>
        <w:numPr>
          <w:ilvl w:val="0"/>
          <w:numId w:val="2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that we filed with the SEC on </w:t>
      </w:r>
      <w:hyperlink r:id="rId99">
        <w:r>
          <w:rPr>
            <w:rFonts w:ascii="Times New Roman" w:cs="Times New Roman" w:eastAsia="Times New Roman" w:hAnsi="Times New Roman"/>
            <w:sz w:val="14"/>
            <w:szCs w:val="14"/>
            <w:u w:val="single" w:color="auto"/>
            <w:color w:val="0000EE"/>
          </w:rPr>
          <w:t>January 30, 2024</w:t>
        </w:r>
      </w:hyperlink>
      <w:r>
        <w:rPr>
          <w:rFonts w:ascii="Times New Roman" w:cs="Times New Roman" w:eastAsia="Times New Roman" w:hAnsi="Times New Roman"/>
          <w:sz w:val="14"/>
          <w:szCs w:val="14"/>
          <w:color w:val="auto"/>
        </w:rPr>
        <w:t xml:space="preserve">, </w:t>
      </w:r>
      <w:hyperlink r:id="rId100">
        <w:r>
          <w:rPr>
            <w:rFonts w:ascii="Times New Roman" w:cs="Times New Roman" w:eastAsia="Times New Roman" w:hAnsi="Times New Roman"/>
            <w:sz w:val="14"/>
            <w:szCs w:val="14"/>
            <w:u w:val="single" w:color="auto"/>
            <w:color w:val="0000EE"/>
          </w:rPr>
          <w:t>April 22,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(as </w:t>
      </w:r>
      <w:hyperlink r:id="rId101">
        <w:r>
          <w:rPr>
            <w:rFonts w:ascii="Times New Roman" w:cs="Times New Roman" w:eastAsia="Times New Roman" w:hAnsi="Times New Roman"/>
            <w:sz w:val="14"/>
            <w:szCs w:val="14"/>
            <w:color w:val="auto"/>
          </w:rPr>
          <w:t xml:space="preserve">amended on </w:t>
        </w:r>
        <w:r>
          <w:rPr>
            <w:rFonts w:ascii="Times New Roman" w:cs="Times New Roman" w:eastAsia="Times New Roman" w:hAnsi="Times New Roman"/>
            <w:sz w:val="14"/>
            <w:szCs w:val="14"/>
            <w:u w:val="single" w:color="auto"/>
            <w:color w:val="0000EE"/>
          </w:rPr>
          <w:t>July 9,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16, 2024</w:t>
        </w:r>
        <w:r>
          <w:rPr>
            <w:rFonts w:ascii="Times New Roman" w:cs="Times New Roman" w:eastAsia="Times New Roman" w:hAnsi="Times New Roman"/>
            <w:sz w:val="14"/>
            <w:szCs w:val="14"/>
            <w:color w:val="auto"/>
          </w:rPr>
          <w:t xml:space="preserve"> (as amended on </w:t>
        </w:r>
        <w:r>
          <w:rPr>
            <w:rFonts w:ascii="Times New Roman" w:cs="Times New Roman" w:eastAsia="Times New Roman" w:hAnsi="Times New Roman"/>
            <w:sz w:val="14"/>
            <w:szCs w:val="14"/>
            <w:u w:val="single" w:color="auto"/>
            <w:color w:val="0000EE"/>
          </w:rPr>
          <w:t>July 9,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5,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September 9,</w:t>
        </w:r>
      </w:hyperlink>
      <w:r>
        <w:rPr>
          <w:rFonts w:ascii="Times New Roman" w:cs="Times New Roman" w:eastAsia="Times New Roman" w:hAnsi="Times New Roman"/>
          <w:sz w:val="14"/>
          <w:szCs w:val="14"/>
          <w:color w:val="auto"/>
        </w:rPr>
        <w:t xml:space="preserve"> </w:t>
      </w:r>
      <w:hyperlink r:id="rId101">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(Item 8.01 only),</w:t>
        </w:r>
        <w:r>
          <w:rPr>
            <w:rFonts w:ascii="Times New Roman" w:cs="Times New Roman" w:eastAsia="Times New Roman" w:hAnsi="Times New Roman"/>
            <w:sz w:val="14"/>
            <w:szCs w:val="14"/>
            <w:color w:val="0000EE"/>
          </w:rPr>
          <w:t xml:space="preserve"> </w:t>
        </w:r>
      </w:hyperlink>
      <w:hyperlink r:id="rId102">
        <w:r>
          <w:rPr>
            <w:rFonts w:ascii="Times New Roman" w:cs="Times New Roman" w:eastAsia="Times New Roman" w:hAnsi="Times New Roman"/>
            <w:sz w:val="14"/>
            <w:szCs w:val="14"/>
            <w:u w:val="single" w:color="auto"/>
            <w:color w:val="0000EE"/>
          </w:rPr>
          <w:t xml:space="preserve">and January 22, 2025 </w:t>
        </w:r>
      </w:hyperlink>
      <w:hyperlink r:id="rId101">
        <w:r>
          <w:rPr>
            <w:rFonts w:ascii="Times New Roman" w:cs="Times New Roman" w:eastAsia="Times New Roman" w:hAnsi="Times New Roman"/>
            <w:sz w:val="14"/>
            <w:szCs w:val="14"/>
            <w:color w:val="000000"/>
          </w:rPr>
          <w:t>(Item 1.01 only), respectively;</w:t>
        </w:r>
      </w:hyperlink>
    </w:p>
    <w:p>
      <w:pPr>
        <w:spacing w:after="0" w:line="272"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720" w:right="1359" w:hanging="131"/>
        <w:spacing w:after="0" w:line="267" w:lineRule="auto"/>
        <w:tabs>
          <w:tab w:leader="none" w:pos="1720" w:val="left"/>
        </w:tabs>
        <w:numPr>
          <w:ilvl w:val="0"/>
          <w:numId w:val="28"/>
        </w:numPr>
        <w:rPr>
          <w:rFonts w:ascii="Times New Roman" w:cs="Times New Roman" w:eastAsia="Times New Roman" w:hAnsi="Times New Roman"/>
          <w:sz w:val="14"/>
          <w:szCs w:val="14"/>
          <w:color w:val="0000EE"/>
        </w:rPr>
      </w:pPr>
      <w:hyperlink r:id="rId47">
        <w:r>
          <w:rPr>
            <w:rFonts w:ascii="Times New Roman" w:cs="Times New Roman" w:eastAsia="Times New Roman" w:hAnsi="Times New Roman"/>
            <w:sz w:val="14"/>
            <w:szCs w:val="14"/>
            <w:color w:val="auto"/>
          </w:rPr>
          <w:t xml:space="preserve">the description of our common stock included in our </w:t>
        </w:r>
        <w:r>
          <w:rPr>
            <w:rFonts w:ascii="Times New Roman" w:cs="Times New Roman" w:eastAsia="Times New Roman" w:hAnsi="Times New Roman"/>
            <w:sz w:val="14"/>
            <w:szCs w:val="14"/>
            <w:u w:val="single" w:color="auto"/>
            <w:color w:val="0000EE"/>
          </w:rPr>
          <w:t>registration statement on Form 8-A12B, that we</w:t>
        </w:r>
      </w:hyperlink>
      <w:r>
        <w:rPr>
          <w:rFonts w:ascii="Times New Roman" w:cs="Times New Roman" w:eastAsia="Times New Roman" w:hAnsi="Times New Roman"/>
          <w:sz w:val="14"/>
          <w:szCs w:val="14"/>
          <w:color w:val="auto"/>
        </w:rPr>
        <w:t xml:space="preserve"> </w:t>
      </w:r>
      <w:hyperlink r:id="rId47">
        <w:r>
          <w:rPr>
            <w:rFonts w:ascii="Times New Roman" w:cs="Times New Roman" w:eastAsia="Times New Roman" w:hAnsi="Times New Roman"/>
            <w:sz w:val="14"/>
            <w:szCs w:val="14"/>
            <w:u w:val="single" w:color="auto"/>
            <w:color w:val="0000EE"/>
          </w:rPr>
          <w:t>filed with the SEC on January 23, 2024</w:t>
        </w:r>
        <w:r>
          <w:rPr>
            <w:rFonts w:ascii="Times New Roman" w:cs="Times New Roman" w:eastAsia="Times New Roman" w:hAnsi="Times New Roman"/>
            <w:sz w:val="14"/>
            <w:szCs w:val="14"/>
            <w:color w:val="000000"/>
          </w:rPr>
          <w:t>, as updated or amended in any amendment or report filed for</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such purpose; and</w:t>
      </w:r>
    </w:p>
    <w:p>
      <w:pPr>
        <w:spacing w:after="0" w:line="51" w:lineRule="exact"/>
        <w:rPr>
          <w:rFonts w:ascii="Times New Roman" w:cs="Times New Roman" w:eastAsia="Times New Roman" w:hAnsi="Times New Roman"/>
          <w:sz w:val="14"/>
          <w:szCs w:val="14"/>
          <w:color w:val="0000EE"/>
        </w:rPr>
      </w:pPr>
    </w:p>
    <w:p>
      <w:pPr>
        <w:ind w:left="1720" w:right="1339" w:hanging="131"/>
        <w:spacing w:after="0" w:line="261" w:lineRule="auto"/>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reports and documents (other than information furnished pursuant to Item 2.02 or Item 7.01 of Form 8-K or as otherwise permitted by SEC rules) filed after the date of this prospectus and prior to the termination or completion of the offering hereunder pursuant to Sections 13(a), 13(c), 14 or 15(d) of the Securities Ex-change Act of 1934.</w:t>
      </w:r>
    </w:p>
    <w:p>
      <w:pPr>
        <w:spacing w:after="0" w:line="88" w:lineRule="exact"/>
        <w:rPr>
          <w:rFonts w:ascii="Times New Roman" w:cs="Times New Roman" w:eastAsia="Times New Roman" w:hAnsi="Times New Roman"/>
          <w:sz w:val="14"/>
          <w:szCs w:val="14"/>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SEC file number for each of the documents listed above is 001-41929.</w:t>
      </w:r>
    </w:p>
    <w:p>
      <w:pPr>
        <w:spacing w:after="0" w:line="123" w:lineRule="exact"/>
        <w:rPr>
          <w:rFonts w:ascii="Times New Roman" w:cs="Times New Roman" w:eastAsia="Times New Roman" w:hAnsi="Times New Roman"/>
          <w:sz w:val="14"/>
          <w:szCs w:val="14"/>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252" w:lineRule="exact"/>
        <w:rPr>
          <w:rFonts w:ascii="Times New Roman" w:cs="Times New Roman" w:eastAsia="Times New Roman" w:hAnsi="Times New Roman"/>
          <w:sz w:val="14"/>
          <w:szCs w:val="14"/>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We will provide, without charge and upon oral or written request, to each person, including any beneficial owner, to whom a copy of this prospectus has been delivered, a copy of any of the documents referred to above as being incorporated by reference into this prospectus but not delivered with it. You may obtain a copy of these filings, at no cost, by writing or calling us at ArriVent BioPharma, Inc., Attn: Investor Relations, 18 Campus Boulevard, Suite 100, Newtown Square, PA 19073, (628) 277-4836. Exhibits to the filings will not be provided, however, unless those exhibits have been specifically incorporated by reference in this prospectus.</w:t>
      </w:r>
    </w:p>
    <w:p>
      <w:pPr>
        <w:spacing w:after="0" w:line="263" w:lineRule="exact"/>
        <w:rPr>
          <w:rFonts w:ascii="Times New Roman" w:cs="Times New Roman" w:eastAsia="Times New Roman" w:hAnsi="Times New Roman"/>
          <w:sz w:val="14"/>
          <w:szCs w:val="14"/>
          <w:color w:val="auto"/>
        </w:rPr>
      </w:pPr>
    </w:p>
    <w:p>
      <w:pPr>
        <w:ind w:left="1300" w:right="1499" w:firstLine="280"/>
        <w:spacing w:after="0" w:line="257"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8"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3" w:name="page54"/>
    <w:bookmarkEnd w:id="53"/>
    <w:p>
      <w:pPr>
        <w:ind w:left="34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-3810</wp:posOffset>
            </wp:positionV>
            <wp:extent cx="405892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4058920" cy="1333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35560</wp:posOffset>
            </wp:positionV>
            <wp:extent cx="405892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4058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709295</wp:posOffset>
            </wp:positionV>
            <wp:extent cx="2035810" cy="3473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2035810" cy="34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789305</wp:posOffset>
            </wp:positionV>
            <wp:extent cx="96139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125730</wp:posOffset>
            </wp:positionV>
            <wp:extent cx="96139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715010</wp:posOffset>
            </wp:positionV>
            <wp:extent cx="405892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4058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0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-3810</wp:posOffset>
            </wp:positionV>
            <wp:extent cx="405892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4058920" cy="133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189865</wp:posOffset>
            </wp:positionV>
            <wp:extent cx="531876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spacing w:after="0" w:line="1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ArriVent BioPharma,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9"/>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12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40" w:type="dxa"/>
            <w:vAlign w:val="bottom"/>
          </w:tcPr>
          <w:p>
            <w:pPr>
              <w:spacing w:after="0"/>
              <w:rPr>
                <w:sz w:val="10"/>
                <w:szCs w:val="10"/>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820" w:type="dxa"/>
            <w:vAlign w:val="bottom"/>
            <w:shd w:val="clear" w:color="auto" w:fill="9ADAF6"/>
          </w:tcPr>
          <w:p>
            <w:pPr>
              <w:jc w:val="center"/>
              <w:ind w:left="19"/>
              <w:spacing w:after="0" w:line="168"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9"/>
              <w:spacing w:after="0" w:line="189" w:lineRule="exact"/>
              <w:rPr>
                <w:sz w:val="20"/>
                <w:szCs w:val="20"/>
                <w:color w:val="auto"/>
              </w:rPr>
            </w:pPr>
            <w:r>
              <w:rPr>
                <w:rFonts w:ascii="Arial" w:cs="Arial" w:eastAsia="Arial" w:hAnsi="Arial"/>
                <w:sz w:val="17"/>
                <w:szCs w:val="17"/>
                <w:b w:val="1"/>
                <w:bCs w:val="1"/>
                <w:color w:val="auto"/>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19"/>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68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68"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4"/>
                <w:szCs w:val="14"/>
                <w:color w:val="auto"/>
              </w:rPr>
            </w:pPr>
          </w:p>
        </w:tc>
        <w:tc>
          <w:tcPr>
            <w:tcW w:w="820" w:type="dxa"/>
            <w:vAlign w:val="bottom"/>
            <w:shd w:val="clear" w:color="auto" w:fill="E7E7E2"/>
          </w:tcPr>
          <w:p>
            <w:pPr>
              <w:jc w:val="center"/>
              <w:ind w:left="19"/>
              <w:spacing w:after="0" w:line="168" w:lineRule="exact"/>
              <w:rPr>
                <w:sz w:val="20"/>
                <w:szCs w:val="20"/>
                <w:color w:val="auto"/>
              </w:rPr>
            </w:pPr>
            <w:r>
              <w:rPr>
                <w:rFonts w:ascii="Arial" w:cs="Arial" w:eastAsia="Arial" w:hAnsi="Arial"/>
                <w:sz w:val="17"/>
                <w:szCs w:val="17"/>
                <w:color w:val="auto"/>
                <w:w w:val="97"/>
              </w:rPr>
              <w:t>457(o)</w:t>
            </w: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rPr>
              <w:t>$ 34,525.00</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250,000,000.00</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$ 34,525.00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250,000,000.00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$ 34,525.00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440"/>
        <w:spacing w:after="0" w:line="248" w:lineRule="auto"/>
        <w:rPr>
          <w:sz w:val="20"/>
          <w:szCs w:val="20"/>
          <w:color w:val="auto"/>
        </w:rPr>
      </w:pPr>
      <w:r>
        <w:rPr>
          <w:rFonts w:ascii="Arial" w:cs="Arial" w:eastAsia="Arial" w:hAnsi="Arial"/>
          <w:sz w:val="17"/>
          <w:szCs w:val="17"/>
          <w:color w:val="auto"/>
        </w:rPr>
        <w:t>In accordance with Rule 457(o) under the Securities Act of 1933, as amended (the "Securities Act"). This "Calculation of Filing Fee Tables" table shall be deemed to update the "Calculation of Registration Fee" table in the registrant's Registration Statement on Form S-3ASR (File No. 333-284661) in accordance with Rule 456(b) and 457(o) under the Securities Act.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 indeterminate number of shares of common stock is being registered as may from time to time be offered hereunder at indeterminate prices.</w:t>
      </w:r>
    </w:p>
    <w:p>
      <w:pPr>
        <w:spacing w:after="0" w:line="183" w:lineRule="exact"/>
        <w:rPr>
          <w:sz w:val="20"/>
          <w:szCs w:val="20"/>
          <w:color w:val="auto"/>
        </w:rPr>
      </w:pPr>
    </w:p>
    <w:p>
      <w:pPr>
        <w:ind w:left="220" w:right="160"/>
        <w:spacing w:after="0" w:line="243" w:lineRule="auto"/>
        <w:rPr>
          <w:sz w:val="20"/>
          <w:szCs w:val="20"/>
          <w:color w:val="auto"/>
        </w:rPr>
      </w:pPr>
      <w:r>
        <w:rPr>
          <w:rFonts w:ascii="Arial" w:cs="Arial" w:eastAsia="Arial" w:hAnsi="Arial"/>
          <w:sz w:val="17"/>
          <w:szCs w:val="17"/>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pursuant to General Instruction II.E. of Form S-3 under the Securities Act. Separate consideration may or may not be received for securities that are issuable on exercise, conversion or exchange of other securities, or that are issued in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58420</wp:posOffset>
            </wp:positionV>
            <wp:extent cx="714819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6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240" w:type="dxa"/>
            <w:vAlign w:val="bottom"/>
            <w:shd w:val="clear" w:color="auto" w:fill="9ADAF6"/>
          </w:tcPr>
          <w:p>
            <w:pPr>
              <w:jc w:val="center"/>
              <w:ind w:right="216"/>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21"/>
                <w:szCs w:val="21"/>
                <w:color w:val="auto"/>
              </w:rPr>
            </w:pPr>
          </w:p>
        </w:tc>
        <w:tc>
          <w:tcPr>
            <w:tcW w:w="120" w:type="dxa"/>
            <w:vAlign w:val="bottom"/>
            <w:shd w:val="clear" w:color="auto" w:fill="9ADAF6"/>
          </w:tcPr>
          <w:p>
            <w:pPr>
              <w:spacing w:after="0"/>
              <w:rPr>
                <w:sz w:val="21"/>
                <w:szCs w:val="21"/>
                <w:color w:val="auto"/>
              </w:rPr>
            </w:pPr>
          </w:p>
        </w:tc>
        <w:tc>
          <w:tcPr>
            <w:tcW w:w="500" w:type="dxa"/>
            <w:vAlign w:val="bottom"/>
            <w:gridSpan w:val="2"/>
            <w:shd w:val="clear" w:color="auto" w:fill="9ADAF6"/>
          </w:tcPr>
          <w:p>
            <w:pPr>
              <w:jc w:val="center"/>
              <w:ind w:right="56"/>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80" w:type="dxa"/>
            <w:vAlign w:val="bottom"/>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maximum aggregate offering price of the securities to which the prospectus relates is $250,000,000.00. The prospectus is a final prospectus for</w:t>
      </w:r>
    </w:p>
    <w:p>
      <w:pPr>
        <w:sectPr>
          <w:pgSz w:w="11900" w:h="16851" w:orient="portrait"/>
          <w:cols w:equalWidth="0" w:num="1">
            <w:col w:w="11360"/>
          </w:cols>
          <w:pgMar w:left="300" w:top="142" w:right="239" w:bottom="0" w:gutter="0" w:footer="0" w:header="0"/>
        </w:sectPr>
      </w:pPr>
    </w:p>
    <w:bookmarkStart w:id="55" w:name="page56"/>
    <w:bookmarkEnd w:id="55"/>
    <w:p>
      <w:pPr>
        <w:jc w:val="center"/>
        <w:ind w:right="19"/>
        <w:spacing w:after="0"/>
        <w:rPr>
          <w:sz w:val="20"/>
          <w:szCs w:val="20"/>
          <w:color w:val="auto"/>
        </w:rPr>
      </w:pPr>
      <w:r>
        <w:rPr>
          <w:rFonts w:ascii="Arial" w:cs="Arial" w:eastAsia="Arial" w:hAnsi="Arial"/>
          <w:sz w:val="16"/>
          <w:szCs w:val="16"/>
          <w:color w:val="auto"/>
        </w:rPr>
        <w:t>the related offering.</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628"/>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3"/>
    </w:lvl>
    <w:lvl w:ilvl="1">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jpe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jpe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27" Type="http://schemas.openxmlformats.org/officeDocument/2006/relationships/hyperlink" Target="https://www.sec.gov/ix?doc=/Archives/edgar/data/1868279/000110465926024127/avbp-20251231x10k.htm" TargetMode="External"/><Relationship Id="rId45" Type="http://schemas.openxmlformats.org/officeDocument/2006/relationships/hyperlink" Target="https://www.sec.gov/ix?doc=/Archives/edgar/data/0001868279/000110465926058650/avbp-20260331x10q.htm" TargetMode="External"/><Relationship Id="rId46" Type="http://schemas.openxmlformats.org/officeDocument/2006/relationships/hyperlink" Target="https://www.sec.gov/ix?doc=/Archives/edgar/data/1868279/000110465926029588/avbp-20260317x8k.htm" TargetMode="External"/><Relationship Id="rId47" Type="http://schemas.openxmlformats.org/officeDocument/2006/relationships/hyperlink" Target="https://www.sec.gov/Archives/edgar/data/1868279/000110465924005880/tm2321853d19_8a12b.htm" TargetMode="External"/><Relationship Id="rId67" Type="http://schemas.openxmlformats.org/officeDocument/2006/relationships/hyperlink" Target="https://www.sec.gov/Archives/edgar/data/1868279/000155837024004280/tmb-20231231x10k.htm" TargetMode="External"/><Relationship Id="rId96" Type="http://schemas.openxmlformats.org/officeDocument/2006/relationships/hyperlink" Target="https://www.sec.gov/ix?doc=/Archives/edgar/data/1868279/000155837024007197/avbp-20240331x10q.htm" TargetMode="External"/><Relationship Id="rId97" Type="http://schemas.openxmlformats.org/officeDocument/2006/relationships/hyperlink" Target="https://www.sec.gov/ix?doc=/Archives/edgar/data/1868279/000155837024012236/avbp-20240630x10q.htm" TargetMode="External"/><Relationship Id="rId98" Type="http://schemas.openxmlformats.org/officeDocument/2006/relationships/hyperlink" Target="https://www.sec.gov/ix?doc=/Archives/edgar/data/1868279/000155837024015624/avbp-20240930x10q.htm" TargetMode="External"/><Relationship Id="rId99" Type="http://schemas.openxmlformats.org/officeDocument/2006/relationships/hyperlink" Target="https://www.sec.gov/ix?doc=/Archives/edgar/data/1868279/000110465924008228/tm2321853d25_8k.htm" TargetMode="External"/><Relationship Id="rId100" Type="http://schemas.openxmlformats.org/officeDocument/2006/relationships/hyperlink" Target="https://www.sec.gov/ix?doc=/Archives/edgar/data/1868279/000110465924049988/tm2412347d1_8k.htm" TargetMode="External"/><Relationship Id="rId101" Type="http://schemas.openxmlformats.org/officeDocument/2006/relationships/hyperlink" Target="https://www.sec.gov/ix?doc=/Archives/edgar/data/1868279/000110465924098059/tm2423588d1_8k.htm" TargetMode="External"/><Relationship Id="rId102" Type="http://schemas.openxmlformats.org/officeDocument/2006/relationships/hyperlink" Target="https://www.sec.gov/ix?doc=/Archives/edgar/data/1868279/000110465925004967/tm253966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2026-05-11T15:54:32Z</dcterms:created>
  <dcterms:modified xsi:type="dcterms:W3CDTF">2026-05-11T15:54:32Z</dcterms:modified>
</cp:coreProperties>
</file>