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9" w:lineRule="exact"/>
        <w:rPr>
          <w:sz w:val="24"/>
          <w:szCs w:val="24"/>
          <w:color w:val="auto"/>
        </w:rPr>
      </w:pPr>
    </w:p>
    <w:p>
      <w:pPr>
        <w:ind w:left="3600" w:right="2520" w:hanging="3592"/>
        <w:spacing w:after="0" w:line="292" w:lineRule="auto"/>
        <w:tabs>
          <w:tab w:leader="none" w:pos="325"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48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4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1" w:lineRule="exact"/>
        <w:rPr>
          <w:sz w:val="24"/>
          <w:szCs w:val="24"/>
          <w:color w:val="auto"/>
        </w:rPr>
      </w:pPr>
    </w:p>
    <w:p>
      <w:pPr>
        <w:jc w:val="center"/>
        <w:ind w:right="-39"/>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001-41929</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ARRIVENT BIOPHARMA, INC.</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3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1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86-3336099</w:t>
            </w:r>
          </w:p>
        </w:tc>
      </w:tr>
      <w:tr>
        <w:trPr>
          <w:trHeight w:val="188"/>
        </w:trPr>
        <w:tc>
          <w:tcPr>
            <w:tcW w:w="3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(State of Other Jurisdiction of incorporation or Organization)</w:t>
            </w:r>
          </w:p>
        </w:tc>
        <w:tc>
          <w:tcPr>
            <w:tcW w:w="4100" w:type="dxa"/>
            <w:vAlign w:val="bottom"/>
          </w:tcPr>
          <w:p>
            <w:pPr>
              <w:jc w:val="center"/>
              <w:ind w:left="19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76"/>
        </w:trPr>
        <w:tc>
          <w:tcPr>
            <w:tcW w:w="3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18 Campus Boulevard Suite 100, Newtown Square, PA</w:t>
            </w:r>
          </w:p>
        </w:tc>
        <w:tc>
          <w:tcPr>
            <w:tcW w:w="410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19073</w:t>
            </w:r>
          </w:p>
        </w:tc>
      </w:tr>
      <w:tr>
        <w:trPr>
          <w:trHeight w:val="187"/>
        </w:trPr>
        <w:tc>
          <w:tcPr>
            <w:tcW w:w="3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100" w:type="dxa"/>
            <w:vAlign w:val="bottom"/>
          </w:tcPr>
          <w:p>
            <w:pPr>
              <w:jc w:val="center"/>
              <w:ind w:left="1948"/>
              <w:spacing w:after="0"/>
              <w:rPr>
                <w:sz w:val="20"/>
                <w:szCs w:val="20"/>
                <w:color w:val="auto"/>
              </w:rPr>
            </w:pPr>
            <w:r>
              <w:rPr>
                <w:rFonts w:ascii="Times New Roman" w:cs="Times New Roman" w:eastAsia="Times New Roman" w:hAnsi="Times New Roman"/>
                <w:sz w:val="14"/>
                <w:szCs w:val="14"/>
                <w:color w:val="auto"/>
              </w:rPr>
              <w:t>(Zip Code)</w:t>
            </w:r>
          </w:p>
        </w:tc>
      </w:tr>
      <w:tr>
        <w:trPr>
          <w:trHeight w:val="167"/>
        </w:trPr>
        <w:tc>
          <w:tcPr>
            <w:tcW w:w="3660" w:type="dxa"/>
            <w:vAlign w:val="bottom"/>
          </w:tcPr>
          <w:p>
            <w:pPr>
              <w:spacing w:after="0"/>
              <w:rPr>
                <w:sz w:val="14"/>
                <w:szCs w:val="14"/>
                <w:color w:val="auto"/>
              </w:rPr>
            </w:pPr>
          </w:p>
        </w:tc>
        <w:tc>
          <w:tcPr>
            <w:tcW w:w="4100" w:type="dxa"/>
            <w:vAlign w:val="bottom"/>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(628) 277-4836</w:t>
            </w:r>
          </w:p>
        </w:tc>
      </w:tr>
    </w:tbl>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980" w:type="dxa"/>
            <w:vAlign w:val="bottom"/>
            <w:vMerge w:val="restart"/>
          </w:tcPr>
          <w:p>
            <w:pPr>
              <w:spacing w:after="0"/>
              <w:rPr>
                <w:sz w:val="13"/>
                <w:szCs w:val="13"/>
                <w:color w:val="auto"/>
              </w:rPr>
            </w:pPr>
          </w:p>
        </w:tc>
        <w:tc>
          <w:tcPr>
            <w:tcW w:w="252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1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00" w:type="dxa"/>
            <w:vAlign w:val="bottom"/>
            <w:gridSpan w:val="3"/>
          </w:tcPr>
          <w:p>
            <w:pPr>
              <w:jc w:val="center"/>
              <w:ind w:right="1080"/>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212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AVBP</w:t>
            </w:r>
          </w:p>
        </w:tc>
        <w:tc>
          <w:tcPr>
            <w:tcW w:w="2520" w:type="dxa"/>
            <w:vAlign w:val="bottom"/>
            <w:gridSpan w:val="3"/>
          </w:tcPr>
          <w:p>
            <w:pPr>
              <w:jc w:val="center"/>
              <w:ind w:left="908"/>
              <w:spacing w:after="0" w:line="158" w:lineRule="exact"/>
              <w:rPr>
                <w:sz w:val="20"/>
                <w:szCs w:val="20"/>
                <w:color w:val="auto"/>
              </w:rPr>
            </w:pPr>
            <w:r>
              <w:rPr>
                <w:rFonts w:ascii="Times New Roman" w:cs="Times New Roman" w:eastAsia="Times New Roman" w:hAnsi="Times New Roman"/>
                <w:sz w:val="14"/>
                <w:szCs w:val="14"/>
                <w:b w:val="1"/>
                <w:bCs w:val="1"/>
                <w:color w:val="auto"/>
              </w:rPr>
              <w:t>Nasdaq Global Market</w:t>
            </w:r>
          </w:p>
        </w:tc>
        <w:tc>
          <w:tcPr>
            <w:tcW w:w="0" w:type="dxa"/>
            <w:vAlign w:val="bottom"/>
          </w:tcPr>
          <w:p>
            <w:pPr>
              <w:spacing w:after="0"/>
              <w:rPr>
                <w:sz w:val="1"/>
                <w:szCs w:val="1"/>
                <w:color w:val="auto"/>
              </w:rPr>
            </w:pPr>
          </w:p>
        </w:tc>
      </w:tr>
      <w:tr>
        <w:trPr>
          <w:trHeight w:val="190"/>
        </w:trPr>
        <w:tc>
          <w:tcPr>
            <w:tcW w:w="4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212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20"/>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000" w:val="left"/>
        </w:tabs>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9"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Accelerated filer</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4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180"/>
        <w:spacing w:after="0" w:line="183"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70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1" w:lineRule="exact"/>
        <w:rPr>
          <w:sz w:val="24"/>
          <w:szCs w:val="24"/>
          <w:color w:val="auto"/>
        </w:rPr>
      </w:pPr>
    </w:p>
    <w:p>
      <w:pPr>
        <w:ind w:right="120"/>
        <w:spacing w:after="0" w:line="250"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shares of common stock on The Nasdaq Global Market on June 28, 2024 (the last business day of the registrant’s most recently completed second fiscal quarter), was $384,183,782.</w:t>
      </w:r>
    </w:p>
    <w:p>
      <w:pPr>
        <w:spacing w:after="0" w:line="228" w:lineRule="auto"/>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28, 2025 was 34,016,197.</w:t>
      </w:r>
    </w:p>
    <w:p>
      <w:pPr>
        <w:ind w:left="37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 w:lineRule="exact"/>
        <w:rPr>
          <w:sz w:val="24"/>
          <w:szCs w:val="24"/>
          <w:color w:val="auto"/>
        </w:rPr>
      </w:pPr>
    </w:p>
    <w:p>
      <w:pPr>
        <w:ind w:right="140" w:firstLine="324"/>
        <w:spacing w:after="0" w:line="241" w:lineRule="auto"/>
        <w:rPr>
          <w:sz w:val="20"/>
          <w:szCs w:val="20"/>
          <w:color w:val="auto"/>
        </w:rPr>
      </w:pPr>
      <w:r>
        <w:rPr>
          <w:rFonts w:ascii="Times New Roman" w:cs="Times New Roman" w:eastAsia="Times New Roman" w:hAnsi="Times New Roman"/>
          <w:sz w:val="14"/>
          <w:szCs w:val="14"/>
          <w:color w:val="auto"/>
        </w:rPr>
        <w:t>The information required by Part III of this Annual Report on Form 10-K, to the extent not set forth herein, is incorporated herein by reference from the registrant’s definitive proxy statement relating to the Annual Meeting of Stockholders to be held in 2025, which definitive proxy statement shall be filed with the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417830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-10160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32385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gridSpan w:val="20"/>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3700" w:type="dxa"/>
            <w:vAlign w:val="bottom"/>
            <w:gridSpan w:val="11"/>
            <w:vMerge w:val="restart"/>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700" w:type="dxa"/>
            <w:vAlign w:val="bottom"/>
            <w:gridSpan w:val="11"/>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7260" w:type="dxa"/>
            <w:vAlign w:val="bottom"/>
            <w:gridSpan w:val="3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2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74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780" w:type="dxa"/>
            <w:vAlign w:val="bottom"/>
            <w:gridSpan w:val="2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7180" w:type="dxa"/>
            <w:vAlign w:val="bottom"/>
            <w:gridSpan w:val="3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68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Securities</w:t>
            </w:r>
          </w:p>
        </w:tc>
        <w:tc>
          <w:tcPr>
            <w:tcW w:w="6100" w:type="dxa"/>
            <w:vAlign w:val="bottom"/>
            <w:tcBorders>
              <w:top w:val="single" w:sz="8" w:color="0000EE"/>
            </w:tcBorders>
            <w:gridSpan w:val="29"/>
          </w:tcPr>
          <w:p>
            <w:pPr>
              <w:spacing w:after="0"/>
              <w:rPr>
                <w:sz w:val="17"/>
                <w:szCs w:val="17"/>
                <w:color w:val="auto"/>
              </w:rPr>
            </w:pPr>
          </w:p>
        </w:tc>
        <w:tc>
          <w:tcPr>
            <w:tcW w:w="11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Item 6. [Reserved]</w:t>
            </w:r>
          </w:p>
        </w:tc>
        <w:tc>
          <w:tcPr>
            <w:tcW w:w="7120" w:type="dxa"/>
            <w:vAlign w:val="bottom"/>
            <w:gridSpan w:val="29"/>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24"/>
                <w:szCs w:val="24"/>
                <w:color w:val="auto"/>
              </w:rPr>
            </w:pPr>
          </w:p>
        </w:tc>
        <w:tc>
          <w:tcPr>
            <w:tcW w:w="146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8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5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0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140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600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9B. 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740" w:type="dxa"/>
            <w:vAlign w:val="bottom"/>
            <w:tcBorders>
              <w:top w:val="single" w:sz="8" w:color="0000EE"/>
            </w:tcBorders>
            <w:gridSpan w:val="2"/>
          </w:tcPr>
          <w:p>
            <w:pPr>
              <w:spacing w:after="0"/>
              <w:rPr>
                <w:sz w:val="24"/>
                <w:szCs w:val="24"/>
                <w:color w:val="auto"/>
              </w:rPr>
            </w:pPr>
          </w:p>
        </w:tc>
        <w:tc>
          <w:tcPr>
            <w:tcW w:w="290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7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11. Executive Compensation</w:t>
            </w:r>
          </w:p>
        </w:tc>
        <w:tc>
          <w:tcPr>
            <w:tcW w:w="6020" w:type="dxa"/>
            <w:vAlign w:val="bottom"/>
            <w:gridSpan w:val="2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94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08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23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366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4660" w:type="dxa"/>
            <w:vAlign w:val="bottom"/>
            <w:gridSpan w:val="18"/>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4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Item 16. Form 10-K Summary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1420" w:type="dxa"/>
            <w:vAlign w:val="bottom"/>
            <w:tcBorders>
              <w:top w:val="single" w:sz="8" w:color="0000EE"/>
            </w:tcBorders>
            <w:gridSpan w:val="9"/>
          </w:tcPr>
          <w:p>
            <w:pPr>
              <w:spacing w:after="0"/>
              <w:rPr>
                <w:sz w:val="24"/>
                <w:szCs w:val="24"/>
                <w:color w:val="auto"/>
              </w:rPr>
            </w:pPr>
          </w:p>
        </w:tc>
        <w:tc>
          <w:tcPr>
            <w:tcW w:w="6280" w:type="dxa"/>
            <w:vAlign w:val="bottom"/>
            <w:gridSpan w:val="2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844"/>
        </w:trPr>
        <w:tc>
          <w:tcPr>
            <w:tcW w:w="4760" w:type="dxa"/>
            <w:vAlign w:val="bottom"/>
            <w:gridSpan w:val="23"/>
          </w:tcPr>
          <w:p>
            <w:pPr>
              <w:jc w:val="center"/>
              <w:ind w:left="407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39" w:firstLine="360"/>
        <w:spacing w:after="0" w:line="272" w:lineRule="auto"/>
        <w:rPr>
          <w:sz w:val="20"/>
          <w:szCs w:val="20"/>
          <w:color w:val="auto"/>
        </w:rPr>
      </w:pPr>
      <w:r>
        <w:rPr>
          <w:rFonts w:ascii="Times New Roman" w:cs="Times New Roman" w:eastAsia="Times New Roman" w:hAnsi="Times New Roman"/>
          <w:sz w:val="17"/>
          <w:szCs w:val="17"/>
          <w:color w:val="auto"/>
        </w:rPr>
        <w:t>This Annual Report on Form 10-K (Annual Report) contains forward-looking statements that involve risks and uncertainties. All statements other than statements of historical facts contained in this Annual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21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product candidates, including our product development plans and strategies;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5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our ability to obtain funding for our operations;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579" w:hanging="319"/>
        <w:spacing w:after="0" w:line="25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our ability to advance product candidates into, and successfully complete, clinical trials;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timing or likelihood of regulatory filing and approvals;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commercialization of our product candidates, if approved;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pricing and reimbursement of our product candidates, if approved;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implementation of our business model, strategic plans for our business, product candidates and technology;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1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developments relating to our competitors and our industry;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w:t>
        <w:tab/>
        <w:t>the accuracy of our estimates regarding expenses, capital requirements and needs for additional financing;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right="2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ind w:left="60" w:right="259" w:firstLine="324"/>
        <w:spacing w:after="0" w:line="312" w:lineRule="auto"/>
        <w:rPr>
          <w:sz w:val="20"/>
          <w:szCs w:val="20"/>
          <w:color w:val="auto"/>
        </w:rPr>
      </w:pPr>
      <w:r>
        <w:rPr>
          <w:rFonts w:ascii="Times New Roman" w:cs="Times New Roman" w:eastAsia="Times New Roman" w:hAnsi="Times New Roman"/>
          <w:sz w:val="17"/>
          <w:szCs w:val="17"/>
          <w:color w:val="auto"/>
        </w:rPr>
        <w:t>These forward-looking statements are subject to a number of risks, uncertainties and assumptions, including those described in the “Risk Factors” section and elsewhere in this Annual Report. Moreover, we operate in a very competitive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Annual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to conform these statements to new information, actual results or to changes in our expectations, except as required by law.</w:t>
      </w:r>
    </w:p>
    <w:p>
      <w:pPr>
        <w:spacing w:after="0" w:line="192"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You should read this Annual Report and the documents that we reference in this Annual Report and have filed with the Securities and Exchange Commission (SEC) as exhibits to this Annual Report with the understanding that our actual future results, levels of activity, performance, and events and circumstances may be materially different from what we expect.</w:t>
      </w:r>
    </w:p>
    <w:p>
      <w:pPr>
        <w:spacing w:after="0" w:line="158"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Annual Report contains references to our trademarks and to trademarks belonging to other entities. Solely for convenience, trademarks and trade names referred to in this Annual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67" w:lineRule="auto"/>
        <w:rPr>
          <w:sz w:val="20"/>
          <w:szCs w:val="20"/>
          <w:color w:val="auto"/>
        </w:rPr>
      </w:pPr>
      <w:r>
        <w:rPr>
          <w:rFonts w:ascii="Times New Roman" w:cs="Times New Roman" w:eastAsia="Times New Roman" w:hAnsi="Times New Roman"/>
          <w:sz w:val="17"/>
          <w:szCs w:val="17"/>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(EGFR) mutations (EGFRm) in non-small cell lung cancer (NSCLC), including a pivotal Phase 3 clinical trial in treatment naive, or first-line, patients with locally advanced or metastatic EGFRm NSCLC with exon 20 insertion mutations. We received Breakthrough Therapy Designation for firmonertinib for this disease from the U.S. Food and Drug Administration (FDA) in</w:t>
      </w:r>
    </w:p>
    <w:p>
      <w:pPr>
        <w:spacing w:after="0" w:line="5" w:lineRule="exact"/>
        <w:rPr>
          <w:sz w:val="20"/>
          <w:szCs w:val="20"/>
          <w:color w:val="auto"/>
        </w:rPr>
      </w:pPr>
    </w:p>
    <w:p>
      <w:pPr>
        <w:ind w:left="60" w:right="11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(HER2) mutations or human epidermal growth factor receptor 4 (HER4)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2021, we licensed from Shanghai Allist Pharmaceuticals, Co. Ltd (Allist) the right to develop and commercialize firmonertinib worldwide, with the exception of greater China, which includes mainland China, Hong Kong, Macau and Taiwan. Firmonertinib is an investigational, novel, EGFR mutant-selective tyrosine kinase inhibitor (TKI) that we are developing for the treatment of NSCLC patients across a broader set of EGFR mutations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activity observed in seven out of ten patients in first-line treatment with EGFR exon 20 insertion mutations in the ongoing Phase 1b clinical trial, the FAVOUR trial, conducted by Allist in China, and preclinical activity in P-loop and-alpha-c-helix compressing (PACC) mutations, each a subtype of uncommon mutation. In a subsequent interim data readout from the FAVOUR trial of firmonertinib administered at 240 mg once daily in first-line patients with locally advanced or metastatic EGFRm NSCLC with exon 20 insertion mutations, 79% of patients (n=22 out of 28 patients) were observed to experience a reduction in tumor size of at least 30%.</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administered at 240 mg once daily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Response Evaluation Criteria in Solid Tumors (RECIST) 1.1 criteria. This measurement of reduction is the threshold in this trial for a partial response and for inclusion in determination of the overall response rate (ORR), which is the primary endpoint of this trial. In the same interim data readout, those 79% of patients were observed to experience a 15.2 month median duration of response (DOR). Interim results may not be indicative of final results; however, we believe these interim clinical results underscore firmonertinib’s potential in patients whose tumors contain an uncommon EGFRm.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We are currently conducting a pivotal Phase 3 clinical trial, the FURVENT clinical trial, in first-line locally advanced or metastatic non-squamous EGFRm NSCLC patients with exon 20 insertion mutations and we expect topline data from this trial in 2025. Additionally, we are conducting a Phase 1b clinical trial, the FURTHER clinical trial, in NSCLC patients with activating EGFRm, including a cohort with PACC mutations. </w:t>
      </w:r>
      <w:r>
        <w:rPr>
          <w:rFonts w:ascii="Times New Roman" w:cs="Times New Roman" w:eastAsia="Times New Roman" w:hAnsi="Times New Roman"/>
          <w:sz w:val="18"/>
          <w:szCs w:val="18"/>
          <w:color w:val="212529"/>
        </w:rPr>
        <w:t>In September 2024, we reported 64% of patients (n=14 out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22 1L patients at 240mg) were observed to experience a confirmed reduction in tumor size of at least 30% </w:t>
      </w:r>
      <w:r>
        <w:rPr>
          <w:rFonts w:ascii="Times New Roman" w:cs="Times New Roman" w:eastAsia="Times New Roman" w:hAnsi="Times New Roman"/>
          <w:sz w:val="18"/>
          <w:szCs w:val="18"/>
          <w:color w:val="000000"/>
        </w:rPr>
        <w:t>from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baseline without evidence of progression as measured by RECIST 1.1 criteria</w:t>
      </w:r>
      <w:r>
        <w:rPr>
          <w:rFonts w:ascii="Times New Roman" w:cs="Times New Roman" w:eastAsia="Times New Roman" w:hAnsi="Times New Roman"/>
          <w:sz w:val="18"/>
          <w:szCs w:val="18"/>
          <w:color w:val="212529"/>
        </w:rPr>
        <w:t>.</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Since our inception in 2021, we have assembled a robust oncology pipeline by leveraging our global network and our experience in business development transactions. In 2021, we licensed from Allist the right to develop and commercialize firmonertinib worldwide, with the exception of greater China, which includes mainland China, Hong Kong, Macau and Taiwan. Also in 2021, we entered into a research collaboration, as amended, with Aarvik Therapeutics, Inc. (Aarvik) to leverage its proprietary multi-target, multivalent, site-specific conjugation antibody platform to discover next-generation antibody drug conjugates (ADCs) with improved activity and safety over single target bivalent ADCs. In 2024, we entered into a collaboration agreement with Jiangsu Alphamab Biopharmaceuticals Co., Ltd. (Alphamab), a wholly owned subsidiary of Alphamab Oncology, to discover, develop and commercialize novel ADCs for the treatment of cancers globally, with the exception of greater China, which includes mainland China, Hong Kong, Macau and Taiwan. In January 2025, we entered into an exclusive license agreement with Lepu Biopharma Co. Ltd. (Lepu Biopharma) pursuant to which Lepu Biopharma granted us the right to develop and commercialize ARR-217 (MRG-007), an ADC for gastrointestinal cancers outside greater China, which includes mainland China, Hong Kong, Macau, and Taiwan.</w:t>
      </w:r>
    </w:p>
    <w:p>
      <w:pPr>
        <w:spacing w:after="0" w:line="217"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We plan to continue to engage in business development activities to source additional innovative therapeutics in areas currently underserved by approved therapies. This broader strategy includes evaluating research collaborations, partnerships and licensing arrangements intended to expand our development pipeline of differentiated and next-generation oncology assets. The following table summarizes our current pipeline indicating the most advanced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5606415" cy="2520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NSCLC: non-small cell lung cancer; EGFR: epidermal growth factor receptor; PACC: P-loop alpha-c helix compressing; TKI: tyrosine kinase inhibitor;</w:t>
      </w:r>
    </w:p>
    <w:p>
      <w:pPr>
        <w:ind w:left="60"/>
        <w:spacing w:after="0" w:line="226" w:lineRule="auto"/>
        <w:rPr>
          <w:sz w:val="20"/>
          <w:szCs w:val="20"/>
          <w:color w:val="auto"/>
        </w:rPr>
      </w:pPr>
      <w:r>
        <w:rPr>
          <w:rFonts w:ascii="Times New Roman" w:cs="Times New Roman" w:eastAsia="Times New Roman" w:hAnsi="Times New Roman"/>
          <w:sz w:val="14"/>
          <w:szCs w:val="14"/>
          <w:color w:val="auto"/>
        </w:rPr>
        <w:t>BTD: Breakthrough Therapy Designation; GI Tumors: gastrointestinal tumors; IND-enabling studies: Investigational New Drug enabling studies; NME:</w:t>
      </w:r>
    </w:p>
    <w:p>
      <w:pPr>
        <w:ind w:left="60"/>
        <w:spacing w:after="0" w:line="222" w:lineRule="auto"/>
        <w:rPr>
          <w:sz w:val="20"/>
          <w:szCs w:val="20"/>
          <w:color w:val="auto"/>
        </w:rPr>
      </w:pPr>
      <w:r>
        <w:rPr>
          <w:rFonts w:ascii="Times New Roman" w:cs="Times New Roman" w:eastAsia="Times New Roman" w:hAnsi="Times New Roman"/>
          <w:sz w:val="14"/>
          <w:szCs w:val="14"/>
          <w:color w:val="auto"/>
        </w:rPr>
        <w:t>new molecular entity; 1L: First-line therapy; 1L+: Treatment naive and previously treated with non-TKI therapies; 2L+: Second-line or greater therapy;</w:t>
      </w:r>
    </w:p>
    <w:p>
      <w:pPr>
        <w:ind w:left="60"/>
        <w:spacing w:after="0" w:line="221" w:lineRule="auto"/>
        <w:rPr>
          <w:sz w:val="20"/>
          <w:szCs w:val="20"/>
          <w:color w:val="auto"/>
        </w:rPr>
      </w:pPr>
      <w:r>
        <w:rPr>
          <w:rFonts w:ascii="Times New Roman" w:cs="Times New Roman" w:eastAsia="Times New Roman" w:hAnsi="Times New Roman"/>
          <w:sz w:val="14"/>
          <w:szCs w:val="14"/>
          <w:color w:val="auto"/>
        </w:rPr>
        <w:t>SHP2i: SHP2 inhibitor.</w:t>
      </w:r>
    </w:p>
    <w:p>
      <w:pPr>
        <w:ind w:left="380" w:right="99" w:hanging="330"/>
        <w:spacing w:after="0" w:line="233"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investigation of firmonertinib for the first-line treatment of NSCLC EGFR exon 20 insertion mutations is based on the ongoing FAVOUR Phase 1b study conducted by Allist and the ongoing FURVENT Phase 3 study. These studies are not yet complete, and no Phase 2 study has been conducted for firmonertinib for the first-line treatment of NSCLC EGFR exon 20 insertion mutations.</w:t>
      </w:r>
    </w:p>
    <w:p>
      <w:pPr>
        <w:spacing w:after="0" w:line="69" w:lineRule="exact"/>
        <w:rPr>
          <w:sz w:val="20"/>
          <w:szCs w:val="20"/>
          <w:color w:val="auto"/>
        </w:rPr>
      </w:pPr>
    </w:p>
    <w:p>
      <w:pPr>
        <w:ind w:left="380" w:right="319" w:hanging="330"/>
        <w:spacing w:after="0" w:line="26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FURTHER Phase 1b study investigating firmonertinib for the treatment of EGFRm NSCLC includes cohorts with PACC mutations (first-line or greater) and exon 20 insertion mutations (second-line or greater).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379" w:hanging="330"/>
        <w:spacing w:after="0" w:line="26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evaluation of firmonertinib in combination with SHP2i for the second-line or greater treatment of EGFRm NSCLC is based on the ongoing Phase 1b study in collaboration with InnoCare.</w:t>
      </w:r>
    </w:p>
    <w:p>
      <w:pPr>
        <w:spacing w:after="0" w:line="167" w:lineRule="exact"/>
        <w:rPr>
          <w:sz w:val="20"/>
          <w:szCs w:val="20"/>
          <w:color w:val="auto"/>
        </w:rPr>
      </w:pPr>
    </w:p>
    <w:p>
      <w:pPr>
        <w:ind w:left="60" w:right="59" w:firstLine="324"/>
        <w:spacing w:after="0" w:line="241" w:lineRule="auto"/>
        <w:rPr>
          <w:sz w:val="20"/>
          <w:szCs w:val="20"/>
          <w:color w:val="auto"/>
        </w:rPr>
      </w:pPr>
      <w:r>
        <w:rPr>
          <w:rFonts w:ascii="Times New Roman" w:cs="Times New Roman" w:eastAsia="Times New Roman" w:hAnsi="Times New Roman"/>
          <w:sz w:val="18"/>
          <w:szCs w:val="18"/>
          <w:color w:val="auto"/>
        </w:rPr>
        <w:t>Currently approved EGFR TKIs have achieved considerable commercial success and have become the standard of care for patients with NSCLC with classical EGFRm which comprise approximately 69% of all EGFRm NSCLC patients. However, many of these therapies, including AstraZeneca plc’s (AstraZeneca) third-generation EGFR TKI, osimertinib (TAGRISSO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are minimally active against or not approved for use in a significant portion of NSCLC patients with uncommon EGFRm. This unmet need leaves many EGFRm NSCLC patients with few effective treatment options. Firmonertinib is currently approved and commercially distributed by Allist in China as a first-line therapy to treat classical EGFRm NSCLC. However, firmonertinib was designed to have strong inhibitory activity, not only against classical EGFRm, but also against uncommon EGFRm, such as exon 20 insertion and PACC mutations which together account for approximately 22% of EGFRm NSCLC.</w:t>
      </w:r>
    </w:p>
    <w:p>
      <w:pPr>
        <w:spacing w:after="0" w:line="19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To date, firmonertinib has been evaluated in multiple clinical trials with an aggregate patient population of over 1,000 patients against a broad range of EGFRm NSCLC, including both classical and uncommon EGFRm. Based on the results of preclinical and clinical trials conducted to date, we believe that firmonertinib has the potential to retain many of the key advantages of third-generation EGFR TKIs compared to first- and second-generation EGFR TKIs, including overcoming T790M mutations that confer resistance to earlier generation TKIs, while also targeting a broader set of EGFRm. In 2022, Allist reported the results of its FURLONG clinical trial, a double blind, placebo-controlled Phase 3 clinical trial of firmonertinib in first-line NSCLC patients with classical EGFRm. In FURLONG, firmonertinib was compared with the first-generation EGFR TKI, gefitinib, and demonstrated superior progression free survival (PFS) over gefitinib, showing a median PFS of 20.8 months versus 11.1 months for gefitinib. Firmonertinib’s ability to cross the blood-brain barrier was also demonstrated in this clinical trial with a central nervous system (CNS) metastases specific ORR, which measured reduction of tumor size of at least 30% in brain metastases if present at the start of therapy, of 91% versus 65% for gefitinib. Based on observed clinical activity against exon 20 insertions in the FAVOUR clinical trial and observed activity against PACC mutations in preclinical studies, we believe firmonertinib is potentially differentiated from third-generation EGFR TKIs approved for classical EGFRm NSCLC.</w:t>
      </w:r>
    </w:p>
    <w:p>
      <w:pPr>
        <w:spacing w:after="0" w:line="19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and the European Union, standard of care for first-line therapy in EGFRm NSCLC involving exon 20 insertion mutations is platinum-based chemotherapy with pemetrexed with or without amivantamab. These regimens have significantly lower response rates and DOR compared to results achieved in first-line patients with classical EGFRm who can be treated with approved third-generation EGFR TKIs. Over 9% of EGFRm NSCLC patients are estimated to have exon 20 insertion mutations. However, amivantimab lacks brain penetrance to effectively treat brain metastasis. In March 2024 and July 2024, amivantamab in combination with chemotherapy, was approved in the United States and Europe, respectively, for first line EGFRm NSCLC patients with exon 20 insertion mutations. However, amivantamab is an intravenously administered biologic lacking the advantages of oral therapies. Furthermore, amivantamab is being dosed in combination with chemotherapy in this setting with chemotherapy associated toxicities. We believe firmonertinib, if approved, has the potential to become a chemotherapy-free oral regimen in first-line EGFRm NSCLC patients with exon 20 insertion mutations given the clinical data generated in this patient population to date.</w:t>
      </w:r>
    </w:p>
    <w:p>
      <w:pPr>
        <w:spacing w:after="0" w:line="192"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Guidelines employing TKIs for the treatment of many of the PACC-specific EGFRm are not established and, as a result, chemotherapy is often used as the default course of therapy, offering limited efficacy and introducing chemotherapy-related toxicity. Afatinib (GILOTRIF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second-generation TKI, is also used in some patients, but has a poor safety profile and is not brain penetrant. Osimertinib is frequently used in some patients, but the activity of osimertinib is much less than in classical EGFRm NSCLC. Over 12% of EGFRm NSCLC patients are estimated to have PACC mutations. If approved, we believe firmonertinib has the potential to become a leading treatment option for first-line EGFRm NSCLC patients with PACC mutations based on firmonertinib’s preclinical and clinical activity observed against these mutations and the evaluation of firmonertinib in multiple clinical trials.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Firmonertinib Development Initiative</w:t>
      </w:r>
    </w:p>
    <w:p>
      <w:pPr>
        <w:spacing w:after="0" w:line="22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have designed a robust global clinical development plan across a broad spectrum of EGFRm NSCLC patient populations for which we believe firmonertinib will have a differentiated profile compared to currently available treatments. The following table describes the key planned and ongoing clinical trials of firmonertinib conducted by us or our collaboration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606415" cy="1979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Allist sponsor; ** InnoCare sponsor; 1L: First-Line Therapy; 2L+: Second-line or greater therapy;</w:t>
      </w:r>
    </w:p>
    <w:p>
      <w:pPr>
        <w:spacing w:after="0" w:line="206" w:lineRule="exact"/>
        <w:rPr>
          <w:sz w:val="20"/>
          <w:szCs w:val="20"/>
          <w:color w:val="auto"/>
        </w:rPr>
      </w:pPr>
    </w:p>
    <w:p>
      <w:pPr>
        <w:ind w:left="60" w:right="259"/>
        <w:spacing w:after="0" w:line="284" w:lineRule="auto"/>
        <w:rPr>
          <w:sz w:val="20"/>
          <w:szCs w:val="20"/>
          <w:color w:val="auto"/>
        </w:rPr>
      </w:pPr>
      <w:r>
        <w:rPr>
          <w:rFonts w:ascii="Times New Roman" w:cs="Times New Roman" w:eastAsia="Times New Roman" w:hAnsi="Times New Roman"/>
          <w:sz w:val="18"/>
          <w:szCs w:val="18"/>
          <w:i w:val="1"/>
          <w:iCs w:val="1"/>
          <w:color w:val="auto"/>
        </w:rPr>
        <w:t>FURVENT — Our Ongoing Phase 3 Clinical Trial in First-Line Non-Squamous Locally Advanced or Metastatic EGFRm NSCLC Patients with Exon 20 Insertion Mutations</w:t>
      </w:r>
    </w:p>
    <w:p>
      <w:pPr>
        <w:spacing w:after="0" w:line="16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have enrolled our target of 375 patients in FURVENT, a global, pivotal Phase 3 clinical trial of firmonertinib in first-line non-squamous locally advanced or metastatic NSCLC patients with exon 20 insertion mutations being conducted jointly with Allist. Our FURVENT clinical trial is designed to assess the safety and efficacy of firmonertinib administered at either 160 mg or 240 mg, once-daily as compared to platinum-based chemotherapy with pemetrexed, the current first-line standard of care. The primary endpoint of this study is PFS. We enrolled 375 patients globally, including from sites in the United States, Europe and certain Asian countries including China. We expect topline data from our FURVENT clinical trial in 2025.</w:t>
      </w:r>
    </w:p>
    <w:p>
      <w:pPr>
        <w:spacing w:after="0" w:line="187"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FURTHER — Our Ongoing Phase 1b Clinical Trial in NSCLC Patients with EGFR Activating Mutations including PACC Mutations</w:t>
      </w:r>
    </w:p>
    <w:p>
      <w:pPr>
        <w:spacing w:after="0" w:line="16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We have completed enrolling patients in FURTHER, an ongoing, global Phase 1b dose escalation and expansion clinical trial being conducted jointly with Allist. It is intended to evaluate the safety, pharmacokinetics and preliminary anti-tumor activity of once-daily firmonertinib when used in patients with NSCLC involving locally advanced or metastatic disease that have previously received systemic therapy and whose tumors contain EGFR activating mutations. Anti-tumor activity is measured by confirmed complete response, defined as the disappearance of all target lesions, or partial response, defined as at least a 30% decrease in target lesions in the absence of a complete response, relative to the total number of patients. The pharmacokinetics, adverse events, serious adverse events, and observed anti-tumor activity in the exon 20 patients of firmonertinib in the clinical trial to date are consistent with those observed in the FAVOUR clinical trial conducted in China. The FURTHER clinical trial includes a cohort of 60 patients with a PACC EGFRm who are TKI treatment-naïve, and has been fully enrolled. </w:t>
      </w:r>
      <w:r>
        <w:rPr>
          <w:rFonts w:ascii="Times New Roman" w:cs="Times New Roman" w:eastAsia="Times New Roman" w:hAnsi="Times New Roman"/>
          <w:sz w:val="18"/>
          <w:szCs w:val="18"/>
          <w:color w:val="212529"/>
        </w:rPr>
        <w:t>In September 2024, we reported 64% of patients (n=14 out of 22 patients) treated at the 240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mg dose were observed to experience a confirmed reduction in tumor size of at least 30% </w:t>
      </w:r>
      <w:r>
        <w:rPr>
          <w:rFonts w:ascii="Times New Roman" w:cs="Times New Roman" w:eastAsia="Times New Roman" w:hAnsi="Times New Roman"/>
          <w:sz w:val="18"/>
          <w:szCs w:val="18"/>
          <w:color w:val="000000"/>
        </w:rPr>
        <w:t>from the baseline without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evidence of progression as measured by RECIST 1.1 criteria</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FAVOUR — Ongoing Phase 1b Clinical Trial in NSCLC Patients with EGFR Exon 20 Insertion Mutations</w:t>
      </w:r>
    </w:p>
    <w:p>
      <w:pPr>
        <w:spacing w:after="0" w:line="22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FAVOUR clinical trial is an ongoing 90-patient Phase 1b clinical trial being conducted by Allist in China that is intended to assess the safety and efficacy of firmonertinib in locally advanced or metastatic NSCLC patients who have EGFR exon 20 insertion mutations. First-line patients receive 240 mg firmonertinib once daily. Patients that have received prior treatment are randomized to receive either 160 mg or 240 mg of firmonertinib once daily. Initial data obtained through June 15, 2023 showed a confirmed ORR (defined as a reduction in tumor size of at least 30% from the baseline in a patient without evidence of progression), among patients evaluable as of that date of 79% among the treatment-naïve patients cohort, 46% among the pretreated 240 mg cohort and 39% in the pretreated 160 mg cohort. Median DOR was 15.2 months in treatment-naïve patients, 13.1 months in the 240 mg pretreated cohort and 9.7 months in the 160 mg pretreated cohort. Firmonertinib was observed to be generally well tolerated in all clinical trial cohorts to date with a low rate of discontinuation due to treatment-related adverse events (TRAEs). As of June 15, 2023, treatment related serious adverse events (TRSAEs) were observed in 6 out of 86 of the treated patients and 2 out of 86 patients discontinued participation in the trial as a result of TRAEs.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SHP2 Combination Trial — Ongoing Phase 1b Clinical Trial in Classical EGFRm NSCLC Patients</w:t>
      </w:r>
    </w:p>
    <w:p>
      <w:pPr>
        <w:spacing w:after="0" w:line="22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Given the eventual emergence of resistance that occurs with EGFR TKIs we are also evaluating combination partner drugs with firmonertinib to treat or prevent resistance to third-generation EGFR TKIs. We are evaluating the use of firmonertinib in combination with ICP-189, a SHP2 inhibitor (SHP2i), in collaboration with Beijing InnoCare Pharma Tech Co., Ltd. (InnoCare). SHP2 is a protein tyrosine phosphatase with an important role in the signaling pathways downstream of EGFR and other receptor tyrosine kinases (RTKs) that have been implicated in resistance such as the mesenchymal epithelial transition factor receptor (MET) tyrosine kinase. We believe this therapeutic combination may not only further inhibit signaling pathways downstream from EGFR resulting in enhanced tumor shrinkage, but may also prevent the emergence of resistance due to signaling through other RTKs. We have submitted an Investigational New Drug Application (IND) to the NMPA’s Center for Drug Evaluation for a Phase 1b trial designed to evaluate the safety, pharmacokinetics and preliminary efficacy of the firmonertinib-ICP-189 combination in EGFRm NSCLC involving classical mutations and dosed the first patient in March 2024 and expect the potential proof of concept in second-line classical EGFRm NSCLC to become available in 2026.</w:t>
      </w:r>
    </w:p>
    <w:p>
      <w:pPr>
        <w:spacing w:after="0" w:line="1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Planned Adjuvant Study in NSCLC Patients with Uncommon EGFRm, including Exon 20 Insertion and PACC Mutations</w:t>
      </w:r>
    </w:p>
    <w:p>
      <w:pPr>
        <w:spacing w:after="0" w:line="239" w:lineRule="exact"/>
        <w:rPr>
          <w:sz w:val="20"/>
          <w:szCs w:val="20"/>
          <w:color w:val="auto"/>
        </w:rPr>
      </w:pPr>
    </w:p>
    <w:p>
      <w:pPr>
        <w:ind w:left="60" w:right="179" w:firstLine="324"/>
        <w:spacing w:after="0" w:line="274" w:lineRule="auto"/>
        <w:rPr>
          <w:sz w:val="20"/>
          <w:szCs w:val="20"/>
          <w:color w:val="auto"/>
        </w:rPr>
      </w:pPr>
      <w:r>
        <w:rPr>
          <w:rFonts w:ascii="Times New Roman" w:cs="Times New Roman" w:eastAsia="Times New Roman" w:hAnsi="Times New Roman"/>
          <w:sz w:val="17"/>
          <w:szCs w:val="17"/>
          <w:color w:val="auto"/>
        </w:rPr>
        <w:t>The potential for EGFR TKIs that have demonstrated efficacy, safety and tolerability in the metastatic setting to improve disease-free and overall survival when administered in the adjuvant setting has been demonstrated by osimertinib in NSCLC patients with a classical EGFRm. We believe firmonertinib similarly has the potential to improve outcomes when administered as adjuvant therapy to EGFRm NSCLC patients with uncommon EGFRm, as these patients are not eligible for treatment with osimertinib. We intend to participate in a global adjuvant study of firmonertinib in EGFRm NSCLC with uncommon mutations initiated in China based on results obtained from currently ongoing clinical trials.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FURLONG — Completed Phase 3 Clinical Trial in Classical EGFRm First-Line NSCLC Patients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FURLONG was a 358-patient clinical trial in China conducted by Allist, with results first reported in 2022, which resulted in the approval of firmonertinib in China as a first-line therapy in patients with locally advanced or metastatic NSCLC with classical EGFRm. It was designed to compare the safety and efficacy of once daily dosing of 80 mg firmonertinib to 250 mg gefitinib. Firmonertinib demonstrated clinically meaningful and statistically significant efficacy and a favorable safety profile as compared to the first-generation EGFR TKI gefitinib. Importantly, firmonertinib exhibited superior efficacy in the treatment of CNS metastases, producing a confirmed CNS metastases specific ORR, which measured reduction in tumor size of at least 30% in brain metastases if present at the start of therapy, of 91% versus 65% for gefitinib among participants with measurable metastatic CNS disease, demonstrating firmonertinib’s ability to cross the blood-brain barrier.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Antibody Drug Conjugate Collaborations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Consistent with our focus on curating a pipeline of innovative, impactful oncology therapies across modalities, we are advancing next-generation ADCs. ADCs are a promising modality for treating cancer due to their ability to target chemotherapy directly to the tumor cells. We are using Aarvik’s proprietary multi-target, multivalent site-specific conjugation antibody platform to discover and develop ADCs with potentially improved activity and safety over single target bivalent ADCs. We identified a preclinical candidate ARR-002 and have initiated IND-enabling activities. We are also working with Alphamab to leverage their proprietary linker-payload platform and glycan-conjugation technology to discover, develop, and commercialize ADCs for the treatment of cancers. Through our agreement with Lepu Biopharma, we are developing ARR-217, a novel ADC for the treatment of gastrointestinal cancers.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Team and Approach</w:t>
      </w:r>
    </w:p>
    <w:p>
      <w:pPr>
        <w:spacing w:after="0" w:line="22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We were founded and acquired the rights to develop and commercialize firmonertinib worldwide, with the exception of greater China, which includes mainland China, Hong Kong, Macau and Taiwan, in 2021. We believe that our deep expertise in developing oncology drugs, executing cross border business transactions and track record building companies will allow us to expand our portfolio globally, across the oncology landscape. Our co-founder, Chief Executive Officer and Chairman is Zhengbin (Bing) Yao, Ph.D. Prior to ArriVent, Dr. Yao was Chief Executive Officer and Chairman of Viela Bio, Inc. (Viela), which he co-founded in 2018 by licensing a portfolio of therapeutics from AstraZeneca. Viela was subsequently acquired by Horizon Therapeutics plc in 2021 for $3.1 billion. Prior to Viela, Dr. Yao served as Senior Vice President at MedImmune, Inc. and as Senior Vice President and Head of the Immuno-Oncology Franchise at AstraZeneca. Our other co-founder and President of Research and Development is Stuart Lutzker, M.D., Ph.D. Dr. Lutzker joined from Genentech, Inc., where he served in a number of senior R&amp;D roles. Most recently, Dr. Lutzker was Vice President and Head of Oncology, Early Clinical Development and oversaw the early clinical phase development of a number of approved products. See “Certain Relationships and Related Transactions, and Director Independence” for more information.</w:t>
      </w:r>
    </w:p>
    <w:p>
      <w:pPr>
        <w:spacing w:after="0" w:line="17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Our team’s deep knowledge in oncology has allowed us to identify novel therapeutic programs with strong biologic and scientific rationale that we believe have the potential to offer a differentiated profile to treat cancer patients. Based on our extensive experience working with regulatory agencies, we will pursue assets that we believe have a clear regulatory path to approval. We believe our highly selective in-licensing strategy provides us with high-quality development candidates at preclinical or clinical stages, which, if approved, would have the potential to achieve global commercial success.</w:t>
      </w:r>
    </w:p>
    <w:p>
      <w:pPr>
        <w:spacing w:after="0" w:line="18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While we source candidates from across the globe, our initial focus has been on compounds originally developed in China. We believe that as the world’s second-largest pharmaceutical market, with extensive biopharmaceutical research and development capabilities, China provides us with attractive opportunities to in-license innovative therapies that otherwise may not reach global populations. We believe our business development acumen positions us to build a highly competitive pipeline that we are uniquely positioned to bring to global patient communities, beginning with our lead development asset, firmonertinib.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intend to become a leading biopharmaceutical company through the identification, development and commercialization of differentiated medicines to address the unmet medical needs of patients with cancers. To accomplish this objective, we plan to:</w:t>
      </w:r>
    </w:p>
    <w:p>
      <w:pPr>
        <w:spacing w:after="0" w:line="1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Maximize the potential of firmonertinib — develop and commercialize firmonertinib for the treatment of a broad array of EGFRm NSCLC indications.</w:t>
      </w:r>
    </w:p>
    <w:p>
      <w:pPr>
        <w:spacing w:after="0" w:line="157" w:lineRule="exact"/>
        <w:rPr>
          <w:sz w:val="20"/>
          <w:szCs w:val="20"/>
          <w:color w:val="auto"/>
        </w:rPr>
      </w:pPr>
    </w:p>
    <w:p>
      <w:pPr>
        <w:ind w:left="720" w:right="99" w:hanging="319"/>
        <w:spacing w:after="0" w:line="25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firmonertinib through the pivotal Phase 3 FURVENT clinical trial and seek approval as a first-line therapy for non-squamous locally advanced or metastatic EGFRm NSCLC patients with exon 20 insertion mutations</w:t>
      </w:r>
      <w:r>
        <w:rPr>
          <w:rFonts w:ascii="Times New Roman" w:cs="Times New Roman" w:eastAsia="Times New Roman" w:hAnsi="Times New Roman"/>
          <w:sz w:val="18"/>
          <w:szCs w:val="18"/>
          <w:color w:val="auto"/>
        </w:rPr>
        <w:t>. Exon 20 insertion mutations represent one of the most prevalent uncommon EGFR mutations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up over 9% of the EGFR NSCLC patient population. While the antibody amivantamab has been approved as second-line therapy and chemotherapy in combination with amivantamab approved in first line therapy, no TKI has been approved as first-line therapy in this indication. We believe the interim data obtained as of June 15, 2023 in the Phase 1b FAVOUR clinical trial, in which patients were administered a 240 mg once-daily dose of firmonertinib, supports the progression of firmonertinib to the next phase of clinical trials. In that interim data readout, 79% of treatment naïve patients (n=22 out of 28 patients) were observed to experience a reduction in tumor size of at least 30% from the baseline in a patient without evidence of progression as measured by RECIST 1.1 criteria. This measurement of reduction is the threshold in this trial for a partial response and for inclusion in determination of the ORR, which is the primary endpoint of this trial. We received Breakthrough Therapy Designation for firmonertinib for the treatment of this disease from the FDA in October 2023, and Orphan Drug Designation for treatment of NSCLC with EGFRm or HER2 mutations or HER4 mutations in February 2024. We do not currently intend to conduct a Phase 2 trial in first-line non-squamous locally advanced or metastatic EGFRm NSCLC patients with exon 20 insertion mutations. We have completed enrollment in our global, pivotal Phase 3 FURVENT clinical trial in first-line non-squamous locally advanced or metastatic EGFRm NSCLC patients with exon 20 insertion mutations and we expect topline data from this clinical trial in 2025.</w:t>
      </w:r>
    </w:p>
    <w:p>
      <w:pPr>
        <w:spacing w:after="0" w:line="83" w:lineRule="exact"/>
        <w:rPr>
          <w:rFonts w:ascii="Times New Roman" w:cs="Times New Roman" w:eastAsia="Times New Roman" w:hAnsi="Times New Roman"/>
          <w:sz w:val="18"/>
          <w:szCs w:val="18"/>
          <w:color w:val="auto"/>
        </w:rPr>
      </w:pPr>
    </w:p>
    <w:p>
      <w:pPr>
        <w:ind w:left="720" w:right="119" w:hanging="319"/>
        <w:spacing w:after="0" w:line="253"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advance firmonertinib through the Phase 1b FURTHER clinical trial in EGFRm NSCLC to obtain proof of concept for the treatment of patients with PACC mutations. </w:t>
      </w:r>
      <w:r>
        <w:rPr>
          <w:rFonts w:ascii="Times New Roman" w:cs="Times New Roman" w:eastAsia="Times New Roman" w:hAnsi="Times New Roman"/>
          <w:sz w:val="18"/>
          <w:szCs w:val="18"/>
          <w:color w:val="auto"/>
        </w:rPr>
        <w:t>We are also advancing the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firmonertinib as a potential treatment for EGFRm NSCLC patients with PACC mutations. PACC mutations are a distinct set of approximately 70 EGFR-activating mutations, associated with over 12% of EGFRm NSCLC patients. Guidelines employing TKIs for many of the PACC-specific EGFR mutations are not established and, as a result, chemotherapy is often used as the default course of therapy, offering limited efficacy and introducing chemotherapy-related toxicity. Osimertinib is frequently used in some patients, but the activity of osimertinib is much less than in classical EGFR mutant NSCLC. Afatinib, a second-generation TKI, is also used in some patients, but has a poor safety profile and is not brain penetrant. We are investigating the use of firmonertinib to treat a broad set of PACC mutations in a cohort in our FURTHER clinical trial based on firmonertinib’s observed activity against PACC mutations in preclinical studies together with the evaluation of firmonertinib in multiple clinical trials with an aggregate patient population of over 1000 patients, including over 450 patients outside China. Other cohorts in the FURTHER trial include patients with EGFR exon 20 insertion mutations as second-line or greater therapy.</w:t>
      </w:r>
    </w:p>
    <w:p>
      <w:pPr>
        <w:spacing w:after="0" w:line="77"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the clinical benefit of treating early-stage disease with firmonertinib. </w:t>
      </w:r>
      <w:r>
        <w:rPr>
          <w:rFonts w:ascii="Times New Roman" w:cs="Times New Roman" w:eastAsia="Times New Roman" w:hAnsi="Times New Roman"/>
          <w:sz w:val="18"/>
          <w:szCs w:val="18"/>
          <w:color w:val="auto"/>
        </w:rPr>
        <w:t>We also intend to participate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registrational Phase 3 clinical trial initiated in China to investigate the potential benefit of firmonertinib in the adjuvant setting in NSCLC patients with uncommon EGFRm that are not eligible for osimertinib such as exon 20 insertion and PACC mutations. We intend to join the adjuvant study of firmonertinib once the EGFRm patient group is further defined based on ongoing clinical trials in the metastatic setting. We have not yet sought alignment on the design of the adjuvant study with the FDA who may ask us to collect more clinical data prior to joining the adjuvant study.</w:t>
      </w:r>
    </w:p>
    <w:p>
      <w:pPr>
        <w:spacing w:after="0" w:line="74" w:lineRule="exact"/>
        <w:rPr>
          <w:rFonts w:ascii="Times New Roman" w:cs="Times New Roman" w:eastAsia="Times New Roman" w:hAnsi="Times New Roman"/>
          <w:sz w:val="18"/>
          <w:szCs w:val="18"/>
          <w:color w:val="auto"/>
        </w:rPr>
      </w:pPr>
    </w:p>
    <w:p>
      <w:pPr>
        <w:ind w:left="720" w:right="319" w:hanging="319"/>
        <w:spacing w:after="0" w:line="290" w:lineRule="auto"/>
        <w:tabs>
          <w:tab w:leader="none" w:pos="7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Employ combination strategies with firmonertinib to overcome and prevent resistance to EGFR TKI in NSCLC involving classical mutations. </w:t>
      </w:r>
      <w:r>
        <w:rPr>
          <w:rFonts w:ascii="Times New Roman" w:cs="Times New Roman" w:eastAsia="Times New Roman" w:hAnsi="Times New Roman"/>
          <w:sz w:val="17"/>
          <w:szCs w:val="17"/>
          <w:color w:val="auto"/>
        </w:rPr>
        <w:t>Acquired resistance presents an inevitable challenge to longer-term EGFRm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NSCLC management. As such, we are evaluating the use of firmonertinib in combination with a signal</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spacing w:after="0" w:line="258" w:lineRule="auto"/>
        <w:rPr>
          <w:sz w:val="20"/>
          <w:szCs w:val="20"/>
          <w:color w:val="auto"/>
        </w:rPr>
      </w:pPr>
      <w:r>
        <w:rPr>
          <w:rFonts w:ascii="Times New Roman" w:cs="Times New Roman" w:eastAsia="Times New Roman" w:hAnsi="Times New Roman"/>
          <w:sz w:val="18"/>
          <w:szCs w:val="18"/>
          <w:color w:val="auto"/>
        </w:rPr>
        <w:t>transduction inhibitor which we believe has the potential to both treat and prevent acquired resistance. Our initial combination strategy involves the evaluation of firmonertinib together with a SHP2 inhibitor for use in treating NSCLC patients involving classical EGFRm that have progressed on prior EGFR TKI therapy and we have initiated a Phase 1b clinical trial designed to evaluate the safety, pharmacokinetics and preliminary efficacy of the combination with clinical proof of concept data expected in 2026 in a second-line therapy cohort.</w:t>
      </w:r>
    </w:p>
    <w:p>
      <w:pPr>
        <w:spacing w:after="0" w:line="179" w:lineRule="exact"/>
        <w:rPr>
          <w:sz w:val="20"/>
          <w:szCs w:val="20"/>
          <w:color w:val="auto"/>
        </w:rPr>
      </w:pPr>
    </w:p>
    <w:p>
      <w:pPr>
        <w:ind w:left="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Advance novel therapeutic product candidates for unmet medical needs, leveraging innovative platforms and technologies starting with ADCs.</w:t>
      </w:r>
    </w:p>
    <w:p>
      <w:pPr>
        <w:spacing w:after="0" w:line="157" w:lineRule="exact"/>
        <w:rPr>
          <w:sz w:val="20"/>
          <w:szCs w:val="20"/>
          <w:color w:val="auto"/>
        </w:rPr>
      </w:pPr>
    </w:p>
    <w:p>
      <w:pPr>
        <w:ind w:left="720" w:right="79" w:hanging="319"/>
        <w:spacing w:after="0" w:line="253"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and develop differentiated next-generation ADCs for solid tumors. </w:t>
      </w:r>
      <w:r>
        <w:rPr>
          <w:rFonts w:ascii="Times New Roman" w:cs="Times New Roman" w:eastAsia="Times New Roman" w:hAnsi="Times New Roman"/>
          <w:sz w:val="18"/>
          <w:szCs w:val="18"/>
          <w:color w:val="auto"/>
        </w:rPr>
        <w:t>ADCs are a promising modality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treating cancer due to their ability to target chemotherapy directly to the tumor cells. We have entered into a research collaboration with Aarvik to leverage its proprietary multi-target, multivalent, site-specific conjugation antibody platform to discover ADCs with potentially improved activity and safety over single target bivalent ADCs. We identified a preclinical candidate, ARR-002, and have initiated IND-enabling activities. We have also entered into a collaboration with Alphamab to discover, develop and commercialize novel ADCs. We are working with Alphamab to leverage their proprietary linker-payload platform and glycan-conjugation technology to identify novel ADCs for oncology indications globally, except greater China, which includes mainland China, Hong Kong, Macau and Taiwan where Alphamab retains the right to develop and commercialize ADCs. We entered into a license agreement with Lepu Biopharma pursuant to which Lepu Biopharma granted us a right to develop and commercialize ARR-217, an antibody drug conjugate for gastrointestinal cancers outside greater China, which is mainland China, Hong Kong, Macau and Taiwan.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Broaden our pipeline through expanded business development initiatives.</w:t>
      </w:r>
    </w:p>
    <w:p>
      <w:pPr>
        <w:spacing w:after="0" w:line="227" w:lineRule="exact"/>
        <w:rPr>
          <w:sz w:val="20"/>
          <w:szCs w:val="20"/>
          <w:color w:val="auto"/>
        </w:rPr>
      </w:pPr>
    </w:p>
    <w:p>
      <w:pPr>
        <w:ind w:left="720" w:right="79" w:hanging="319"/>
        <w:spacing w:after="0" w:line="253"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Acquire rights to additional therapeutic candidates targeting solid tumors. </w:t>
      </w:r>
      <w:r>
        <w:rPr>
          <w:rFonts w:ascii="Times New Roman" w:cs="Times New Roman" w:eastAsia="Times New Roman" w:hAnsi="Times New Roman"/>
          <w:sz w:val="18"/>
          <w:szCs w:val="18"/>
          <w:color w:val="auto"/>
        </w:rPr>
        <w:t>We intend to use our demonstrated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in business development to establish additional collaborations and acquire the rights to drug candidates designed to treat solid tumors and address significant unmet medical needs of patients with cancers. While we source candidates from across the globe, our initial focus has been on drugs originally discovered and developed in China for potential commercialization in the United States, the European Union, and other jurisdictions. For programs that we in-license, we plan to pursue a global development strategy to enable approval and commercialization in a broad set of geographies. We remain agnostic as to therapeutic modality, which we believe will expand our access to drug candidates with attractive therapeutic profiles. In January 2025, we entered into an exclusive license agreement with Lepu Biopharma, pursuant to which Lepu Biopharma granted us a right to develop and commercialize ARR-217, an antibody drug conjugate for gastrointestinal cancers outside greater China, which is mainland China, Hong Kong, Macau and Taiwan.</w:t>
      </w:r>
    </w:p>
    <w:p>
      <w:pPr>
        <w:spacing w:after="0" w:line="191" w:lineRule="exact"/>
        <w:rPr>
          <w:rFonts w:ascii="Times New Roman" w:cs="Times New Roman" w:eastAsia="Times New Roman" w:hAnsi="Times New Roman"/>
          <w:sz w:val="18"/>
          <w:szCs w:val="18"/>
          <w:color w:val="auto"/>
        </w:rPr>
      </w:pPr>
    </w:p>
    <w:p>
      <w:pPr>
        <w:ind w:left="720" w:right="29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Track record of establishing collaborations and license agreements. </w:t>
      </w:r>
      <w:r>
        <w:rPr>
          <w:rFonts w:ascii="Times New Roman" w:cs="Times New Roman" w:eastAsia="Times New Roman" w:hAnsi="Times New Roman"/>
          <w:sz w:val="18"/>
          <w:szCs w:val="18"/>
          <w:color w:val="auto"/>
        </w:rPr>
        <w:t>Since our inception in 2021,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two licensing agreements for oncology assets, two ADC collaborations and a clinical collaboration. We believe in continuing to build our pipeline through sourcing innovation globally and remaining nimble in developing such programs in collaboration with our partners.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Lung Cancer</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According to the National Cancer Institute, lung cancer is predicted to account for nearly 250,000 of the two million new cancer diagnoses made in the United States in 2023. Lung cancer ranks behind both breast and prostate cancer in terms of the number of newly diagnosed cases yet is responsible for far more deaths than any other type of cancer, with the estimated 27,000 lung cancer deaths to occur in 2023, more than double the annual number of deaths attributed to colorectal, pancreatic or breast cancer, as illustrated in the chart below. Lung cancer is the cause of approximately 20% of all cancer-related deaths and the 5-year survival rate for advanced lung cancer in the United States is approximately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6%. Worldwide, lung cancer is estimated to be responsible for 2.2 million new cancer cases annually and 1.8 million deaths.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114300</wp:posOffset>
            </wp:positionV>
            <wp:extent cx="5074920" cy="1963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7492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Non-Small Cell Lung Cancer and the EGFR Driver Mutation</w:t>
      </w:r>
    </w:p>
    <w:p>
      <w:pPr>
        <w:spacing w:after="0" w:line="229"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Cases of lung cancer are divided into NSCLC and small cell lung cancer, with NSCLC accounting for approximately 85% of all lung cancer diagnoses. NSCLC can be further segregated into two primary classifications: non-squamous cell carcinoma and squamous cell carcinoma. Non-squamous cell carcinoma is the most prevalent type of NSCLC and makes up approximately 77% of all NSCLC cases. Adenocarcinoma is the largest subgroup of the non-squamous NSCLC, constituting 81%. Among the genetic mutations that promote the development of NSCLC, mutational activation of the EGFR gene is among the most common. EGFR is a transmembrane glycoprotein consisting of an extracellular epidermal growth factor binding domain, a hydrophobic transmembrane domain and an intracellular tyrosine kinase domain that regulates signal transduction pathways involved in cellular proliferation. Its mutation results in the constitutive activation of these pathways and uncontrolled growth of the cancer cell. The overall prevalence of the EGFR mutation among NSCLC patients varies widely between different ethnic populations. Approximately 38% of NSCLC patients from Asian countries have an EGFR mutation, while approximately 24% of NSCLC patients in the Americas and approximately 14% of NSCLC patients in Europe have EGFR mutations. EGFR mutations are also more commonly associated with NSCLC patients who have never smoked, as well as women and young adult NSCLC patients. Substantially all NSCLC cases involving an EGFR mutation are non-squamous cell carcinomas.</w:t>
      </w:r>
    </w:p>
    <w:p>
      <w:pPr>
        <w:spacing w:after="0" w:line="19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Numerous EGFR mutations have been identified that cluster within EGFR kinase domain encoded by exons 18-21 in the EGFR gene. These mutations, which include amino acid insertions, deletions and substitutions, activate EGFR signaling within the tumor cell and can be categorized as either classical or uncommon mutations. Classical mutations involving a deletion in amino acids encoded by Exon 19 and another involving a substitution of the amino acid arginine for leucine at codon 858, which is referred to as an L858R mutation, are responsible for approximately 69% of NSCLC patients with an EGFRm. The uncommon mutations may be categorized based on the structural change to the drug binding pocket of the EGFR kinase domain, with the two most frequent groups of uncommon mutations involving an exon 20 insertion or PACC mutations of the EGFR. These two types of uncommon mutations account for approximately 22% of patients with EGFRm NSCLC and the life expectancy for NSCLC patients with uncommon EGFRm, including exon 20 insertion and PACC mutations, is lower. The distribution of patients with EGFR-mutation positive NSCLC is presented below. EGFRm are detected by numerous commercially available FDA-approved DNA tests, either PCR or NGS, utilizing either tumor tissue or blood samples and testing for EGFRm, as well as other activating gene mutations, is considered standard in the management of NSCLC as per national guidelines such as NCCN. We are working with a diagnostics company to develop an FDA-approved NGS test for confirming EGFR exon 20 insertion mutations in our clinical trial and if firmonertinib is approved, we believe it would be indicated for patients with EGFRm as detected by an FDA-approved DNA test.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EGFR activating mutations include both classical and uncommon mutations in the kinase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155575</wp:posOffset>
            </wp:positionV>
            <wp:extent cx="2451735" cy="218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173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Therapeutics and their Limitations</w:t>
      </w:r>
    </w:p>
    <w:p>
      <w:pPr>
        <w:spacing w:after="0" w:line="229" w:lineRule="exact"/>
        <w:rPr>
          <w:sz w:val="20"/>
          <w:szCs w:val="20"/>
          <w:color w:val="auto"/>
        </w:rPr>
      </w:pPr>
    </w:p>
    <w:p>
      <w:pPr>
        <w:ind w:left="60" w:right="59" w:firstLine="324"/>
        <w:spacing w:after="0" w:line="246" w:lineRule="auto"/>
        <w:rPr>
          <w:sz w:val="20"/>
          <w:szCs w:val="20"/>
          <w:color w:val="auto"/>
        </w:rPr>
      </w:pPr>
      <w:r>
        <w:rPr>
          <w:rFonts w:ascii="Times New Roman" w:cs="Times New Roman" w:eastAsia="Times New Roman" w:hAnsi="Times New Roman"/>
          <w:sz w:val="17"/>
          <w:szCs w:val="17"/>
          <w:color w:val="auto"/>
        </w:rPr>
        <w:t>In classical EGFRm NSCLC, the current standard of care for the treatment of locally advanced or metastatic EGFRm NSCLC involves the use of a TKI as first-line therapy. Two first-generation TKIs, gefitinib and erlotinib (TARCEVA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received initial marketing approval by the FDA in the early 2000s. These drugs, which were designed to competitively bind with EGFR at the ATP-binding site in a reversible manner to block enzymatic activation and downstream signal transduction, provide certain NSCLC patients with EGFRm substantial benefit, offering superior efficacy and safety profiles as compared to chemotherapy. However, durability of response to treatment is limited and virtually all patients with advanced disease acquire resistance, the most common of which involves a T790M substitution mutation. In addition, rash and diarrhea, often severe, are common adverse events (AEs). Efforts to address acquired resistance to first-generation TKIs led to the approval by the FDA of the second-generation TKIs afatinib (GILOTRIF</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 2013 and dacomitinib (VIZIMPRO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 2018, drugs which irreversibly block the tyrosine kinase activity. However, TRAEs are more pronounced than the first-generation designs, which have limited broader clinical application of the second-generation TKIs.</w:t>
      </w:r>
    </w:p>
    <w:p>
      <w:pPr>
        <w:spacing w:after="0" w:line="19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Osimertinib was the first third-generation TKI to receive FDA approval and is currently a standard of care for patients with EGFRm NSCLC involving classical mutations and the related treatment emergent T790M mutation in the majority of countries worldwide. Osimertinib provides an improved AE profile, including a reduction in severe adverse events, compared to the earlier generation EGFR targeted TKIs and displays a greater ability to cross the blood-brain barrier, enabling efficacy against metastases involving the CNS. The ability to treat CNS metastases is of notable importance as patients with EGFR-activating mutations are particularly susceptible to the development of brain metastases, which can occur in up to 70% of patients during the course of their disease. In 2024, amivantamab in combination with lazertinib was approved for the treatment of first-line NSCLC patients with EGFR Exon 19 deletions or Exon 21 L858R substitution mutations. Amivantamab is a bispecific antibody and lazertinib is a third-generation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EGFR TKI. The key limitations of the current standard of care for patients with EGFRm NSCLC involving classical mutations is presented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06415" cy="2314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Table includes approved and disclosed registrational indications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*Afatinib has limited clinical data in patients with 2 of the 70 described PACC mutations.</w:t>
      </w:r>
    </w:p>
    <w:p>
      <w:pPr>
        <w:spacing w:after="0" w:line="9" w:lineRule="exact"/>
        <w:rPr>
          <w:sz w:val="20"/>
          <w:szCs w:val="20"/>
          <w:color w:val="auto"/>
        </w:rPr>
      </w:pPr>
    </w:p>
    <w:p>
      <w:pPr>
        <w:ind w:left="380" w:right="339" w:hanging="323"/>
        <w:spacing w:after="0" w:line="250" w:lineRule="auto"/>
        <w:rPr>
          <w:sz w:val="20"/>
          <w:szCs w:val="20"/>
          <w:color w:val="auto"/>
        </w:rPr>
      </w:pPr>
      <w:r>
        <w:rPr>
          <w:rFonts w:ascii="Times New Roman" w:cs="Times New Roman" w:eastAsia="Times New Roman" w:hAnsi="Times New Roman"/>
          <w:sz w:val="18"/>
          <w:szCs w:val="18"/>
          <w:i w:val="1"/>
          <w:iCs w:val="1"/>
          <w:color w:val="auto"/>
        </w:rPr>
        <w:t>**Exclaim-2 study in 1L announced as negative and in July 2024, the FDA withdrew the license for mobocertinib in the United States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Dacomitinib is also approved in the United States for classical EGFR mutations</w:t>
      </w:r>
    </w:p>
    <w:p>
      <w:pPr>
        <w:spacing w:after="0" w:line="20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There is currently no TKI approved as first-line therapy for NSCLC patients with EGFR exon 20 insertion mutations. Platinum-based chemotherapy with pemetrexed is a standard of care for first-line therapy in this patient population in the United States and the European Union with or without amivantamab. Of particular note, approximately one-third of NSCLC patients harboring EGFR exon 20 insertion mutations have brain metastases at the time of diagnosis, which are mainly treated with radiation therapy, as chemotherapy is less effective in the treatment of brain metastases due to low brain penetration.</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2021, the FDA granted marketing approval to two therapeutics, mobocertinib, a TKI, and amivantamab, a bispecific antibody, to treat NSCLC patients with exon 20 insertion mutations which have progressed after administration of platinum-based chemotherapy. Both approvals were granted under accelerated approval and continued approval may be contingent upon verification and description of clinical benefit in confirmatory trial(s). Notably, in July 2023, Takeda announced the discontinuation of its Phase 3 clinical trial of mobocertinib as a monotherapy in first-line patients due to futility and subsequently withdrew the drug from the market globally. In August 2023, Johnson &amp; Johnson announced that its Phase 3 trial of amivantamab in combination with chemotherapy in first-line patients met its primary endpoint of PFS when compared to chemotherapy alone. While the FDA approved the use of this combination in this patient population in March 2024, and by the European Commission in July 2024, the use of chemotherapy in combination with amivantamab in the first-line patients may be limited due to the need to combine with intravenous chemotherapy and lack of brain penetration of amivantamab, along with chemotherapy associated toxicities.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 distinct set of approximately 70 uncommon EGFR-activating mutations have been identified that are predicted to alter the orientation of the interior surface of the ATP-binding pocket of the EGFR P-loop or αC-terminal end of the C-helix within the tyrosine kinase domain and are referred to as PACC mutations. Over 12% of patients with EGFRm are estimated to involve PACC mutations and patients diagnosed with PACC mutations have limited treatment options. Guidelines employing TKIs for many of the PACC-specific EGFRm are not established and as a result chemotherapy is used as the default course of therapy in many patients with limited clinical benefit. Osimertinib is frequently used in some patients, but the activity of osimertinib is much less than in classical EGFRm NSCLC. The second-generation TKI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afatinib is the only TKI to have received FDA and the European Medical Association approval in NSCLC to treat EGFRm NSCLC with limited clinical data for two of the 70 PACC mutations, G719X and S768I.</w:t>
      </w:r>
    </w:p>
    <w:p>
      <w:pPr>
        <w:spacing w:after="0" w:line="189" w:lineRule="exact"/>
        <w:rPr>
          <w:sz w:val="20"/>
          <w:szCs w:val="20"/>
          <w:color w:val="auto"/>
        </w:rPr>
      </w:pPr>
    </w:p>
    <w:p>
      <w:pPr>
        <w:jc w:val="both"/>
        <w:ind w:left="60" w:right="439" w:firstLine="324"/>
        <w:spacing w:after="0" w:line="312" w:lineRule="auto"/>
        <w:rPr>
          <w:sz w:val="20"/>
          <w:szCs w:val="20"/>
          <w:color w:val="auto"/>
        </w:rPr>
      </w:pPr>
      <w:r>
        <w:rPr>
          <w:rFonts w:ascii="Times New Roman" w:cs="Times New Roman" w:eastAsia="Times New Roman" w:hAnsi="Times New Roman"/>
          <w:sz w:val="17"/>
          <w:szCs w:val="17"/>
          <w:color w:val="auto"/>
        </w:rPr>
        <w:t>The current treatment paradigm for the various subtypes of EGFRm NSCLC outside of China and areas of unmet medical needs where we believe firmonertinib may provide clinical utility is summarized in the chart presented below.</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Firmonertinib has the potential to address significant unmet needs in the current EGFRm NSCLC treatment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155575</wp:posOffset>
            </wp:positionV>
            <wp:extent cx="5057775" cy="2528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5777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right="259" w:firstLine="324"/>
        <w:spacing w:after="0" w:line="233" w:lineRule="auto"/>
        <w:rPr>
          <w:sz w:val="20"/>
          <w:szCs w:val="20"/>
          <w:color w:val="auto"/>
        </w:rPr>
      </w:pPr>
      <w:r>
        <w:rPr>
          <w:rFonts w:ascii="Times New Roman" w:cs="Times New Roman" w:eastAsia="Times New Roman" w:hAnsi="Times New Roman"/>
          <w:sz w:val="18"/>
          <w:szCs w:val="18"/>
          <w:color w:val="auto"/>
        </w:rPr>
        <w:t>Specific to the HER2 exon 20 insertion mutation, an exon 20 insertion in the related HER2 gene, in August 2022 the FDA granted accelerated approval to fam-trastuzumab deruxtecan-nxki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HER2-directed antibody-drug conjugate, for adults with unresectable or metastatic NSCLC who have received prior systemic therapy. Despite its approval, patients with refractory or recurrent disease remain a significant portion of the patient population and currently approved TKIs have demonstrated limited efficacy in targeted HER2 exon 20 insertion mutations.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Firmonertinib: Our Lead Development Candidate</w:t>
      </w:r>
    </w:p>
    <w:p>
      <w:pPr>
        <w:spacing w:after="0" w:line="22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lead development candidate is firmonertinib, an investigational, novel, EGFR mutant-selective TKI that we are developing for the treatment of patients with NSCLC harboring a broader set of EGFRm than are currently served by approved EGFR TKIs. Firmonertinib is currently approved and commercially distributed by Allist in China as a first-line treatment of locally advanced or metastatic NSCLC patients with classical EGFRm as well as pre-treated patients with T790M mutations. In addition, in an interim data readout from the FAVOUR trial of firmonertinib, reductions in tumor size have been observed in patients with exon 20 insertion mutations and activity in PACC mutations has been observed in an interm data readout from the FURTHER trial. Exon 20 insertion mutations and PACC mutations are each a subtype of uncommon mutation. Exon 20 insertions and PACC mutations account for approximately 22% of EGFRm NSCLC patients and are largely underserved by existing treatments. Firmonertinib has been studied in over 1000 patients, including over 450 patients outside China, across a broad dose range. We anticipate that favorable safety data, if obtained for firmonertinib, could allow for the administration of firmonertinib at different doses required for optimal activity in different EGFRm patient populations. Encouraging activity has been observed to date in both preclinical and clinical settings, including response in CNS metastases, in an interim data readout from our partner’s ongoing FAVOUR clinical trial in China with patients with exon 20 insertions, and in the ongoing FURTHER clinical trial in patients with PACC mutations globally.</w:t>
      </w:r>
    </w:p>
    <w:p>
      <w:pPr>
        <w:spacing w:after="0" w:line="196"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Of particular note, firmonertinib exhibited elevated tissue distribution to the brain in preclinical studies. In these studies, the brain and plasma concentrations were measured in mice following a single dose of either firmonertinib 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osimertinib and the brain-to-plasma calculated for both total drug (Kp) and unbound drug (Kp uu). Osimertinib was used as a reference compound in certain experiments as it has demonstrated clinical activity in patients with CNS metastases. As is noted in the chart below, these experiments showed that firmonertinib penetrated the blood-brain barrier at a rate similar to that of osimertinib.</w:t>
      </w:r>
    </w:p>
    <w:p>
      <w:pPr>
        <w:spacing w:after="0" w:line="178" w:lineRule="exact"/>
        <w:rPr>
          <w:sz w:val="20"/>
          <w:szCs w:val="20"/>
          <w:color w:val="auto"/>
        </w:rPr>
      </w:pPr>
    </w:p>
    <w:p>
      <w:pPr>
        <w:jc w:val="center"/>
        <w:ind w:left="1520" w:right="200"/>
        <w:spacing w:after="0" w:line="267" w:lineRule="auto"/>
        <w:rPr>
          <w:sz w:val="20"/>
          <w:szCs w:val="20"/>
          <w:color w:val="auto"/>
        </w:rPr>
      </w:pPr>
      <w:r>
        <w:rPr>
          <w:rFonts w:ascii="Times New Roman" w:cs="Times New Roman" w:eastAsia="Times New Roman" w:hAnsi="Times New Roman"/>
          <w:sz w:val="18"/>
          <w:szCs w:val="18"/>
          <w:i w:val="1"/>
          <w:iCs w:val="1"/>
          <w:color w:val="auto"/>
        </w:rPr>
        <w:t>Firmonertinib displayed brain penetrant properties similar to osimertinib in pre-clinical studies. When mice were administered a single dose of either firmonertinib or osimertinib, they penetrated the blood-brain barrier to a similar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123190</wp:posOffset>
            </wp:positionV>
            <wp:extent cx="5212080" cy="1080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are currently conducting our FURVENT clinical trial, a global, pivotal Phase 3 clinical trial of firmonertinib in first-line non-squamous locally advanced or metastatic NSCLC patients with exon 20 insertion mutations and we expect topline data in 2025. In addition, we are conducting our FURTHER trial, a Phase 1b dose escalation and expansion clinical trial in patients with EGFRm NSCLC, including a cohort with PACC mutations which has been fully enrolled, and we presented proof of concept data from this cohort in September 2024. Subject to review of data and regulatory feedback, we intend to initiate a registrational clinical trial for NSCLC patients with PACC mutations. Data from our partner’s completed and ongoing clinical trials and from our ongoing clinical trials are discussed below.</w:t>
      </w:r>
    </w:p>
    <w:p>
      <w:pPr>
        <w:spacing w:after="0" w:line="185"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FURVENT — Our ongoing Phase 3 Clinical Trial in First-Line Non-Squamous Locally Advanced or Metastatic EGFRm NSCLC Patients with Exon 20 Insertion Mutations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completed enrolling patients in FURVENT, a global, pivotal Phase 3 clinical trial of firmonertinib in first-line non-squamous locally advanced or metastatic EGFRm NSCLC patients with exon 20 insertion mutations being conducted jointly with Allist. We designed a randomized clinical trial, integrating feedback from global regulatory agencies, that consists of three cohorts of 125 patients each, designed to evaluate the safety and efficacy of firmonertinib at two different dose levels, 160 mg and 240 mg, administered daily (QD) and compare therapeutic benefit to platinum-based chemotherapy cycles with pemetrexed, the clinical trial’s active control group. Participants in this clinical trial will continue to receive treatment until disease progression or discontinuation related to toxicity, with patients in the control group allowed to cross over into one of the two firmonertinib arms after disease progression. The primary endpoint of this trial is PFS per blinded independent central review utilizing RECIST 1.1 criteria. Secondary endpoints include ORR, overall survival (OS) and DOR, as well as brain-specific ORR and PFS in patients with brain metastases. We are currently enrolling patients in this clinical trial and anticipate top-line data for the use of firmonertinib as first-line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therapy in patients with non-squamous locally advanced or metastatic EGFRm NSCLC with exon 20 insertion mutations in 2025. The FURVENT clinical trial’s study design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114300</wp:posOffset>
            </wp:positionV>
            <wp:extent cx="5057775" cy="1808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5777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 Our Ongoing Phase 1b Clinical Trial in NSCLC Patients with EGFR Activating Mutations including PACC Mutations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completed enrolling patients in FURTHER, an ongoing, global Phase 1b dose escalation and expansion clinical trial being conducted jointly with Allist. It is intended to evaluate the safety, pharmacokinetics and reduction in tumor size as a result of once-daily firmonertinib when used in locally advanced or metastatic non-squamous EGFRm NSCLC patients that have previously received systemic therapy and whose tumors contain EGFR activating mutations, including both classical and uncommon, as well as HER2 exon 20 insertion mutations. Cohort 4 specifically enrolls patients with EGFR PACC mutations. PACC mutations represent a group of approximately 70 EGFR activating mutations characterized by a structural displacement of the P-loop and/or αC-helix within EGFR’s kinase domain which impact drug binding for third generation EGFR TKIs such as osimertinib. PACC mutations can be identified along with the classical EGFR mutations using commercially available NGS panels. Currently, afatinib, a second-generation EGFR TKI has data supporting its use in two of the approximately 70 PACC mutations (S768I and G719X). Our preclinical data to date suggest that firmonertinib may have activity against a significantly broader number of PACC mutations.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first stage of the FURTHER clinical trial enrolled a broad group of EGFRm NSCLC patients to evaluate pharmacokinetics and safety in patients outside of China and identify a dose for the expansion cohorts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114300</wp:posOffset>
            </wp:positionV>
            <wp:extent cx="5109210" cy="3420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0921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right="99" w:hanging="319"/>
        <w:spacing w:after="0" w:line="267"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One </w:t>
      </w:r>
      <w:r>
        <w:rPr>
          <w:rFonts w:ascii="Times New Roman" w:cs="Times New Roman" w:eastAsia="Times New Roman" w:hAnsi="Times New Roman"/>
          <w:sz w:val="18"/>
          <w:szCs w:val="18"/>
          <w:color w:val="auto"/>
        </w:rPr>
        <w:t>is designed to enroll 20 patients with locally advanced or metastatic EGFR exon 20 insertion positive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NSCLC who have previously received systemic treatment and may have received prior EGFRm targeting TKI therapeutic or amivantamab. Patients in Cohort One are to receive 240 mg firmonertinib once daily.</w:t>
      </w:r>
    </w:p>
    <w:p>
      <w:pPr>
        <w:spacing w:after="0" w:line="65"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Two </w:t>
      </w:r>
      <w:r>
        <w:rPr>
          <w:rFonts w:ascii="Times New Roman" w:cs="Times New Roman" w:eastAsia="Times New Roman" w:hAnsi="Times New Roman"/>
          <w:sz w:val="18"/>
          <w:szCs w:val="18"/>
          <w:color w:val="auto"/>
        </w:rPr>
        <w:t>is designed to enroll 20 patients with locally advanced or metastatic HER2 exon 20 insertion positive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NSCLC, a mutation and patient population that is distinct from the exon 20 mutation and patient population. Patients in Cohort Two will have previously received systemic treatment and are to receive 240 mg firmonertinib once daily.</w:t>
      </w:r>
    </w:p>
    <w:p>
      <w:pPr>
        <w:spacing w:after="0" w:line="71" w:lineRule="exact"/>
        <w:rPr>
          <w:rFonts w:ascii="Times New Roman" w:cs="Times New Roman" w:eastAsia="Times New Roman" w:hAnsi="Times New Roman"/>
          <w:sz w:val="18"/>
          <w:szCs w:val="18"/>
          <w:color w:val="auto"/>
        </w:rPr>
      </w:pPr>
    </w:p>
    <w:p>
      <w:pPr>
        <w:ind w:left="720" w:right="35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Three </w:t>
      </w:r>
      <w:r>
        <w:rPr>
          <w:rFonts w:ascii="Times New Roman" w:cs="Times New Roman" w:eastAsia="Times New Roman" w:hAnsi="Times New Roman"/>
          <w:sz w:val="18"/>
          <w:szCs w:val="18"/>
          <w:color w:val="auto"/>
        </w:rPr>
        <w:t>is designed to enroll 20 patients with locally advanced or metastatic NSCLC with an EGFR-activating mutation other than exon 20 insertion or PACC mutations who have previously received systemic treatment. Patients with classical EGFRm must have received prior osimertinib therapy. Participants in Cohort Three are to receive 240 mg firmonertinib once daily.</w:t>
      </w:r>
    </w:p>
    <w:p>
      <w:pPr>
        <w:spacing w:after="0" w:line="71"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Cohort Four </w:t>
      </w:r>
      <w:r>
        <w:rPr>
          <w:rFonts w:ascii="Times New Roman" w:cs="Times New Roman" w:eastAsia="Times New Roman" w:hAnsi="Times New Roman"/>
          <w:sz w:val="18"/>
          <w:szCs w:val="18"/>
          <w:color w:val="auto"/>
        </w:rPr>
        <w:t>is designed to enroll 60 patients with locally advanced or metastatic NSCLC with EGFR PACC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mutations who are TKI-treatment naive. Patients in Cohort Four are randomized into two groups, one group of up to 30 patients to receive 160 mg firmonertinib once-daily and the other group of up to 30 patients administered 240 mg firmonertinib once-daily.</w:t>
      </w:r>
    </w:p>
    <w:p>
      <w:pPr>
        <w:spacing w:after="0" w:line="18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Pharmacokinetic data obtained in the first stage of the FURTHER clinical trial as of June 15, 2023 were consistent with initial pharmacokinetic data obtained in the FAVOUR clinical trial as of June 15, 2023 with similar steady-state levels of firmonertinib and its major metabolite, AST5902 (see figure below). The AEs in the FURTHER clinical trial have been consistent with the EGFR targeted TKI class in general, with diarrhea, stomatitis and rash being the most commonly observed TRAEs. The frequency of dose reduction and discontinuation due to AEs has remained low. Initial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evidence of reduction in tumor size has been observed, with confirmed and unconfirmed partial responses to firmonertinib noted in NSCLC patients with mutations involving EGFR exon 20 insertions.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Firmonertinib has shown similar drug levels at steady state in both the FAVOUR and the FURTHER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155575</wp:posOffset>
            </wp:positionV>
            <wp:extent cx="2348865" cy="2425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Reduction in tumor size observed in preclinical studies with firmonertinib in uncommon EGFR mutations</w:t>
      </w:r>
    </w:p>
    <w:p>
      <w:pPr>
        <w:spacing w:after="0" w:line="227"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advanced firmonertinib into clinical trials as a potential treatment for EGFR mutation-positive NSCLC involving uncommon mutations based on compelling data demonstrating reduction in tumor size in preclinical studies using mouse xenografts, as presented below.</w:t>
      </w:r>
    </w:p>
    <w:p>
      <w:pPr>
        <w:spacing w:after="0" w:line="176"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is detailed in the illustration presented below, in this LU0387 patient derived tumor xenograft model with an EGFR exon 20 insertion mutation H773_V774insNPH, once daily oral dosing of firmonertinib at 20 mg/kg, 30 mg/kg or 50 mg/kg, which equates to an approximate human dose of 40 mg, 160 mg or 240 mg respectively, was observed to induce significant tumor growth inhibition with regression of tumors at the 50 mg/kg dose with minimum change to bodyweight.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Firmonertinib displayed reduction in tumor size in EGFR exon 20 insertion mutations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155575</wp:posOffset>
            </wp:positionV>
            <wp:extent cx="5288915" cy="1139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88915"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Similar reduction in tumor size was observed in a Ba/F3 subcutaneous tumor xenograft model harboring a G724S PACC mutation as shown below. This PACC mutation is less sensitive to firmonertinib than other PACC mutations based on cell line data. The oral administration of 15 mg/kg, 30 mg/kg or 50 mg/kg firmonertinib one time per day produced pronounced significant inhibition of tumor growth with regression of tumors at the two higher doses. We believe the limited loss of body weight suggests that the drug was generally well tolerated.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Tumor growth inhibition was observed in an EGFR G724S PACC mutation tumor model with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155575</wp:posOffset>
            </wp:positionV>
            <wp:extent cx="5314950" cy="10883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efficacy of firmonertinib was also evaluated in a subcutaneous Ba/F3 tumor xenograft model with a HER2 exon 20 insertion mutation V777_G778insGC as illustrated below. B-NDG mice administered an oral dose of 15 mg/kg, 30 mg/kg or 50 mg/kg firmonertinib once daily were observed to exhibit significant tumor growth inhibition with regression at the two higher doses. Moreover, firmonertinib appeared generally well tolerated with minimal change in body weight.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Reduction in tumor size was observed in a HER2 exon 20 insertion mutation tumor model with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155575</wp:posOffset>
            </wp:positionV>
            <wp:extent cx="5323205" cy="1105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2320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Cohort 4 — Our Ongoing Phase 1b Clinical Trial in NSCLC Patients with EGFR Activating PACC Mutations</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FURTHER clinical trial cohort 4 enrolled 60 patients with locally advanced or metastatic NSCLC with EGFR PACC mutations who are TKI-treatment naive. Patients in Cohort 4 are randomized into two groups, one group of up to 30 patients to receive 160 mg firmonertinib once-daily and the other group of up to 30 patients administered 240 mg firmonertinib once-daily. Patients with asymptomatic metastases involving the CNS are allowed to participate in the trial. The primary endpoint of this trial is ORR as measured by the Response Evaluation Criteria In Solid Tumors (version 1.1) by Blinded Independent Central Review. Secondary endpoints include DOR sustained, disease controlled without progression of the disease (DCR), PFS, OS and safety. DOR, PFS and OS are not yet being reported due to the data being immature as of the data cutoff date of June 20, 2024. Follow-up evaluations with trial participants are conducted every six weeks. The baseline characteristics of the 60 patients enrolled in the FURTHER clinical trial 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546090" cy="2202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4609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As of June 20, 2024, initial interim data was available from the 45 patients who have had measurable disease at baseline by blinded independent central review committee (BICR), had received at least two tumor assessments, had progressive disease or death, or discontinued from treatment. Of these 45 patients 23 are in the 240mg first line PACC patient group and 22 are in the 160mg first line PACC patient group. Safety data were available for all 60 patients. Based on these data, reduction in tumor size was observed across all cohorts. Confirmed ORRs by BICR (defined as a reduction in tumor size of at least 30% from the baseline in a patient without evidence of progression) were 64% among the 240mg cohort and 35% among the 160 mg cohort. Confirmed ORRs by investigator review (defined as a reduction in tumor size of at least 30% from the baseline in a patient without evidence of progression) were 68% among the 240mg cohort and 52% among the 160 mg cohort. The disease control rate (DCR) by BICR, which includes complete responses, partial responses and stable disease, was 100% and 91% for each of these respective trial cohorts,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134620</wp:posOffset>
            </wp:positionV>
            <wp:extent cx="5554980" cy="2417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498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extent of change in tumor size was evaluated across patients and shown in the figure below. Median tumor size reduction of 51% was observed in the 240 mg cohort and 34% was observed in the 160 mg cohort. Patients on average achieved greater tumor size reduction in the 240 mg dose versus the 160 mg dose. Tumor size reduction was observed across the different PACC mutations (frequent, less frequent, single and compound mutations).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Tumor size reduction was observed in different PACC mutations with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155575</wp:posOffset>
            </wp:positionV>
            <wp:extent cx="5229225" cy="2322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922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Responses occurred rapidly with most patients having a partial response by the first tumor assessment at six weeks with responses ongoing in many patients as denoted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443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5498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Confirmed CNS responses were also observed in response evaluable patients as denoted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154305</wp:posOffset>
            </wp:positionV>
            <wp:extent cx="5546090" cy="2288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60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Firmonertinib was observed to be generally well tolerated and demonstrated safety results similar to prior firmonertinib trials. The table below summarizes this safety and tolerability data collected in the FURTHER trial as a whole and in Cohort 4 specifically, as of July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123190</wp:posOffset>
            </wp:positionV>
            <wp:extent cx="5554980" cy="2442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5498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FAVOUR — Ongoing Phase 1b Clinical Trial in NSCLC Patients with EGFR Exon 20 Insertion Mutations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FAVOUR clinical trial is a 90-patient, Phase 1b clinical trial being conducted by Allist in China that is intended to assess the safety and efficacy of firmonertinib in locally advanced or metastatic NSCLC patients who have EGFR exon 20 insertion mutations. This 90-patient clinical trial consists of 3 treatment cohorts of 30 patients each. Eligibility criteria include both adult patients with one or more measurable lesions who are either treatment-naïve, or first-line patients, or have previously received systemic therapy. Patients with asymptomatic metastases involving the CNS are allowed to participate in the trial. First-line patients receive 240 mg firmonertinib once daily. Patients that have received prior treatment are randomized to receive either 160 mg or 240 mg of firmonertinib once daily. The primary endpoint of this trial is ORR as measured by the RECIST version 1.1 by BICR. Secondary endpoints include DOR sustained, disease controlled without progression of the disease (DCR), PFS, overall survival (OS) and safety. OS is not reported due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data being immature as of the data cutoff date of June 15, 2023. Follow-up evaluations with trial participants are conducted every six weeks. In the treatment-naïve population, firmonertinib is being evaluated as a first-line therapy. The baseline characteristics of the 86 patients enrolled in the FAVOUR clinical trial as of June 15, 2023 are described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125730</wp:posOffset>
            </wp:positionV>
            <wp:extent cx="5434965" cy="2057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349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Eastern Cooperative Oncology Group performance status scale</w:t>
      </w:r>
    </w:p>
    <w:p>
      <w:pPr>
        <w:spacing w:after="0" w:line="208"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As of June 15, 2023, initial interim data was available from the 80 patients who have had measurable disease at baseline by blinded independent central review committee, had received at least two tumor assessments, had progressive disease or death, or discontinued from treatment. Of these 80 patients 28 are in the treatment-naïve patient group and 52 were previously treated, split evenly between the 160 mg and the 240 mg cohort. Safety data were available for all 86 patients. Based on these data, reduction in tumor size was observed across all cohorts. Confirmed ORRs (defined as a reduction in tumor size of at least 30% from the baseline in a patient without evidence of progression) were 79% among the treatment-naïve patients cohort, 46% among the previously treated 240 mg cohort and 39% in the previously treated 160 mg cohort. Median DOR was 15.2 months in treatment-naïve patients, 13.1 months in the 240 mg previously treated cohort and 9.7 months in the 160 mg previously treated cohort. Median PFS was 10.7 months in the treatment-naïve patients, 7.0 months in the 240 mg previously treated cohort and 5.7 months in the 160 mg previously treated cohort. The disease control rate (DCR), which includes complete responses, partial responses and stable disease, was 100%, 92% and 85% for each of these respective trial cohorts. These initial interim PFS and DOR data continue to mature with patients continuing in the clinical trial. Interim data from clinical trials may change as more patient data becomes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available and are subject to audit and verification procedures that could result in material changes in the final data. The following table describes these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114300</wp:posOffset>
            </wp:positionV>
            <wp:extent cx="5212080" cy="2529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extent of change in tumor size was evaluated across patients and shown in the figure below. Median tumor size reduction of 51% was observed in the treatment-naïve patients cohort, 54% was observed among pretreated patients in the 240 mg cohort and 36% in the pretreated 160 mg patient cohort. Patients on average achieved greater tumor size reduction in the 240 mg dose versus the 160 mg dose. Tumor size reduction was observed across the different locations of the exon 20 insertion (near loop, far loop and helical mutations).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Tumor size reduction was observed in all EGFR exon 20 insertion mutation subtypes with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155575</wp:posOffset>
            </wp:positionV>
            <wp:extent cx="5212080" cy="2091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Responses occurred rapidly with most patients having a partial response by the first tumor assessment at six weeks with responses ongoing in many patients as denoted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114300</wp:posOffset>
            </wp:positionV>
            <wp:extent cx="5074920" cy="2734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7492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Firmonertinib was observed to be generally well tolerated and demonstrated safety results similar to prior firmonertinib trials. As of June 15, 2023, the following six (n=86) TRSAEs were observed: abnormal hepatic function (1), decreased platelet count (2), abnormal uterine bleeding (1), interstitial lung disease (1) and diarrhea (1). As of June 15, 2023, the following 21 (n=86) treatment-emergent serious adverse events (TESAEs) were observed: pleural effusion (6), pulmonary embolism (2), dyspnoea (1), interstitial lung diseases (1), decreased platelet count (2), increase lipase (1), pericardial effusion (3), pneumonia (3), cerebral infarction (1), abnormal uterine bleeding (1), depression (1), abnormal hepatic function (1), diarrhea (1), colon adenocarcinoma (1) and venous thrombosis (1). When AEs occurred, they were generally consistent with known class effects of EGFR TKIs. TRAEs of Grade 3 or higher deemed related to the study drug were noted in 13% among treatment-naïve patients, and 18% and 29% among previously treated patients dosed at the 160 mg and 240 mg daily level, respectively. TRAEs that led to dose interruption occurred in 14% of patients who received a 160 mg daily dose, 32% among previously treated patients who received a 240 mg daily dose and 23% among patients in the first-lint patient cohort. TRAEs that led to a reduction in dose occurred in 13% of untreated patients at the 240 mg dose and 11% and 18% among previously treated patients who received a 160 mg or 240 mg daily dose, respectively. The rate of trial discontinuation related to TRAEs was low, with only two trial patients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ending trial participation because of AEs across all treatment cohorts. The table below summarizes this safety and tolerability data as of June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114300</wp:posOffset>
            </wp:positionV>
            <wp:extent cx="5212080" cy="2023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most frequent TRAEs as of June 15, 2023 are detailed in the table below. The majority of these AEs were grade 1 or 2 and commonly associated with EGFR TKIs as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114300</wp:posOffset>
            </wp:positionV>
            <wp:extent cx="5212080" cy="2185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SHP2 Combination Trial — Ongoing Phase 1b Clinical Trial in Classical EGFRm NSCLC Patients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SHP2 is a protein tyrosine phosphatase that has an important role in the signaling pathway downstream of EGFR. Activating SHP2 mutations have been observed in breast, lung and colorectal cancers, among others, which underscores the central role of SHP2 in tumor cells in transmitting growth signals to rat sarcoma RAS. Besides transmitting growth signals from EGFR, SHP2 also participates in signal transduction processes of other receptor tyrosine kinase that can confer resistance to EGFR TKI such as MET. In preclinical EGFRm NSCLC tumor xenograft models small molecular inhibitors of SHP2 can further potentiate the activity of EGFR TKI and overcome resistance conferred by activated MET signaling. We therefore believe that the combination of firmonertinib with a potent and specific SHP2 inhibitor may further potentiate firmonertinib activity and prevent the outgrowth of resistant tumor cells. We have therefore initiated a Phase 1b clinical trial combining firmonertinib with a SHP2 inhibitor ICP-189 being developed by InnoCare. Preclinical studies with osimertinib demonstrated the encouraging activity of this combination in preventing resistance from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developing and we believe similar results will be obtained in preclinical studies with firmonertinib based on a common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114300</wp:posOffset>
            </wp:positionV>
            <wp:extent cx="4303395" cy="4371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03395"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Phase 1b trial is designed to evaluate the safety, pharmacokinetics and preliminary efficacy of the firmonertinib-ICP-189 combination in EGFRm NSCLC involving classical mutations and we dosed the first patient in March 2024. An expansion cohort in patients previously treated with a third-generation EGFR TKI is initiated with potential proof of concept in second-line classical EGFRm NSCLC expected to become available in 2026</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Planned Adjuvant Study in NSCLC Patients with Uncommon EGFRm, including Exon 20 Insertion and PACC Mutations</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intend to participate in a single multicenter, randomized, global pivotal Phase 3 clinical trial initiated in China to investigate the potential benefit of firmonertinib when administered to adult patients with Stage Ib to IIIb EGFRm NSCLC, after surgical resection. Eligibility in this clinical trial is restricted to patients with uncommon EGFR mutations including PACC, exon 20 insertion and other uncommon EGFRm. Participants are to be randomized on a 1:1 basis to receive either firmonertinib or placebo for three years and stratified based on stage of disease, mutation type and geographic origin. Participants are to receive firmonertinib daily over a three-year period with the primary endpoint to be disease free survival with secondary endpoints being OS and safety. We intend to participate in this clinical trial in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FURLONG — Completed Phase 3 Clinical Trial in Classical EGFRm First-Line NSCLC Patients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FURLONG was a 358-patient randomized, double-blinded, multi-center clinical trial with an active control arm, conducted in China by Allist, designed to compare the safety and efficacy of once daily dosing of 80 mg firmonertinib to 250 mg of gefitinib as first-line therapy in patients with locally advanced or metastatic NSCLC with classical EGFRm. Data from this trial supported the 2022 approval of firmonertinib in China for this patient population. The 358 patients enrolled in this Phase 3 trial were randomized on a 1:1 basis to receive either 80 mg of firmonertinib or 250 mg gefitinib orally as monotherapy in three-week cycles. All patients in the FURLONG clinical trial had either advanced Stage 3 or Stage 4 disease. Each cohort enrolled a similar number of women and non-smokers and the distribution of classical mutation type was comparable, as was the number of patients with metastatic disease involving the central nervous system. The patient demographic information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131445</wp:posOffset>
            </wp:positionV>
            <wp:extent cx="5434965" cy="2194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349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Eastern Cooperative Oncology Group performance status scale</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Firmonertinib demonstrated improved efficacy results as compared to gefitinib in the FURLONG clinical trial</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Firmonertinib demonstrated clinically meaningful and statistically significant therapeutic benefit as compared to gefitinib in the FURLONG clinical trial. In this clinical trial, we saw patients with firmonertinib lived longer without progression of disease. Median PFS in the patient cohort that was treated with firmonertinib was 20.8 months as compared to 11.1 months for the cohort that received gefitinib, representing a hazard ratio of 0.443 with p value &lt;0.0001. The ORR in the firmonertinib cohort, which included clinical trial participants exhibiting either a complete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response or a partial response to therapy, was 89% as compared to 84% in the gefitinib arm of the trial. The Kaplan-Meier curve of progression free survival in both cohorts is illustrated in the chart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114300</wp:posOffset>
            </wp:positionV>
            <wp:extent cx="5160645" cy="2434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606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Firmonertinib demonstrated improved safety results as compared to gefitinib in the FURLONG clinical trial</w:t>
      </w:r>
    </w:p>
    <w:p>
      <w:pPr>
        <w:spacing w:after="0" w:line="227" w:lineRule="exact"/>
        <w:rPr>
          <w:sz w:val="20"/>
          <w:szCs w:val="20"/>
          <w:color w:val="auto"/>
        </w:rPr>
      </w:pPr>
    </w:p>
    <w:p>
      <w:pPr>
        <w:ind w:left="60" w:right="379" w:firstLine="324"/>
        <w:spacing w:after="0" w:line="272" w:lineRule="auto"/>
        <w:rPr>
          <w:sz w:val="20"/>
          <w:szCs w:val="20"/>
          <w:color w:val="auto"/>
        </w:rPr>
      </w:pPr>
      <w:r>
        <w:rPr>
          <w:rFonts w:ascii="Times New Roman" w:cs="Times New Roman" w:eastAsia="Times New Roman" w:hAnsi="Times New Roman"/>
          <w:sz w:val="17"/>
          <w:szCs w:val="17"/>
          <w:color w:val="auto"/>
        </w:rPr>
        <w:t>Firmonertinib also demonstrated favorable safety results as compared to gefitinib in the FURLONG clinical trial. Despite an extended median duration of exposure to firmonertinib of 18.3 months as compared to 11.2 months among patients in the gefitinib cohort, firmonertinib administration resulted in fewer Grade 3 TRAEs as compared to gefitinib,</w:t>
      </w:r>
    </w:p>
    <w:p>
      <w:pPr>
        <w:spacing w:after="0" w:line="2" w:lineRule="exact"/>
        <w:rPr>
          <w:sz w:val="20"/>
          <w:szCs w:val="20"/>
          <w:color w:val="auto"/>
        </w:rPr>
      </w:pPr>
    </w:p>
    <w:p>
      <w:pPr>
        <w:ind w:left="60" w:right="139"/>
        <w:spacing w:after="0" w:line="265" w:lineRule="auto"/>
        <w:rPr>
          <w:sz w:val="20"/>
          <w:szCs w:val="20"/>
          <w:color w:val="auto"/>
        </w:rPr>
      </w:pPr>
      <w:r>
        <w:rPr>
          <w:rFonts w:ascii="Times New Roman" w:cs="Times New Roman" w:eastAsia="Times New Roman" w:hAnsi="Times New Roman"/>
          <w:sz w:val="17"/>
          <w:szCs w:val="17"/>
          <w:color w:val="auto"/>
        </w:rPr>
        <w:t>11.2% versus 17.9%, and fewer treatment-related serious adverse events, 5.6% versus 6.1%. The following TRSAEs were observed in ten patients (n=178) in the FURLONG study: increased alanine aminotransferase (4), increased aspartate aminotransferase (3), cerebral infraction (2), abnormal hepatic function (1), decreased blood fibrinogen (1), decreased platelet count (1), diarrhea (1), cholecystitis (1), cholelithiasis (1), pancreatitis (1), gastroenteritis (1), and gastritis (1). The following TESAEs were observed in 44 patients (n=178) in the FURLONG study: pleural effusion (5), cerebral infarction</w:t>
      </w:r>
    </w:p>
    <w:p>
      <w:pPr>
        <w:spacing w:after="0" w:line="1"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(5), increased alanine aminotransferase (4), increased aspartate aminotransferase (3), pneumonia (3), dyspnoea (2), respiratory failure (2), pulmonary embolism (2), abnormal hepatic function (1), decreased blood fibrinogen (1), decreased platelet count (1), diarrhea (1), cholecystitis (1), cholelithiasis (1), pancreatitis (1), gastroenteritis (1), gastritis (1), and death (1). The rate of trial discontinuation related to TRAEs was 3.4%, with six trial patients ending trial participation because of AEs, one as a result of each of interstitial lung disease, hyperbilirubinemia, visual impairment, ECG QT prolongation, ALT/AST elevation and decreased platelet count.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Firmonertinib exhibited superior efficacy results in the treatment of CNS metastases in the FURLONG clinical trial</w:t>
      </w:r>
    </w:p>
    <w:p>
      <w:pPr>
        <w:spacing w:after="0" w:line="22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Of the 358 patients enrolled in FURLONG, 60 had measurable CNS lesions that could be evaluated. Among trial participants with measurable CNS metastases, firmonertinib produced a confirmed CNS metastases specific ORR of 91% vs. 65% for gefitinib. In the full analysis set of 133 patients who had measurable or non-measurable CNS metastases the median CNS metastases specific progression free survival was 20.8 months for firmonertinib versus 9.8 months for the cohort that received gefitinib. Additionally, in a post-hoc analysis of patients that did not present with CNS lesions at enrollment, none of the patients who were treated with firmonertinib developed new lesions related to CNS metastases during the trial period. Among gefitinib patients, 8 trial participants developed such lesions. We believe this difference reflects firmonertinib’s enhanced potential to cross the blood-brain barrier which we believe may enable the prevention of CNS metastases.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Molecular Structure of Firmonertinib</w:t>
      </w:r>
    </w:p>
    <w:p>
      <w:pPr>
        <w:spacing w:after="0" w:line="22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molecular structure of firmonertinib is shown below. Firmonertinib contains an acrylamide side chain to confer irreversible binding to the EGFR kinase domain that may result in prolonged target inhibition and a flexible trifluoroethoxy side chain linked to a pyridine to provide additional contact points in the drug binding pocket, which we believe may enable improved binding across EGFR mutants as modeled below. It is believed that these two features of firmonertinib work together to enable broad inhibition of both classical and uncommon EGFR mutations such as exon 20 insertions and PACC mutations. In addition, the active metabolite of firmonertinib, AST5902 retained mutation specificity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which we believe may minimize toxicity due to EGFR inhibition in non-cancer cells.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molecular structure of firmonertinib contains numerous advantageous features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chemical structure of Firmonertinib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155575</wp:posOffset>
            </wp:positionV>
            <wp:extent cx="3994785" cy="2280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947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trifluoroethoxy side chain was included to provide additional contact points across different EGFR mutant subtypes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155575</wp:posOffset>
            </wp:positionV>
            <wp:extent cx="5212080" cy="1903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Antibody Drug Conjugate Collaborations</w:t>
      </w:r>
    </w:p>
    <w:p>
      <w:pPr>
        <w:spacing w:after="0" w:line="22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ADCs have emerged as an important therapeutic approach to delivering potent chemotherapy more directly to tumor cells which express a target on its cell surface while avoiding toxicity to normal cells which express the target at lower levels. However, currently available ADCs that utilize conventional antibodies that bind a single target as the drug delivery vehicle are still plagued by dose limiting and chronic toxicities. In addition target expression tends to be heterogeneous within a tumor which can limit efficacy and/or restrict ADC use to only tumors that have high and mostly homogenous target expression.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Aarvik Antibody Drug Conjugate Collaboration</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To overcome the limitations of conventional ADCs we are advancing the development of next-generation ADCs through a research collaboration with Aarvik. Leveraging Aarvik’s proprietary multi-target, multivalent antibody and site-specific conjugation platform, we have an ongoing research collaboration in an effort to develop an ADC that is potentially both safer and more effective than a conventional single target bivalent ADC. We identified a lead candidate (ARR-002) and initiated IND-enabling activities.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Alphamab Antibody Drug Conjugate Collaboration</w:t>
      </w:r>
    </w:p>
    <w:p>
      <w:pPr>
        <w:spacing w:after="0" w:line="229" w:lineRule="exact"/>
        <w:rPr>
          <w:sz w:val="20"/>
          <w:szCs w:val="20"/>
          <w:color w:val="auto"/>
        </w:rPr>
      </w:pPr>
    </w:p>
    <w:p>
      <w:pPr>
        <w:ind w:left="60" w:right="119" w:firstLine="315"/>
        <w:spacing w:after="0" w:line="261" w:lineRule="auto"/>
        <w:rPr>
          <w:sz w:val="20"/>
          <w:szCs w:val="20"/>
          <w:color w:val="auto"/>
        </w:rPr>
      </w:pPr>
      <w:r>
        <w:rPr>
          <w:rFonts w:ascii="Times New Roman" w:cs="Times New Roman" w:eastAsia="Times New Roman" w:hAnsi="Times New Roman"/>
          <w:sz w:val="18"/>
          <w:szCs w:val="18"/>
          <w:color w:val="auto"/>
        </w:rPr>
        <w:t>In addition to our Aarvik ADC Collaboration, we established an ADC collaboration with Alphamab in June 2024. We are working with Alphamab to leverage their proprietary linker-payload platform and glycan-conjugation technology to identify novel ADCs for oncology indications globally, except greater China, which includes mainland China, Hong Kong, Macau and Taiwan where Alphamab retains the right to develop and commercialize ADCs.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Lepu Biopharma Antibody Drug Conjugate Collaboration</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We also established an ADC collaboration with Lepu Biopharma in January 2025, to gain ex-Greater China, which includes mainland China, Hong Kong, Macau and Taiwan, rights to ARR-217.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Licenses, Partnerships and Collaborations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Allist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Technology Transfer and License Agreement</w:t>
      </w:r>
    </w:p>
    <w:p>
      <w:pPr>
        <w:spacing w:after="0" w:line="22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June 30, 2021 (the Effective Date), we entered into a Global Technology Transfer and License Agreement with Allist, as amended on November 6, 2023 (the Allist License Agreement), pursuant to which (i) Allist granted to us an exclusive (even as to Allist and its affiliates), royalty-bearing, sublicensable license under certain intellectual property (including patents and know-how) owned or controlled by Allist to develop, manufacture and commercialize any product (the Licensed Product) containing firmonertinib or any of its salts or derivatives as an active ingredient (the Licensed Compound), for all uses (the Field), in all countries and territories (the Licensed Territory) other than greater China, which includes mainland China, Hong Kong, Macau and Taiwan (the Retained Territory); and (ii) we granted Allist a non-exclusive sublicensable license to use (1) any information, data and results that relate solely and exclusively to the Licensed Product and which we generate or collect in the conduct of clinical trials or preclinical activities in the Licensed Territory and (2) any improvements or enhancements that we make or discover under the License Agreement to the know-how licensed to us and is owned or controlled by us, to develop, manufacture, and commercialize the Licensed Compound and the Licensed Product for all uses in the Retained Territory.</w:t>
      </w:r>
    </w:p>
    <w:p>
      <w:pPr>
        <w:spacing w:after="0" w:line="19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parties have appointed a joint collaboration committee, comprised of representatives from both us and Allist (the Collaboration Committee), to oversee the parties’ development activities related to the Licensed Compound under the Allist License Agreement.</w:t>
      </w:r>
    </w:p>
    <w:p>
      <w:pPr>
        <w:spacing w:after="0" w:line="1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Allist License Agreement, we are required to use commercially reasonable efforts to (i) develop the Licensed Product in the Licensed Territory, (ii) prepare and submit regulatory filings and seek regulatory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approvals in all major market countries in the Licensed Territory and (iii) perform all commercialization activities for the Licensed Product in each country in the Licensed Territory in which the Licensed Product has received regulatory approval, and we are solely responsible for all the expenses associated with the foregoing (i)-(iii). We are also responsible for the manufacture and supply of the Licensed Product in the Licensed Territory, by ourselves or through a third-party manufacturer, for the purpose of conducting clinical trials, obtaining regulatory approval and commercializing the Licensed Product in the Licensed Territory.</w:t>
      </w:r>
    </w:p>
    <w:p>
      <w:pPr>
        <w:spacing w:after="0" w:line="18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In consideration of the licenses and rights granted to us under the Allist License Agreement, we granted to Allist a total of 1,276,250 shares of common stock for a purchase price of $0.0001 per share pursuant to that certain Subscription Agreement executed concurrently with the Allist License Agreement.</w:t>
      </w:r>
    </w:p>
    <w:p>
      <w:pPr>
        <w:spacing w:after="0" w:line="1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As additional consideration for the licenses and rights granted to us under the Allist License Agreement, we made an upfront, non-creditable and non-refundable cash payment of $40.0 million to Allist on the Effective Date (the Initial Payment). We are obligated to make development and regulatory approval milestone payments to Allist upon the achievement of specific milestone events related to the Licensed Product in an aggregate amount up to $110.0 million, and commercial milestone payments to Allist upon the achievement of specified net sales thresholds of the Licensed Product in an aggregate amount up to $655.0 million. In 2023, we made a $5.0 million payment to Allist after we met a clinical milestone under the Allist License Agreement. We are also obligated to pay Allist tiered royalties ranging from high single digits to low mid-teens percentages on an incremental aggregated net sales basis on the net sales of any Licensed Products in the Licensed Territory made by or on behalf of us or our sublicensees. Our obligation to pay royalties for each Licensed Product begins from the date of the first commercial sale of such Licensed Product in a given country and extends until the latest of (i) the expiration of the last valid patent claim related to such Licensed Product’s composition or approved indications in such country, (ii) the termination of any regulatory-based exclusivity period in such country, or (iii) ten years after the initial commercial sale of such Licensed Product in such country (the Allist License Royalty Term). Our obligation to make milestone payments also ceases upon the expiration of the Allist License Royalty Term on a product-by-product and country-by-country basis.</w:t>
      </w:r>
    </w:p>
    <w:p>
      <w:pPr>
        <w:spacing w:after="0" w:line="19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Allist License Agreement will remain in force until the earlier occurrence of (i) the expiration of our obligation to pay royalties for all Licensed Products and (ii) the date that the Allist License Agreement is terminated pursuant to its early termination provisions (the Term). Either party has the right to terminate the Allist License Agreement, subject to specified cure periods, for the material breach by the other party or the bankruptcy or insolvency of the other party. In addition, we have the right to terminate the Allist License Agreement upon 60 days’ prior written notice to Allist at any time, at our sole discretion, either in its entirety or on a Licensed Product-by-Licensed Product and country-by-country basis. Upon termination of the License Agreement, Allist will have certain specified reversion rights with respect to the Licensed Product if the termination is for any reason other than by us for the material breach by Allist, and if the termination is by us for the material breach by Allist, we would have the right to continue under the License Agreement in lieu of termination but with our milestone and royalty payment obligations being substantially reduced.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Joint Clinical Collaboration Agreement</w:t>
      </w:r>
    </w:p>
    <w:p>
      <w:pPr>
        <w:spacing w:after="0" w:line="22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On December 24, 2021, we entered into a Joint Clinical Collaboration Agreement (the Allist Collaboration Agreement) with Allist to govern the conduct of any global clinical trials to be conducted with the Licensed Products as specified in the Allist License Agreement (each, a Global Study). Pursuant to the Allist Collaboration Agreement, if either party or both parties wish to jointly conduct a Global Study, one or both parties (as the case may be) shall prepare and submit the proposed strategy, protocol design, budget, proposal for budget sharing and internal process timeline for such proposed Global Study to the Collaboration Committee that was appointed pursuant to the Allist License Agreement for its review at least 90 days in advance of the applicable protocol filing with the relevant regulatory authorities. Upon the approval by the collaboration committee of a development plan for the proposed Global Study that includes the allocation of the sponsorship for the conduct of the proposed Global Study and other details for conducting the proposed Global Study as specified in the Allist Collaboration Agreement, the proposed Global Study shall be deemed to be a “Joint Global Study” and such development plan a “Joint Global Development Plan.” The parties have agreed in the Allist Collaboration Agreement that (i) we will be the sponsor of any Joint Global Study in the Licensed Territory (as defined in the Allist License Agreement), (ii) Allist will be the sponsor of any Joint Global Study in the PRC (as defined in the Allist License Agreement) and (iii) the Collaboration Committee shall designate the party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will be the sponsor of any Joint Global Study in certain territories (Joint Territories). The parties will mutually agree on the global regulatory strategy for each Joint Global Study. The party that is the sponsor of a Joint Global Study will be responsible for (1) selecting the sites and investigators to be used in the conduct of the applicable Joint Global Study, and</w:t>
      </w:r>
    </w:p>
    <w:p>
      <w:pPr>
        <w:spacing w:after="0" w:line="1" w:lineRule="exact"/>
        <w:rPr>
          <w:sz w:val="20"/>
          <w:szCs w:val="20"/>
          <w:color w:val="auto"/>
        </w:rPr>
      </w:pPr>
    </w:p>
    <w:p>
      <w:pPr>
        <w:ind w:left="60" w:right="139" w:hanging="10"/>
        <w:spacing w:after="0" w:line="252"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strategies for, and preparing and submitting, all regulatory filings and applications for regulatory approval for the Licensed Products, in the sponsor’s sponsored territory, except that Allist shall be responsible for developing strategies for, and preparing and submitting, all regulatory filings and applications for regulatory approval for the Licensed Products in the Joint Territories regardless of whether we are the sponsor in these territories. The parties will review the budget for each Joint Global Study and agree through the Collaboration Committee on the model to be used to share the expenses to be incurred in the conduct of such Joint Global Study.</w:t>
      </w:r>
    </w:p>
    <w:p>
      <w:pPr>
        <w:spacing w:after="0" w:line="190"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Subject to applicable cure periods, the Allist Collaboration Agreement may be terminated by a party upon a material breach of the Allist Collaboration Agreement by the other party.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Aarvik Research Collaboration Agreement</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December 21, 2021, we entered into a Research Collaboration Agreement, as amended effective June 30, 2023 (the Aarvik Collaboration Agreement), with Aarvik, pursuant to which we and Aarvik agreed to collaborate on the discovery and characterization of novel ADCs with a goal to identify ADCs that may be suitable for further development by us in accordance with the applicable statements of work (each a SOW, collectively, the SOWs) until the completion of all activities in accordance with the applicable SOWs (collectively, the Aarvik Collaboration).</w:t>
      </w:r>
    </w:p>
    <w:p>
      <w:pPr>
        <w:spacing w:after="0" w:line="18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August 9, 2024, we entered into an amendment and restatement of the Aarvik Collaboration Agreement (the Amended and Restated Aarvik Collaboration Agreement). Under the Amended and Restated Aarvik Collaboration Agreement, Aarvik granted us an exclusive option (the Option) to obtain exclusive rights to certain of Aarvik’s intellectual property for the research, development, manufacture, use, commercialization, or other exploitation of the novel ADCs. Under the Amended and Restated Aarvik Collaboration Agreement, we are required to pay Aarvik a collaboration initiation fee and research fees as provided in the SOWs. We exercised the exclusive option simultaneously with entry into the Amended and Restated Aarvik Collaboration Agreement.</w:t>
      </w:r>
    </w:p>
    <w:p>
      <w:pPr>
        <w:spacing w:after="0" w:line="18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parties have appointed a joint research committee, comprised of our representatives and representatives from Aarvik, to oversee the parties’ research collaboration activities under the Amended and Restated Aarvik Collaboration Agreement. Aarvik has agreed, during the term of the Aarvik Collaboration and following our exercise of the Option, to certain exclusivity and ownership provisions with respect to ADCs.</w:t>
      </w:r>
    </w:p>
    <w:p>
      <w:pPr>
        <w:spacing w:after="0" w:line="18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7"/>
          <w:szCs w:val="17"/>
          <w:color w:val="auto"/>
        </w:rPr>
        <w:t>Under the Amended and Restated Aarvik Collaboration Agreement, we are required to pay Aarvik a collaboration execution fee and research fees as provided in the SOWs. We have incurred $4.9 million of fees through December 31, 2024. We further agreed to reimburse Aarvik for actual costs incurred in procuring other materials Aarvik will actually use in performing activities under the applicable SOWs. Because we have exercised the Option, we were required to make a one-time non-refundable option exercise payment of low single-digit millions and we will be obligated to make milestone payments to Aarvik upon the achievement of specific regulatory and sales milestone events related to the Aarvik Collaboration as specified and determined in the Amended and Restated Aarvik Collaboration Agreement. Combined regulatory milestone payments and sales milestone payments will not exceed $98.0 million per product. During the Aarvik Collaboration Royalty Term (as defined below), we are also obligated to pay Aarvik tiered royalties on aggregate net sales of products developed under the Aarvik Collaboration and commercialized by us or on our behalf at royalty rates in the mid-single digits, and we must also pay to Aarvik’s upstream licensor a royalty of less than 1% on such net sales. Our obligation to pay royalties for each product, calculated on a product-by-product and jurisdiction-by-jurisdiction basis, begins from the date of the first commercial sale of each product within a given jurisdiction and extends until the earliest of</w:t>
      </w:r>
    </w:p>
    <w:p>
      <w:pPr>
        <w:spacing w:after="0" w:line="10" w:lineRule="exact"/>
        <w:rPr>
          <w:sz w:val="20"/>
          <w:szCs w:val="20"/>
          <w:color w:val="auto"/>
        </w:rPr>
      </w:pPr>
    </w:p>
    <w:p>
      <w:pPr>
        <w:ind w:left="60" w:right="79" w:hanging="10"/>
        <w:spacing w:after="0" w:line="253"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approval of a biosimilar product related to such product in such jurisdiction, which is made and sold by a different company, meeting specific government regulatory standards, (b) an anniversary of the date of the first commercial sale of such product in such jurisdiction, or (c) the expiration of the last valid claim of a patent included in the Collaboration IP that pertains to the any ADC generated within Aarvik Collaboration or any derivative thereof featured in such product within such jurisdiction (the Aarvik Collaboration Royalty 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Amended and Restated Aarvik Collaboration Agreement will remain in full force and effect until the expiration of all Aarvik Collaboration Royalty Terms for all products under the Amended and Restated Aarvik Collaboration Agreement, unless terminated earlier. On a jurisdiction-by-jurisdiction and product-by-product basis, following the expiration of the Aarvik Collaboration Royalty Term, the license granted to us hereunder will become nonexclusive, perpetual, irrevocable, fully-paid and royalty-free. We can terminate the Amended and Restated Aarvik Collaboration Agreement for convenience. Either party can terminate the Amended and Restated Aarvik Collaboration Agreement for material breach that is not cured within a specified period, or for the other party’s insolvency or certain bankruptcy events. Upon termination of the Amended and Restated Aarvik Collaboration Agreement with respect to the Target Pair or any given product, the licenses granted by Aarvik will terminate with respect to the applicable terminated Target Pair or product, and unless the Amended and Restated Aarvik Collaboration Agreement is terminated by us for Aarvik’s uncured breach or insolvency, then the Collaboration IP will be assigned back to Aarvik. If the Amended and Restated Aarvik Collaboration Agreement is terminated only with respect to a particular jurisdiction (but not all jurisdictions) and a specific Target Pair or product, then we will grant to Aarvik an exclusive and fully paid-up right and license to use the licensed IP with respect to the terminated Target Pair or product in such jurisdiction.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InnoCare Clinical Collaboration Agreement</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June 23, 2023, we entered into a Clinical Collaboration Agreement (the InnoCare Collaboration Agreement) with InnoCare, pursuant to which we and InnoCare agreed to contribute resources to a clinical trial evaluating the use of firmonertinib in combination with InnoCare’s ICP-189, a SHP2i (the InnoCare Collaboration Clinical Trial). Pursuant to the InnoCare Collaboration Agreement, we and InnoCare have mutually granted to each other a non-exclusive license to certain of the granting party’s intellectual property solely for the purpose of conducting the InnoCare Collaboration Clinical Trial.</w:t>
      </w:r>
    </w:p>
    <w:p>
      <w:pPr>
        <w:spacing w:after="0" w:line="18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Under the InnoCare Collaboration Agreement, InnoCare has the right to use firmonertinib solely for the InnoCare Collaboration Clinical Trial. We and InnoCare have agreed that InnoCare is the regulatory sponsor for the InnoCare Collaboration Clinical Trial and has the sole right and responsibility to prepare all regulatory filings related to the InnoCare Collaboration Clinical Trial, including the protocol and IND filings, conduct the InnoCare Collaboration Clinical Trial, and communicate with regulatory authorities with respect to the InnoCare Collaboration Clinical Trial.</w:t>
      </w:r>
    </w:p>
    <w:p>
      <w:pPr>
        <w:spacing w:after="0" w:line="183"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We maintain the right to review, comment on, and approve the protocol and IND related to the InnoCare Collaboration Clinical Trial and have the right to attend InnoCare’s meetings with regulatory authorities regarding the InnoCare Collaboration Clinical Trial. InnoCare must also provide us with periodic updates regarding the InnoCare Collaboration Clinical Trial with respect to progress, safety and toxicity, and data and results.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Upon the completion of the InnoCare Collaboration Clinical Trial, InnoCare will lead the analysis of the results of the InnoCare Collaboration Clinical Trial and will provide us with the final report for the InnoCare Collaboration Clinical Trial for our comments. InnoCare has also agreed to provide us with any raw data generated from the InnoCare Collaboration Clinical Trial to the extent permissible by law. The final report and any raw data (collectively, the InnoCare Collaboration Report) from the InnoCare Collaboration Clinical Trial are jointly owned by us and InnoCare. We may not, without InnoCare’s prior consent, use the InnoCare Collaboration Report for purposes of developing or commercializing ICP- 189 alone or in combination with firmonertinib. InnoCare may not, without our prior consent, use the InnoCare Collaboration Report for purposes of developing or commercializing firmonertinib alone or in combination with ICP-189.</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Under the InnoCare Collaboration Agreement, we and InnoCare have agreed to equally share all incurred costs associated with the InnoCare Collaboration Clinical Trial in accordance with a mutually agreed upon budget and have agreed to provide each other with periodic expense reports detailing costs related to the InnoCare Collaboration Clinical Trial. As of December 31, 2024, we recognized approximately $0.5 million of research and development expenses related to incurred costs associated with the InnoCare Collaboration Clinical Trial. We and InnoCare have agreed to discuss such expense reports and determine the calculation of net amounts owed by one party to the other to ensure the appropriate equal sharing of costs associated with the InnoCare Collaboration Clinical Trial. If we or InnoCare become aware of any costs that may be in excess of the costs set out in the budget for the InnoCare Collaboration Clinical Trial, then the respective party shall notify the other party and we and InnoCare shall discuss such costs in order to determine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if such costs are permissible. InnoCare shall have the sole right to make the final decision on matters relating to the excess costs related to the InnoCare Collaboration Clinical Trial; however, we maintain the right to opt out of participating in the InnoCare Collaboration Clinical Trial if the costs surpass a certain threshold above the budget, provided that we will not have rights to the InnoCare Collaboration Report.</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InnoCare Collaboration Agreement will remain in full force and effect until the delivery of the InnoCare Collaboration Report, unless terminated earlier. The InnoCare Collaboration Agreement may be terminated for material breach upon written notice with a period to cure such material breach. The InnoCare Collaboration Agreement may also be terminated immediately by either party if either one believes that there is a material safety issue in the conduct of the InnoCare Collaboration Clinical Trial that cannot be resolved by a protocol amendment satisfactory to both parties after discussion thereof.</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Alphamab Collaboration</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4, 2024, we entered into a Research and Collaboration Agreement with Alphamab, a wholly owned subsidiary of Alphamab Oncology, pursuant to which the Company and Alphamab will discover, develop and commercialize novel antibody drug conjugates for the treatment of cancers (the Alphamab Agreement).</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Under the Alphamab Agreement, and subject to our payment to Alphamab of the applicable research costs, Alphamab will grant us an exclusive, royalty-bearing, sublicensable license under certain Alphamab intellectual property and joint intellectual property to develop and commercialize such products in all fields of use worldwide, except greater China, which includes mainland China, Hong Kong, Macau and Taiwan (the “Retained Territory”). Alphamab retains the right to develop and commercialize such products in the Retained Territory. Under the Alphamab Agreement, we granted to Alphamab a royalty-free, perpetual license, which is exclusive during the term of the Alphamab Agreement and non-exclusive thereafter, under all intellectual property rights conceived, discovered, developed or otherwise made solely by us or jointly with Alphamab pursuant to the activities under the Alphamab Agreement for any and all purposes within the Retained Territory. Upon commencement of activities to manufacture the products for use in certain clinical trials, Alphamab will grant us a royalty-bearing license under certain Alphamab intellectual property to manufacture the applicable products. Under the Alphamab Agreement, Alphamab is entitled to an upfront payment and potential development and sales milestone payments of up to an aggregate of $615.5 million from us. Additionally, Alphamab is entitled to receive royalties in the low- to mid- single digit percent range on net sales of products outside greater China that may arise from the Alphamab Agreement.</w:t>
      </w:r>
    </w:p>
    <w:p>
      <w:pPr>
        <w:spacing w:after="0" w:line="19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Alphamab Agreement is subject to termination (i) by either party for customary purposes, including the material breach by or bankruptcy of the other party, (ii) by us for convenience, (iii) by Alphamab due to our challenge of certain patents held by Alphamab, or (iv) by Alphamab on a product-by-product basis due to our failure to carry out certain diligence obligations or in certain instances if there is a change of control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Lepu Agreement</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On January 21, 2025, ArriVent entered into an Exclusive License Agreement (the “Lepu Biopharma Agreement”) with Lepu Biopharma, pursuant to which Lepu Biopharma granted us a right to develop and commercialize ARR-217 (MRG007), an antibody drug conjugate for gastrointestinal cancers outside greater China, which is mainland China, Hong Kong, Macau and Taiwan.</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Under the Lepu Biopharma Agreement, Lepu Biopharma granted to us: (i) an exclusive, royalty-bearing, sublicensable license under certain intellectual property owned or controlled by Lepu Biopharma, to develop, manufacture and commercialize any product containing ARR-217 for all uses in all countries and territories other than Greater China, which is mainland China, Hong Kong, Macau and Taiwan (the “ArriVent Territory”); and (ii) a non-exclusive license under certain intellectual property controlled by Lepu Biopharma to develop, manufacture and commercialize any product containing ARR-217 for use in oncology in the ArriVent Territory. Under the Lepu Biopharma Agreement, Lepu Biopharma is entitled to receive a one-time upfront payment and near-term milestone payments totaling $47.0 million in cash and is eligible to receive up to $1.16 billion in development, regulatory and sales milestones and tiered royalties in high single-digit to low-teen percentages on net sales in the ArriVent Territory.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Lepu Biopharma Agreement is subject to termination: (i) by either party, subject to specified cure periods, for the material breach by the other party or the bankruptcy or insolvency of the other party, (ii) by us for convenience, subject to a specified notice period, (iii) by Lepu Biopharma due to our challenge of certain patents controlled by Lepu Biopharma, or (iv) by Lepu Biopharma due to our failure to carry out certain diligence obligations.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oversee and manage third party CMOs to support development and manufacture of product candidates for our clinical trials, and, if we receive marketing approval, we will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Currently, we rely on, and have agreements with, two third-party contract manufacturers, Zhejiang Raybow Pharmaceutical Company., Ltd. (Raybow) and WuXi SynTheAll Pharmaceutical company, Ltd. (WuXi STA) to supply the drug substance for firmonertinib to be used in on-going and planned clinical trials and with WuXi STA, with whom we have executed technology transfer related to the manufacture of drug product, to manufacture the clinical trial and initial commercial launch supplies of firmonertinib drug product. Both of our third-party contract manufacturers are located in China, but WuXi STA has manufacturing capabilities globally, including in the United States and Europe. We expect to enter into commercial supply agreements with WuXi STA for both drug substance and drug product prior to any potential approval of firmonertinib. We expect to rely on manufacturers in China for ARR-217 drug substance and drug product for use in initial clinical studies and also expect to rely on WuXi XDC Cayman, Inc., (WuXi XDC) for the manufacture of ARR-002 drug product and drug substances for initial clinical studies.</w:t>
      </w:r>
    </w:p>
    <w:p>
      <w:pPr>
        <w:spacing w:after="0" w:line="194"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Firmonertinib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intend to also maintain the current drug substance manufacturer as part of our supply chain strategy.</w:t>
      </w:r>
    </w:p>
    <w:p>
      <w:pPr>
        <w:spacing w:after="0" w:line="18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The BIOSECURE Act was introduced in 2024 but has not become law, and there remains potential for its reintroduction in the current congressional session. If reintroduced and enacted, the legislation would prohibit federal agencies from entering into procurement contracts with an entity that uses biotechnology equipment or services from a biotechnology company of concern. Accordingly, we are taking measures to strengthen our supply chain in the event that Raybow, WuXi STA or one of our other manufacturers is impacted. We intend to identify alternative potential manufacturers to ensure we have a sufficient stockpile of drug substance and drug product in the United States. We will also continue to closely monitor geopolitical risk and implement additional mitigations and supply chain redundancies, as needed. See the risk factor entitled “We currently rely on a Chinese third party for the manufacture of firmonertinib and ARR-217, for clinical development, and future supply of firmonertinib, and expect to continue to rely on third parties for the foreseeable future. This reliance on third parties increases the risk that we will not have sufficient quantities of firmonertinib or ARR-217 or such quantities at an acceptable cost, which could delay, prevent or impair our development or potential commercialization efforts.”</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have made substantial investments in recent years into the rapid development of novel treatments for NSCLC.</w:t>
      </w:r>
    </w:p>
    <w:p>
      <w:pPr>
        <w:spacing w:after="0" w:line="16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directly compete with our current or future product candidates. We anticipate that we will continue to face increasing competition as new therapies and combinations thereof, technologies and data emerge within the field of oncology and, furthermore, within the treatment of NSCLC.</w:t>
      </w:r>
    </w:p>
    <w:p>
      <w:pPr>
        <w:spacing w:after="0" w:line="17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NSCLC, numerous commercial and academic preclinical studies and clinical trials are being undertaken by a large number of parties to assess novel technologies and product candidates.</w:t>
      </w:r>
    </w:p>
    <w:p>
      <w:pPr>
        <w:spacing w:after="0" w:line="17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Companies that compete with us directly on the level of commercialization or development of product candidates targeting EGFR mutation-positive NSCLC include, but are not limited to, AstraZeneca, Johnson &amp; Johnson, Blossom Hill Therapeutics, Dizal Pharmaceutical, Oric Pharmaceuticals, Black Diamond Therapeutics, Inc., Cullinan Therapeutics, Inc., Taiho Pharmaceutical Co., Ltd., Boehringer Ingelheim and Bayer AG.</w:t>
      </w:r>
    </w:p>
    <w:p>
      <w:pPr>
        <w:spacing w:after="0" w:line="18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biopharmaceuticals generally. We seek to protect and enhance proprietary technology, inventions and improvements that are commercially important to the development of our business by seeking, maintaining and defending patent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83"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Through our licensor Allist, we have sought and obtained patent protection in the United States and internationally related to firmonertinib. For firmonertinib and our future product candidates our strategy is to pursue patent protection covering compositions of matter and methods of use. In addition, we seek to identify additional means of obtaining patent protection including formulation and dosing regimen-related claims, as well as manufacturing-related claims, which may enhance our commercial success. We may also rely on trade secrets that may be important to the development of our business. Trade secrets are difficult to protect and provide us with only limited protection. As of December 31, 2024, our intellectual property portfolio for firmonertinib includes issued patents and pending patent applications in the U.S. and internationally.</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With regard to the firmonertinib molecule itself, we exclusively license from Allist two issued patents in the US, and one issued patent in each of, Canada, Europe, Japan and South Korea. These patents are expected to expire in 2035, assuming payment of all appropriate maintenance, renewal, annuity or other governmental fees, and without taking potential patent term extensions or adjustments into account. The U.S. patents are reissue patents covering firmonertinib, other compounds represented by a general formula, and pharmaceutically acceptable salts of such compounds; the patents also cover related pharmaceutical compositions, methods for treating an EGFR activating or resistant mutation mediated lung cancer and methods for selectively inhibiting an EGFR activating or resistant mutation over a wild-type EGFR to a lung cancer patient.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With regard to mesylate salts of firmonertinib, we exclusively license from Allist one issued patent in each of the United States, Canada, Europe, Japan and South Korea. The U.S. patent covers mesylate salts of firmonertinib, as well as pharmaceutical compositions, methods for preparing such mesylate salts and methods for treating a patient suffering from cancers. With regard to crystalline forms, we also exclusively license from Allist one issued patent in each of the United States, Canada, Europe, Japan and South Korea. The U.S. patent covers two crystaline forms of mesylate salts of firmonertinib, as well as pharmaceutical compositions, methods for preparing such crystaline forms, and methods for treating a patient suffering from cancers. Collectively, these patents are expected to expire in 2037, assuming payment of all appropriate maintenance, renewal, annuity or other governmental fees and without taking potential patent term extensions or adjustments into account.</w:t>
      </w:r>
    </w:p>
    <w:p>
      <w:pPr>
        <w:spacing w:after="0" w:line="188"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With regards to methods of manufacturing firmonertinib, we exclusively license from Allist two pending patent applications in each of the United States and Europe. These applications, if issued, would expire in 2043.</w:t>
      </w:r>
    </w:p>
    <w:p>
      <w:pPr>
        <w:spacing w:after="0" w:line="16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With regard to methods of use for firmonertinib, we exclusively license from Allist one Patent Cooperation Treaty (PCT) patent application and two families of national stage patent applications pending in multiple countries, including United States, Canada, Europe, Japan and South Korea. The national stage patent application families relate to use of firmonertinib to treat disease, such as NSCLC, in patients (a) having exon 20 insertion mutations or (b) having an HER2 exon 20 insertion mutation and/or EGFR rare mutation, respectively, as well as pharmaceutical compositions containing therapeutically effective amounts of firmonertinib. The PCT application relates to use of firmonertinib to treat disease, such as NSCLC, in patients having EGFR PACC mutations, as well as pharmaceutical compositions containing therapeutically effective amounts of firmonertinib. Any U.S. or foreign patents issued from the national stage applications or the national stage filings of the PCT patent application are expected to expire in 2042 (pending national stage application) or 2043 (PCT patent application),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190"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Aarvik has exclusively licensed us one PCT application relating to antibody scaffolds and ADCs comprising such scaffolds and two U.S. provisional applications relating to antibody scaffolds and ADCs comprising such scaffolds, including ARR-002. Any U.S. or foreign patents issued from national stage filings of the PCT patent application, and any U.S. or foreign patents issued from the provisional application, are expected to expire in 2044 and 2045, respectively, without taking into account any patent term adjustments or extensions.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Lepu Biopharma has exclusively licensed us two PCT applications relating to antibodies and ADCs, including ARR-</w:t>
      </w:r>
    </w:p>
    <w:p>
      <w:pPr>
        <w:spacing w:after="0" w:line="27" w:lineRule="exact"/>
        <w:rPr>
          <w:sz w:val="20"/>
          <w:szCs w:val="20"/>
          <w:color w:val="auto"/>
        </w:rPr>
      </w:pPr>
    </w:p>
    <w:p>
      <w:pPr>
        <w:ind w:left="60" w:right="179" w:hanging="10"/>
        <w:spacing w:after="0" w:line="260" w:lineRule="auto"/>
        <w:tabs>
          <w:tab w:leader="none" w:pos="4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 or foreign patents issued from such application are expected to expire in 2045, without taking into account any patent term adjustments or extensions.</w:t>
      </w:r>
    </w:p>
    <w:p>
      <w:pPr>
        <w:spacing w:after="0" w:line="181"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may file additional patent applications in support of current and new product candidates as well as new platform and core technologies.</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our current and future product candidates and the methods used to develop and manufacture them, as well as successfully defending any such patents against third-party challenges and operating without infringing on the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 — Risks Related to Our Intellectual Property.”</w:t>
      </w:r>
    </w:p>
    <w:p>
      <w:pPr>
        <w:spacing w:after="0" w:line="194"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jurisdictions,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(USPTO),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“Risk Factors — Risks Related to Our Intellectual Property.”</w:t>
      </w:r>
    </w:p>
    <w:p>
      <w:pPr>
        <w:spacing w:after="0" w:line="184"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some instances, we may submit patent applications directly to the USPTO as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83"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U.S. non-provisional applications and PCT applications may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9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 applications containing claims for protection of all useful applications of our proprietary technologies and any products, as well as all new applications and/or uses we discover for existing technologies and products,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future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 —  Risks Related to Our Intellectual Property.”</w:t>
      </w:r>
    </w:p>
    <w:p>
      <w:pPr>
        <w:spacing w:after="0" w:line="191"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 the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“Risk Factors — Risks Related to Our Intellectual Property.”</w:t>
      </w:r>
    </w:p>
    <w:p>
      <w:pPr>
        <w:spacing w:after="0" w:line="192" w:lineRule="exact"/>
        <w:rPr>
          <w:sz w:val="20"/>
          <w:szCs w:val="20"/>
          <w:color w:val="auto"/>
        </w:rPr>
      </w:pPr>
    </w:p>
    <w:p>
      <w:pPr>
        <w:ind w:left="60" w:right="559" w:firstLine="324"/>
        <w:spacing w:after="0" w:line="312" w:lineRule="auto"/>
        <w:rPr>
          <w:sz w:val="20"/>
          <w:szCs w:val="20"/>
          <w:color w:val="auto"/>
        </w:rPr>
      </w:pPr>
      <w:r>
        <w:rPr>
          <w:rFonts w:ascii="Times New Roman" w:cs="Times New Roman" w:eastAsia="Times New Roman" w:hAnsi="Times New Roman"/>
          <w:sz w:val="17"/>
          <w:szCs w:val="17"/>
          <w:color w:val="auto"/>
        </w:rPr>
        <w:t>When available to expand market exclusivity, our strategy is to obtain, or license additional intellectual property related to current or contemplated development platforms, core elements of technology and/or clinical candidates.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Within the United States</w:t>
      </w:r>
    </w:p>
    <w:p>
      <w:pPr>
        <w:spacing w:after="0" w:line="22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and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under the Federal Food, Drug, and Cosmetic Act (FDC Act), its implementing regulations and Biological products are regulated under the FDC Act, the Public Health Service Act (PHS Act), and their implementing regulations. Both drugs and biologics also are subject to other federal, state and local statutes and regulations. Failure to comply with applicable U.S. requirements may subject a company to a variety of administrative or judicial sanctions brought by the FDA and the Department of Justice (DOJ) or other governmental entities. Such sanctions could include, but are not limited to, FDA refusal to approve pending marketing applications, warning or untitled letters, product recalls, product seizures, total or partial suspension of production or distribution, injunctions, fines, civil penalties and criminal prosecution.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Pharmaceutical and biological product development for a new product or certain changes to an approved product in the U.S. typically involves nonclinical laboratory, animal tests and formulation studies conducted according to good laboratory practices and other applicable regulations and guidance;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Once a pharmaceutical or biological candidate is identified for development, it enters the preclinical or nonclinical testing stage. Nonclinical tests include laboratory evaluation of product chemistry, formulation and toxicity, as well as potentially animal studies to assess the characteristics and potential safety and activity of the product. The Consolidated Appropriations Act for 2023, signed into law on December 29, 2022, amended both the FDC Act and the PHS Act to specify that nonclinical testing for drugs may, but is no longer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results of nonclinical testing are submitted to the FDA as part of an IND along with other information, including information about product chemistry, manufacturing and controls, analytical data and a proposed clinical trial protocol detailing, among other things, the objectives of the clinical trial, the parameters to be used in monitoring safety, and the effectiveness criteria to be evaluated, if the trial includes an efficacy evaluation. Long-term nonclinical tests, such as animal tests of reproductive toxicity and carcinogenicity, may continue after the IND is submitted. A 30-day waiting period after the submission of each IND is required prior to the commencement of clinical testing in humans. If the FDA has not otherwise notified the sponsor of the IND within this 30-day period, then the clinical trial proposed in the IND may begin, unless the FDA, within the 30-day time period, imposes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9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one or more qualified investigators.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which includes, among other things, the requirement that all research subjects provide their informed consent in writing for their participation in any clinical trial; as well as (iii) under protocols detailing the objectives of the trial, dosing procedures, subject selection and exclusion criteria, the parameters to be used in monitoring safety and the effectiveness criteria to be evaluated. Each protocol involving testing on U.S. patients and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independent institutional review board (IRB) or ethics committee for approval at each clinical site before each trial may be initiated, and the IRB must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may also require the clinical trial at the site to be halted, either temporarily or permanently (or impose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other conditions), for failure to comply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Clinical trials to support new drug applications (NDAs) or biologics license applications (BLAs) for marketing approval of pharmaceutical or biological products, respectively, are typically conducted in three sequential phases, but the phases may overlap or be combined. In Phase 1, the initial introduction of the product candidate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with a specified disease or condition to preliminarily evaluate the effectiveness of the product candidate for a particular indication, determine dosage tolerance and optimum dosage, and to identify possible adverse effects and safety risks. If a product candidate demonstrates evidence of effectiveness and an acceptable safety profile in Phase 2 evaluations, Phase 3 trials are undertaken to further evaluate dosage, obtain substantial evidence of clinical efficacy and further test for safety in a larger number of patients, typically at geographically dispersed clinical trial sites, to permit FDA to evaluate the overall benefit-risk relationship of the product candidate and to provide adequate information for the labeling of the drug. In most cases, the FDA requires two adequate and well-controlled clinical trials to demonstrate the efficacy of the therapeutic product candidate. Results from a single adequate and well-controlled trial may be sufficient in rare instances, such as: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submitted in conjunction with other confirmatory evidence. Moreover, 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Congress also recently amended the FDC Act to require sponsors of a Phase 3 clinical trial, or other “pivotal study” of a new drug or biologic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If the FDA objects to a sponsor’s diversity action plan or otherwise requires significant changes to be made, it could delay initiation of the relevant clinical trial.</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nonclinical animal studies and must also develop additional information about the chemistry and physical characteristics of the product and finalize a process for manufacturing the product in commercial quantities in accordance with current good manufacturing practices (cGMPs). The manufacturing process must be capable of consistently producing quality batches of the product candidate and, among other things, the manufacturer must develop methods for testing the identity, strength, quality and purity of the final drug product. For biologics in particular, the PHS Act emphasizes the importance of manufacturing control for products whose attributes cannot be precisely defined in order to help reduce the risk of the introduction of adventitious agents. In addition, appropriate packaging must be selected and tested, and stability studies must be conducted to demonstrate that the product candidate does not undergo unacceptable deterioration over its shelf life.</w:t>
      </w:r>
    </w:p>
    <w:p>
      <w:pPr>
        <w:spacing w:after="0" w:line="18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an NDA or BLA is prepared and submitted to the FDA. FDA approval of the NDA or BLA is required before marketing of the product may begin in the U.S. The NDA or BLA must include the results of all product development, nonclinical, clinical and other testing, a compilation of data relating to the product’s pharmacology, chemistry, manufacture and controls, along with proposed labeling and other relevant information. The cost of preparing and submitting an NDA or BLA is substantial. The submission of most prescription drug marketing applications is additionally subject to a substantial application user fee, and the applicant under an approved NDA or BLA is also subject to an annual program fee for each prescription product. These fees are typically increased annually. A waiver of such fees may be obtained under certain limited circumstances.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Congress is required to re-authorize the agency’s user fee programs every five years, and current legislative provisions supporting the prescription drug-specific program are set to expire on September 30, 2027. The FDA has 60 days from its receipt of an NDA or BLA to determine whether the application will be filed based on the agency’s threshold determination that it is sufficiently complete to permit substantive review. The FDA may request additional information rather than accept an NDA or BLA for filing. In this event, the NDA or BLA must be resubmitted with the additional information. The resubmitted application also is subject to review before the FDA accepts it for filing. Once the submission is filed, the FDA begins an in-depth review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or an original BLA, to review and act on the submission. This review typically takes twelve months from the date the NDA or BLA is submitted to FDA because the FDA has approximately two months to make a “filing” decision after it the application is submitted. Most applications for priority review products are reviewed in six months of the date of the FDA’s filing determination. Priority review can be applied to NDAs or BLAs for products that are designed to treat a serious condition, where the FDA determines the product may offer significant improvements in safety or effectiveness or provide a treatment where no adequate therapy exists. The review process for both standard and priority review may be extended by the FDA on one occasion for three additional months to consider a “major amendment,” which may include certain late-submitted information, or information intended to clarify information already provided in the submission.</w:t>
      </w:r>
    </w:p>
    <w:p>
      <w:pPr>
        <w:spacing w:after="0" w:line="19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independent advisory committee — typically a panel that includes clinicians and other scientific experts — for review, evaluation and a recommendation as to whether the application should be approved and under what conditions. The FDA is not bound by the recommendation of an advisory committee, but it generally follows such recommendations.</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Before approving an NDA or BLA, the FDA may inspect one or more clinical sites to assure that the trials support the application were conducted compliance with GCP. Additionally, the FDA will typically inspect the facility or the facilities at which the product is manufactured to assess compliance with cGMPs, to assure that the facilities, methods and controls are adequate to preserve the drug’s identity, strength, quality and purity and, for a biologic, its potency. The FDA will not approve the product unless compliance with cGMP, is satisfactory and the NDA or BLA contains data that provide substantial evidence that the product is safe and effective in the indication sought.</w:t>
      </w:r>
    </w:p>
    <w:p>
      <w:pPr>
        <w:spacing w:after="0" w:line="18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After the FDA evaluates the NDA or BLA and the manufacturing facilities, it issues either an approval letter or a complete response letter (CRL). A CRL indicates that the review cycle of the application is complete, and the application will not be approved in its present form. A CRL usually describes the specific deficiencies in the submission and may require additional clinical data, such as an additional clinical trial or other significant and time-consuming requirements related to clinical trials, nonclinical studies or manufacturing, in order for the FDA to reconsider the application. If a CRL is issued, the sponsor must resubmit the NDA or BLA, addressing all of the deficiencies identified in the letter, or withdraw the application. Even if such data and information are submitted, the FDA may decide that the NDA or BLA does not satisfy the criteria for approval. The FDA has committed to reviewing such resubmissions in two or six months depending on the type of information included. An approval letter authorizes commercial marketing of the drug with specific prescribing information for specific indications.</w:t>
      </w:r>
    </w:p>
    <w:p>
      <w:pPr>
        <w:spacing w:after="0" w:line="19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As a condition of NDA or BLA approval, the FDA may also require a risk evaluation and mitigation strategy (REMS) to help ensure that the benefits of the drug outweigh the potential risks. If the FDA concludes a REMS is needed, the sponsor of the marketing application must submit a proposed REMS. The FDA will not approve the NDA or BLA without an approved REMS, if required.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safety or efficacy. Once granted, product approvals may be withdrawn if compliance with regulatory standards is not maintained or problems are later identified.</w:t>
      </w:r>
    </w:p>
    <w:p>
      <w:pPr>
        <w:spacing w:after="0" w:line="16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 new NDA or BLA or NDA/BLA supplement before the change can be implemented. A supplement seeking a new indication typically requires clinical data similar to that in the original application, and the FDA uses the same procedures and actions in reviewing efficacy supplements as it does in reviewing original NDAs and BLAs.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prescription drugs and biologics, are required to register and disclose certain clinical trial information on a public registry maintained by the U.S. National Institutes of Health (NIH). Information related to the product, patient population, phase of investigation, study sites and investigators and other aspects of the clinical trial is made public as part of the registration. Sponsors are also obligated to report the results of their clinical trials after completion, although such results disclosure can be delayed in certain circumstances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begun enforcing those requirements against non-compliant clinical trial sponsors.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(PREA) sponsors must conduct pediatric clinical trials for most drugs, for a new active ingredient, new indication, new dosage form, new dosing regimen or new route of administration. Under PREA, original NDAs and BLAs, as well as certain supplements to approved NDAs and BLAs,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With certain exceptions, PREA does not apply to any drug for an indication for which orphan designation has been granted.</w:t>
      </w:r>
    </w:p>
    <w:p>
      <w:pPr>
        <w:spacing w:after="0" w:line="19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and BLA holders a six-month extension of any exclusivity — patent or nonpatent — 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submitted under the BPCA are treated as priority review applications, with all of the benefits that designation confers.</w:t>
      </w:r>
    </w:p>
    <w:p>
      <w:pPr>
        <w:spacing w:after="0" w:line="18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Congress periodically considers enacting new incentives or mandates applicable to pediatric drug development, and the regulatory requirements applicable to pediatric drug developers may change in the future. For example, bipartisan legislation introduced in 2023 in the House of Representatives would have increased funding for pediatric trials; mandated that drugs for rare diseases be studied in children; and granted FDA authority to assess penalties against companies that do not complete required pediatric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&amp; Accelerated Approval Pathway</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drug or biologic. For example, the Fast Track designation program is intended to expedite or facilitate the process for developing and reviewing product candidates that meet certain criteria. Specifically, investigational products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or BLA is submitted, the application may be eligible for priority review. With regard to a Fast Track product candidate,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NDA or BLA.</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or BLA is eligible for priority review if the product candidate is designed to treat a serious condition, and if approved, would provide a significant improvement in safety or efficacy compared to available therapies. The FDA endeavors to review applications with priority review designations within six months of the filing date as compared to ten months for review of new molecular entity NDAs or original BLAs under its current PDUFA review goals.</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Drugs or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product receiving accelerated approval perform adequate and well-controlled confirmatory clinical trials, and may require that such confirmatory trials be underway prior to granting accelerated approval. Product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9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519" w:firstLine="324"/>
        <w:spacing w:after="0" w:line="289" w:lineRule="auto"/>
        <w:rPr>
          <w:sz w:val="20"/>
          <w:szCs w:val="20"/>
          <w:color w:val="auto"/>
        </w:rPr>
      </w:pPr>
      <w:r>
        <w:rPr>
          <w:rFonts w:ascii="Times New Roman" w:cs="Times New Roman" w:eastAsia="Times New Roman" w:hAnsi="Times New Roman"/>
          <w:sz w:val="17"/>
          <w:szCs w:val="17"/>
          <w:color w:val="auto"/>
        </w:rPr>
        <w:t>Once an NDA or BLA is approved, a product will be subject to pervasive and continuing regulation by the FDA, including, among other things, requirements relating to record-keeping, reporting of adverse experiences, periodic reporting, product sampling and distribution, and advertising and promotion of the product. For instance, the FDA</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closely regulates the post-approval marketing, labeling, advertising and promotion of drugs, including through its enforcement of standards and regulations for direct-to-consumer advertising, industry-sponsored scientific and educational activities and promotional activities involving the internet. Drugs may be marketed only for the approved indications and in accordance with the provisions of the approved labeling.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the company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Companies may share truthful and not misleading information that is not inconsistent with the labeling, and the FDA recently published guidance for industry that outlines modernized recommendations for how drug manufacturers can share truthful, scientifically sound, and clinically relevant information on unapproved uses with health care providers in a non-promotional way.</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Moreover, if there are any modifications to the product, including changes in indications, labeling or manufacturing processes or facilities, the applicant may be required to submit and obtain FDA approval of a new NDA/BLA or an NDA/BLA supplement, which may require the applicant to develop additional data or conduct additional nonclinical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or BLA. The FDA also may require post-marketing testing, known as Phase 4 testing (to gain additional experience from the treatment of patients in the intended therapeutic indication), REMS or surveillance to monitor the effects of an approved product, or FDA may place conditions on an approval that could restrict the distribution or use of the product. In addition, quality control, drug manufacturing, packaging and labeling procedures must continue to conform to cGMPs after approval. Drug manufacturers and certain of their subcontractors are required to register their establishments with FDA and certain state agencies. Registration with the FDA subjects entities to periodic unannounced inspections by the FDA and certain state agencies to assess compliance with cGMPs and other laws and regulations. Accordingly, manufacturers must continue to expend time, money and effort in the areas of production and quality-control to maintain compliance with cGMPs.</w:t>
      </w:r>
    </w:p>
    <w:p>
      <w:pPr>
        <w:spacing w:after="0" w:line="194"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FDA regulations also require, among other things, the investigation and correction of any deviations from cGMP and the imposition of reporting and documentation requirements upon the NDA/BLA sponsor and any third-party manufacturers involved in producing the approved therapeutic product. Regulatory authorities may withdraw product approvals or request product recalls if a company fails to comply with regulatory standards or if it encounters problems following initial marketing.</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183" w:lineRule="exact"/>
        <w:rPr>
          <w:sz w:val="20"/>
          <w:szCs w:val="20"/>
          <w:color w:val="auto"/>
        </w:rPr>
      </w:pPr>
    </w:p>
    <w:p>
      <w:pPr>
        <w:ind w:left="720" w:right="5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approvals;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(DSCSA) was enacted in 2013 with the aim of building an electronic system to identify and trace certain prescription drugs distributed in the United States, including most biological products. The DSCSA mandated resource-intensive obligations for manufacturers, wholesale distributors and dispensers over a 10-year period that culminated in November 2023. Most recently, the FDA announced a one-year stabilization period to November 2024 followed by trading partner-specific exemptions through specified dates in 2025,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products regulated by the FDA. For example, the FDA released proposed regulations in February 2022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It is impossible to predict whether further legislative or regulatory changes will be enacted, or FDA regulations, guidance or interpretations changed or what the impact of such changes, if any, may be.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229" w:lineRule="exact"/>
        <w:rPr>
          <w:sz w:val="20"/>
          <w:szCs w:val="20"/>
          <w:color w:val="auto"/>
        </w:rPr>
      </w:pPr>
    </w:p>
    <w:p>
      <w:pPr>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Certain of our product candidates may require an in vitro diagnostic to identify appropriate patient populations for investigation and/or use of our product candidates. These diagnostics, often referred to as companion diagnostics, are regulated as medical devices. In the United States, the FDC Act and its implementing regulations, and other federal and state statutes and regulations, govern, among other things, medical device design and development, nonclinical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utilize the PMA pathway.</w:t>
      </w:r>
    </w:p>
    <w:p>
      <w:pPr>
        <w:spacing w:after="0" w:line="17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If use of companion diagnostic is deemed essential to the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Investigational Device Exemption (IDE) regulations. In which case, the sponsor of the diagnostic device will be required to submit and obtain approval of an IDE application, and subsequently comply with the IDE regulations. However, according to the guidance, if a diagnostic device and a drug are to be studied together to support their respective approvals, both products can be studied in the same investigational study, if the study meets both the requirements of applicable IDE regulations and the IND regulations. The guidance provides that, depending 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details of the study plan and degree of risk posed to subjects, a sponsor may seek to submit an IND alone, or both an IND and an IDE.</w:t>
      </w:r>
    </w:p>
    <w:p>
      <w:pPr>
        <w:spacing w:after="0" w:line="162"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imposes elaborate testing, control, documentation and other quality assurance requirements. The QSR is being replaced by a new final rule called the Quality Management System Regulation (QMSR), which is aimed at harmonizing the FDA’s medical device current good manufacturing practice regulations with the International Organization for Standardization standard for device quality management systems (ISO 13485:2016). The effective date for the QMSR final rule is February 2, 2026. Until then, device manufacturers are required to comply with the QSR.</w:t>
      </w:r>
    </w:p>
    <w:p>
      <w:pPr>
        <w:spacing w:after="0" w:line="19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and comparable state agencies. The FDA also may inspect foreign facilities that export products to the United States.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 &amp; Marketing Exclusivity for Small Molecule Drug Products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as part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applicants are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 pursuant to each state’s laws on drug substitution.</w:t>
      </w:r>
    </w:p>
    <w:p>
      <w:pPr>
        <w:spacing w:after="0" w:line="180" w:lineRule="exact"/>
        <w:rPr>
          <w:sz w:val="20"/>
          <w:szCs w:val="20"/>
          <w:color w:val="auto"/>
        </w:rPr>
      </w:pPr>
    </w:p>
    <w:p>
      <w:pPr>
        <w:ind w:left="60" w:right="319" w:firstLine="324"/>
        <w:spacing w:after="0" w:line="276" w:lineRule="auto"/>
        <w:rPr>
          <w:sz w:val="20"/>
          <w:szCs w:val="20"/>
          <w:color w:val="auto"/>
        </w:rPr>
      </w:pPr>
      <w:r>
        <w:rPr>
          <w:rFonts w:ascii="Times New Roman" w:cs="Times New Roman" w:eastAsia="Times New Roman" w:hAnsi="Times New Roman"/>
          <w:sz w:val="17"/>
          <w:szCs w:val="17"/>
          <w:color w:val="auto"/>
        </w:rPr>
        <w:t>The ANDA applicant is required to certify to the FDA concerning any patents listed for the approved product in the FDA’s Orange Book. Specifically, the applicant must certify that (i) the required patent information has not been filed;</w:t>
      </w:r>
    </w:p>
    <w:p>
      <w:pPr>
        <w:spacing w:after="0" w:line="1" w:lineRule="exact"/>
        <w:rPr>
          <w:sz w:val="20"/>
          <w:szCs w:val="20"/>
          <w:color w:val="auto"/>
        </w:rPr>
      </w:pPr>
    </w:p>
    <w:p>
      <w:pPr>
        <w:ind w:left="60" w:right="139" w:hanging="10"/>
        <w:spacing w:after="0" w:line="251" w:lineRule="auto"/>
        <w:tabs>
          <w:tab w:leader="none" w:pos="3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9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Regulatory exclusivity provisions under the FDC Act can delay the submission or the approval of certain marketing applications for small-molecule drug products. Upon NDA approval of a new chemical entity (NCE), which is a drug that contains no active moiety (which is the molecule or ion responsible for the action of the drug substance) that has been approved by FDA in any other NDA, that NDA receives five years of non-patent data and marketing exclusivity within the United States during which FDA cannot accept for review any (i) ANDA seeking approval of a generic version of that drug, or (ii) any NDA submitted under Section 505(b)(2) (505(b)(2) NDA) of the Act (also referred to as 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An application referencing the protected NDA may be submitted one year before NCE exclusivity expires if a Paragraph IV certification is filed, i.e., certification of patent invalidity or non-infringement to one of the patents listed with the FDA by the innovator NDA holder. If there is no listed patent in the Orange Book, there may not be a Paragraph IV certification, and, thus, no application may be filed before the expiration of the five-year exclusivity period.</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Certain changes to a drug, such as the addition of a new indication to the package insert, or new dosages or strengths of an existing drug, can be the subject of a three-year non-patent period of data exclusivity if the NDA (or supplement to an existing NDA) contains reports of new clinical investigations (other than bioavailability studies) conducted or sponsored by the applicant that are deemed by the FDA to be essential to the approval of the application.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that is does not reference data in another drug’s approved application. However, an applicant submitting a full NDA would be required to conduct, or obtain a right of reference to, all of the nonclinical studies and adequate and well-controlled clinical trials necessary to demonstrate safety and effectiveness.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Reference Product Exclusivity for Biological Products</w:t>
      </w:r>
    </w:p>
    <w:p>
      <w:pPr>
        <w:spacing w:after="0" w:line="229" w:lineRule="exact"/>
        <w:rPr>
          <w:sz w:val="20"/>
          <w:szCs w:val="20"/>
          <w:color w:val="auto"/>
        </w:rPr>
      </w:pPr>
    </w:p>
    <w:p>
      <w:pPr>
        <w:ind w:left="60" w:right="499" w:firstLine="324"/>
        <w:spacing w:after="0" w:line="281" w:lineRule="auto"/>
        <w:rPr>
          <w:sz w:val="20"/>
          <w:szCs w:val="20"/>
          <w:color w:val="auto"/>
        </w:rPr>
      </w:pPr>
      <w:r>
        <w:rPr>
          <w:rFonts w:ascii="Times New Roman" w:cs="Times New Roman" w:eastAsia="Times New Roman" w:hAnsi="Times New Roman"/>
          <w:sz w:val="17"/>
          <w:szCs w:val="17"/>
          <w:color w:val="auto"/>
        </w:rPr>
        <w:t>In March 2010, the Patient Protection and Affordable Care Act was enacted in the United States and included the Biologics Price Competition and Innovation Act of 2009 (BPCIA). The BPCIA amended the PHS Act to create an abbreviated approval pathway for biological products that are biosimilar to or interchangeable with an FDA-licensed reference biological product. This amendment to the PHS Act, in part, attempts to minimize duplicative testing.</w:t>
      </w:r>
    </w:p>
    <w:p>
      <w:pPr>
        <w:spacing w:after="0" w:line="164"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Since that time, the FDA has approved more than 65 biosimilars, including the first interchangeable biosimilars in 2021. The FDA has also issued several guidance documents outlining its approach to reviewing and approving biosimilars and interchangeable biosimilars. It has also created a public database that contains information on all FDA-licensed biological products, including biosimilars, called the Purple Book.</w:t>
      </w:r>
    </w:p>
    <w:p>
      <w:pPr>
        <w:spacing w:after="0" w:line="18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Biosimilarity requires that the follow-on biological product be highly similar to the reference product notwithstanding minor differences in clinically inactive components and that there be no clinically meaningful differences between the follow-on product and the reference product in terms of safety, purity and potency. The biosimilar applicant must demonstrate that its product is biosimilar based on data from (1) analytical studies showing that the biosimilar product is highly similar to the reference product; (2) toxicity assessments;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spacing w:after="0" w:line="19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 reference biological product is granted twelve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 Act in order to permit multiple interchangeable products approved on the same day to receive and benefit from this one-year exclusivity period. If pediatric studies are performed and accepted by the FDA as responsive to a written request from FDA, as described above,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policy proposals have sought to reduce the 12-year reference product exclusivity period and, more recently, to potentially eliminate the separate statutory definition of an interchangeable biological product. As a result, the ultimate impact, implementation and meaning of the BPCIA continue to be subject to uncertainty.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 Patent Term Extension</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After NDA or BLA approval, owners of relevant drug patents may apply for up to a five-year patent extension, under the Hatch-Waxman Amendments provisions that permit the extension of eligible patents as compensation for patent term lost during product development and FDA regulatory review process. The allowable patent term extension is calculated as half of the product’s testing phase (the time between IND application and NDA/BLA submission) and all of the review phase (the time between NDA/BLA submission and approval up to a maximum of five years). The time can be shortened if the FDA determines that the applicant did not pursue approval with due diligence. The total patent term after the extension may not exceed 14 years, and only one patent can be extended. The USPTO, in consultation with the FDA, reviews and approves the application for any patent term extension or restoration.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USPTO director must determine that approval of the drug covered by the patent for which such interim patent extension is being sought is likely. Interim patent extensions are not available for a drug for which an NDA or BLA has not been submitted.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United States</w:t>
      </w:r>
    </w:p>
    <w:p>
      <w:pPr>
        <w:spacing w:after="0" w:line="22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trials,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trials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European Union (EU) Drug Development</w:t>
      </w:r>
    </w:p>
    <w:p>
      <w:pPr>
        <w:spacing w:after="0" w:line="22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in the United States, drugs and biologics, which are referred to collectively in Europe as medicinal products, can be marketed only if a marketing authorization from the competent regulatory agencies has been obtained. Similar to the United States, the various phases of nonclinical and clinical research in the European Union are subject to significant regulatory controls. Although the EU Clinical Trials Directive 2001/20/EC sought to harmonize the EU clinical trials regulatory framework, setting out common rules for the control and authorization of clinical trials in the EU, the EU Member States transposed and applied the provisions of the Directive differently. This led to significant variations in the member state regimes. Under the previous regime, before a clinical trial could be initiated, a clinical trial application must have been approved in each of the EU countries where the trial was to be conducted by two distinct bodies: the National Competent Authority (NCA) and one or more Ethics Committees (ECs). All suspected unexpected serious adverse reactions to the investigated drug that occur during the clinical trial would have to be reported to the NCA and ECs of the Member State where they occurred.</w:t>
      </w:r>
    </w:p>
    <w:p>
      <w:pPr>
        <w:spacing w:after="0" w:line="19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EU clinical trials legislation has since been reformed with the aims of harmonizing and streamlining clinical-trial authorization, simplifying adverse event reporting procedures, improving the supervision of clinical trials and increasing their transparency. Specifically, the new Clinical Trials Regulation, (EU) No 536/2014 (Clinical Trials Regulation) came into application on January 31, 2022. The Clinical Trials Regulation is directly applicable in all the EU Member States, repealing the previous Clinical Trials Directive 2001/20/EC. The extent to which ongoing clinical trials are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the Clinical Trials Regulation will at that time begin to apply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clinical trial. In addition, use of the new EU-wide application procedure being implemented via the Clinical Trial Information System, became mandatory for new clinical trial application submissions as of February 1, 2023.</w:t>
      </w:r>
    </w:p>
    <w:p>
      <w:pPr>
        <w:spacing w:after="0" w:line="16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With respect to marketing applications for a new medicinal product, there are two types of marketing authorizations available in the European Economic Area (EEA), which is comprised of the 27 Member States of the European Union plus Norway, Iceland and Liechtenstein. In the EEA, medicinal products can only be commercialized after obtaining an appropriate Marketing Authorization (MA):</w:t>
      </w:r>
    </w:p>
    <w:p>
      <w:pPr>
        <w:spacing w:after="0" w:line="180" w:lineRule="exact"/>
        <w:rPr>
          <w:sz w:val="20"/>
          <w:szCs w:val="20"/>
          <w:color w:val="auto"/>
        </w:rPr>
      </w:pPr>
    </w:p>
    <w:p>
      <w:pPr>
        <w:ind w:left="720" w:right="99" w:hanging="319"/>
        <w:spacing w:after="0" w:line="25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issued by the European Commission through the Centralized Procedure, based on the opinion of the Committee for Medicinal Products for Human Use (CHMP) of the EMA and is valid throughout the entire territory of the EMA.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80" w:lineRule="exact"/>
        <w:rPr>
          <w:rFonts w:ascii="Times New Roman" w:cs="Times New Roman" w:eastAsia="Times New Roman" w:hAnsi="Times New Roman"/>
          <w:sz w:val="18"/>
          <w:szCs w:val="18"/>
          <w:color w:val="auto"/>
        </w:rPr>
      </w:pPr>
    </w:p>
    <w:p>
      <w:pPr>
        <w:ind w:left="720" w:right="79" w:hanging="319"/>
        <w:spacing w:after="0" w:line="25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9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Similar to the United States, the EU regulatory framework also provides opportunities for market exclusivity. Upon receiving an MA, reference product candidates generally receive eight years of data exclusivity and an additional two years of market exclusivity. If granted, the data exclusivity period prevents generic applicants from relying on the nonclinical and clinical trial data contained in the dossier of the reference product when applying for a generic MA in the EU during a period of eight years from the date on which the reference product was first authorized in the EU. The market exclusivity period prevents a successful generic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9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April 2023, the European Commission proposed widespread changes to the existing pharmaceutical legislation that would, among other things, alter the data exclusivity periods available to MA holders. The proposed reforms must be reviewed and approval by the European Parliament and Council, as well as EU Member States, and in light of their controversial nature it is unclear whether they will be adopted as proposed or further revised.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EU Post-Approval Requirements</w:t>
      </w:r>
    </w:p>
    <w:p>
      <w:pPr>
        <w:spacing w:after="0" w:line="227"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All new MA applicants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which is different from the legal framework in the United States. Moreover, although, general requirements for advertising and promotion of medicinal products are established under EU directives, the details are governed by regulations in each Member State and can differ from one country to another. In recent months, advertising and promotion by pharmaceutical companies in the EU and UK marketplaces have received heightened scrutiny from regulatory authorities and in some cases, fines have been issued.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 (UK)</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UK formally withdrew from the EU on January 31, 2020 (known as Brexit), following which the UK licensing decisions were transferred from the EMA to the Medicines and Healthcare Products Regulatory Agency (MHRA) the UK’s regulatory body. Between January 1, 2021 and January 2023, the UK continued to adopt decisions taken by the European Commission on the approval of new marketing authorizations, although companies were required to submit an identical application to the MHRA upon the CHMP positive opinion of the application and the MHRA followed the European Commission decision on approval. In March 2023, the UK government and the European Commission reached agreement on a regulatory framework, referred to as the Windsor Framework. The Windsor Framework will apply as of January 1, 2025 and changes the existing system for the regulation of pharmaceutical products in the UK. Specifically, the MHRA will be responsible for approving all medicines intended to be marketed in the United Kingdom, while the EMA will no longer be involved in approving medicines intended for sale in Northern Ireland.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Manufacturing, sales, promotion and other activities following product approval may also be subject to regulation by other regulatory authorities in the United States in addition to the FDA. Depending on the nature of the product, those authorities may include the Centers for Medicare and Medicaid Services (CMS), other divisions of the U.S. Department of Health and Human Services (HHS), the Department of Justice, the Drug Enforcement Administration, the Federal Trade Commission (FTC), the Occupational Safety and Health Administration, the Environmental Protection Agency and state and local governments.</w:t>
      </w:r>
    </w:p>
    <w:p>
      <w:pPr>
        <w:spacing w:after="0" w:line="18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For example, in the United States, sales and marketing for prescription pharmaceutical products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imprisonment, criminal fines, administrative civil money penalties and exclusion from participation in federal healthcare programs. In addition,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Patient Protection and Affordable Care Act (discussed further below), among other things, amended the intent requirement of the federal Anti-Kickback Statute and two of the five criminal healthcare fraud statutes created by the Health Insurance Portability and Accountability Act of 1996 (HIPAA). A person or entity no longer needs to have actual knowledge of these two provisions in the statute or specific intent to violate them; specifically with respect to the prohibition on executing or attempting to execute a scheme or artifice to defraud or to fraudulently obtain money or property of any health care benefit program and the prohibition on disposing of assets to enable a person to become eligible for Medicaid. Moreover, the government may now assert that a claim including items or services resulting from a violation of the federal Anti-Kickback Statute constitutes a false or fraudulent claim for purposes of the False Claims Act, which generally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Manufacturers can be held liable under the civil False Claims Act even when they do not submit claims directly to government payors if they are deemed to “cause” the submission of false or fraudulent claims. Biotechnology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spacing w:after="0" w:line="19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Pricing and rebate programs must comply with the Medicaid rebate requirements of the U.S. Omnibus Budget Reconciliation Act of 1990 and more recent requirements passed by Congress. If pharmaceutical products are made available to authorized users of the Federal Supply Schedule of the General Services Administration, additional laws and requirements apply. There also are federal transparency requirements under the Physician Payments Sunshine Act that require manufacturers of FDA-approved drugs, devices, biologics and medical supplies covered by Medicare or Medicaid to report, on an annual basis, to CMS information related to payments and other transfers of value to physicians, teaching hospitals, and certain advanced non-physician health care practitioners and physician ownership and investment interests. Prescription drug products also must meet applicable child-resistant packaging requirements under the U.S. Poison Prevention Packaging Act.</w:t>
      </w:r>
    </w:p>
    <w:p>
      <w:pPr>
        <w:spacing w:after="0" w:line="18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Manufacturing, sales, promotion and other activities also are potentially subject to federal and state consumer protection and unfair competition laws. Also, many states have similar fraud and abuse statutes or regulations that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Potential Changes to Healthcare Laws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therapeutic product candidates, restrict or regulate post-approval activities, and affect the ability to profitably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sell therapeutic product candidates that obtain marketing approval. The FDA’s and other regulatory authorities’ policies may change and additional government regulations may be enacted that could prevent, limit or delay marketing approval of our product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spacing w:after="0" w:line="192"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For example, the Patient Protection and Affordable Care Act, as amended by the Health Care and Education Reconciliation Act (ACA), was enacted in March 2010 and has had a significant impact on the healthcare industry in the U.S. The ACA expanded coverage for the uninsured while at the same time containing overall healthcare costs. With regard to biopharmaceutical products, the ACA, among other things,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(ASP), to the HHS, beginning on January 1, 2022, subject to enforcement via civil money penalties. We expect that further legislative changes or additions to the ACA, the Medicare and Medicaid programs, and changes stemming from other healthcare reform measures, especially with regard to healthcare access, financing or other legislation in individual states, could have a material adverse effect on the health care industry in the United States.</w:t>
      </w:r>
    </w:p>
    <w:p>
      <w:pPr>
        <w:spacing w:after="0" w:line="176"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 August 2022, President Biden signed into the law the Inflation Reduction Act of 2022 (IRA). Among other things, the IRA has multiple provisions that may impact the prices of drug and biological products that are both sold into the Medicare program and throughout the United States. Starting in 2023, a manufacturer of drugs covered by Medicare Parts B or D must pay a rebate to the federal government if their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for payment year 2026, CMS is negotiating drug prices annually for a select number of single source Part D drugs without generic competition. CMS will also negotiate drug prices for a select number of Part B drugs starting for payment year 2028. If a product is selected by CMS for negotiation, it is expected that the revenue generated from such product will decrease. CMS has begun to implement these new authorities entering into a first set of agreements with pharmaceutical manufacturers to conduct price negotiations in October 2023 and ultimately announcing the first round of negotiated prices for the first 10 drugs in August 2024; those negotiated “maximum fair prices” will be effective as of January 1, 2026 (payment year 2026). CMS is currently initiating activities for the second year of the program and published the next 15 drugs selected for negotiation in January 2025. However, their impact on the biopharmaceutical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The outcome of such ongoing lawsuits, as well as potential legislative changes enacted by Congress or programmatic changes implemented at CMS by the Trump Administration, may impact the IRA drug price negotiation program in the future.</w:t>
      </w:r>
    </w:p>
    <w:p>
      <w:pPr>
        <w:spacing w:after="0" w:line="20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has led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further and more aggressive efforts by states in this area. The FTC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including in the current 2025-2026 congressional session where PBM reform continues to be a bipartisan priority. During the previous congressional session, numerous PBM reforms were considered in both the Senate and the House of Representatives; they included diverse legislative proposals such as eliminating rebates; divorcing service fees from the price of a drug, discount, or rebate; prohibiting spread pricing; limiting administrative fees; requiring PBMs to report formulary placement rationale; promoting transparency. Significant efforts to change the PBM industry as it currently exists in the U.S. may affect the entire pharmaceutical supply chain and the business of other stakeholders, including pharmaceutical product developers like us.</w:t>
      </w:r>
    </w:p>
    <w:p>
      <w:pPr>
        <w:spacing w:after="0" w:line="194"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Sales of our future products will depend, in part, on the extent to which our products will be covered by third-party payors, such as government health programs, commercial insurance and managed healthcare organizations. There may be significant delays in obtaining coverage and reimbursement for approved products, and coverage may be more limited than the purposes for which the product is approved by the FDA or regulatory authorities in other countries. It is time consuming and expensive to seek reimbursement from third-party payors.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U.S. In the U.S.,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p>
    <w:p>
      <w:pPr>
        <w:spacing w:after="0" w:line="19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Additionally, the containment of healthcare costs has become a priority of federal and state governments and the prices of therapeutics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therapies, they may not cover our products after approval as a benefit under their plans or, if they do, the level of payment may not be sufficient to allow us to sell our products on a profitable basis. In addition, companion diagnostic tests require coverage and reimbursement separate and apart from the coverage and reimbursement for their companion pharmaceutical or biological products.</w:t>
      </w:r>
    </w:p>
    <w:p>
      <w:pPr>
        <w:spacing w:after="0" w:line="194"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Moreover, in some foreign countries, the proposed pricing for a therapeutic product must be approved before it may be lawfully marketed. The requirements governing therapeutic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if approved. Historically,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therapeutic candidates launched in the European Union do not follow price structures of the United States and generally tend to be significantly lower.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general, the Foreign Corrupt Practices Act of 1977, as amended (FCPA) prohibits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for or with, or in order to direct business to, any person. The prohibitions apply not only to payments made to “any foreign official,” but also those made to “any foreign political party or official thereof,” to “any candidate for foreign political office” or to any person, while knowing that all or a portion of the payment will be offered, given, or promised to anyone in any of the foregoing categories. “Foreign officials” under the FCPA include officers or employees of a department, agency, or instrumentality of a foreign government. The term “instrumentality” is broad and can include state-owned or state-controlled entities.</w:t>
      </w:r>
    </w:p>
    <w:p>
      <w:pPr>
        <w:spacing w:after="0" w:line="18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Importantly, United States authorities that enforce the FCPA, including the Department of Justice, deem most health care professionals and other employees of foreign hospitals, clinics, research facilities and medical schools in countries with public health care or public education systems to be “foreign officials” under the FCPA. When we interact with foreign health care professionals and researchers in testing and marketing our products abroad, we must have policies and procedures in place sufficient to prevent us and agents acting on our behalf from providing any bribe, gift or gratuity, including excessive or lavish meals, travel or entertainment in connection with marketing our future products and services or securing required permits and approvals such as those needed to initiate clinical trials in foreign jurisdictions. The FCPA also obligates companies whose securities are listed in the United States to comply with accounting provisions requiring the maintenance of books and records that accurately and fairly reflect all transactions of the corporation, including international subsidiaries, and the development and maintenance of an adequate system of internal accounting controls for international operations. The SEC is involved with the books and records.</w:t>
      </w:r>
    </w:p>
    <w:p>
      <w:pPr>
        <w:spacing w:after="0" w:line="19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February 2025, President Trump issued an executive order directing the DOJ to pause enforcement of the FCPA and to issue new enforcement guidelines that take into consideration U.S. national security and the competitiveness of U.S. companies abroad. It is unclear how this presidential directive may affect the biopharmaceutical industry as a whole or our business in particular.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52 employees, all of whom were full-time and 36 of whom were engaged in research and development activities. Twenty-three of our employees hold Ph.D. or M.D. degrees. None of our employees are represented by a labor union or covered under a collective bargaining agreement. We consider our relationship with our employees to be good.</w:t>
      </w:r>
    </w:p>
    <w:p>
      <w:pPr>
        <w:spacing w:after="0" w:line="180"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April 2021 under the name of ArriVent BioPharma, Inc. Our principal executive offices are located at 18 Campus Boulevard, Suite 100, Newtown Square, PA 19073. Our telephone number is (628) 277-4836. Our website address is www.arrivent.com. Information contained on, or that can be accessible through, our website is not a part of this Annual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Internet address is www.arrivent.com.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(Exchange Act) with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ir.arrivent.com as soon as reasonably practicable after we electronically file or furnish such information with the SEC. The information contained on the websites referenced in this Annual Report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Our code of ethics, other corporate policies and procedures, and the charters of our Audit Committee, Compensation Committee and Nominating and Corporate Governance Committee are available through our Internet website at www.arrivent.com.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and uncertainties described below, the section of this Annual Report titled “Management’s Discussion and Analysis of Financial Condition and Results of Operations” and our financial statements and related notes appearing elsewhere in this Annual Report, before investing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operating results and prospects could be materially harmed. In that event, the price of our common stock could decline, and you could lose part or all of your investment.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31"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187" w:lineRule="exact"/>
        <w:rPr>
          <w:sz w:val="20"/>
          <w:szCs w:val="20"/>
          <w:color w:val="auto"/>
        </w:rPr>
      </w:pPr>
    </w:p>
    <w:p>
      <w:pPr>
        <w:ind w:left="720" w:right="399" w:hanging="319"/>
        <w:spacing w:after="0" w:line="257"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pharmaceutical products, which may make it difficult to evaluate the prospects for our future viability.</w:t>
      </w:r>
    </w:p>
    <w:p>
      <w:pPr>
        <w:ind w:left="720" w:right="339" w:hanging="319"/>
        <w:spacing w:after="0" w:line="250"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our business requires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spacing w:after="0" w:line="1" w:lineRule="exact"/>
        <w:rPr>
          <w:rFonts w:ascii="Times New Roman" w:cs="Times New Roman" w:eastAsia="Times New Roman" w:hAnsi="Times New Roman"/>
          <w:sz w:val="18"/>
          <w:szCs w:val="18"/>
          <w:color w:val="auto"/>
        </w:rPr>
      </w:pPr>
    </w:p>
    <w:p>
      <w:pPr>
        <w:ind w:left="720" w:right="139" w:hanging="319"/>
        <w:spacing w:after="0" w:line="253"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significantly on the success of firmonertinib, which is our only product candidate in clinical development. If we are unable to advance firmonertinib in clinical development, obtain regulatory approval and ultimately commercialize firmonertinib, or experience significant delays in doing so, our business will be materially harmed.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54"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development of new biopharmaceutical products involves a lengthy and expensive process with uncertain timelines and outcomes, and results of prior clinical trials and studies of firmonertinib and our other product candidates are not necessarily predictive of future results. Firmonertinib and our other product candidates may not achieve favorable results in our clinical trials or receive regulatory approval on a timely basis, if at all.</w:t>
      </w:r>
    </w:p>
    <w:p>
      <w:pPr>
        <w:spacing w:after="0" w:line="3"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p>
    <w:p>
      <w:pPr>
        <w:spacing w:after="0" w:line="1"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spacing w:after="0" w:line="1" w:lineRule="exact"/>
        <w:rPr>
          <w:rFonts w:ascii="Times New Roman" w:cs="Times New Roman" w:eastAsia="Times New Roman" w:hAnsi="Times New Roman"/>
          <w:sz w:val="18"/>
          <w:szCs w:val="18"/>
          <w:color w:val="auto"/>
        </w:rPr>
      </w:pPr>
    </w:p>
    <w:p>
      <w:pPr>
        <w:ind w:left="720" w:right="25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firmonertinib or any other current or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p>
    <w:p>
      <w:pPr>
        <w:spacing w:after="0" w:line="1" w:lineRule="exact"/>
        <w:rPr>
          <w:rFonts w:ascii="Times New Roman" w:cs="Times New Roman" w:eastAsia="Times New Roman" w:hAnsi="Times New Roman"/>
          <w:sz w:val="18"/>
          <w:szCs w:val="18"/>
          <w:color w:val="auto"/>
        </w:rPr>
      </w:pPr>
    </w:p>
    <w:p>
      <w:pPr>
        <w:ind w:left="720" w:right="159" w:hanging="319"/>
        <w:spacing w:after="0" w:line="265" w:lineRule="auto"/>
        <w:tabs>
          <w:tab w:leader="none" w:pos="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of the ongoing clinical trials for our lead product candidate, firmonertinib, are being conducted outside the United States, including in China. However, the FDA and other foreign equivalents may not accept data from such trials, in which case our development plans will be delayed, which could materially harm our business.</w:t>
      </w:r>
    </w:p>
    <w:p>
      <w:pPr>
        <w:ind w:left="720" w:right="21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p>
      <w:pPr>
        <w:spacing w:after="0" w:line="1"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Firmonertinib has been granted Breakthrough Therapy Designation for the treatment of first-line patients with locally advanced or metastatic EGFRm NSCLC with exon 20 insertion mutations from the FDA and we may seek Breakthrough Therapy Designation for other product candidates in the future. Even if we apply for Breakthrough Therapy Designation in the future, we might not receive such designation, and even if received, such designation FDA may not lead to a faster development or regulatory review or approval process, and does not increase the likelihood that our product candidates will receive marketing approval.</w:t>
      </w:r>
    </w:p>
    <w:p>
      <w:pPr>
        <w:spacing w:after="0" w:line="2" w:lineRule="exact"/>
        <w:rPr>
          <w:rFonts w:ascii="Times New Roman" w:cs="Times New Roman" w:eastAsia="Times New Roman" w:hAnsi="Times New Roman"/>
          <w:sz w:val="18"/>
          <w:szCs w:val="18"/>
          <w:color w:val="auto"/>
        </w:rPr>
      </w:pPr>
    </w:p>
    <w:p>
      <w:pPr>
        <w:ind w:left="720" w:right="11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p>
    <w:p>
      <w:pPr>
        <w:spacing w:after="0" w:line="2"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heavily rely on our exclusive license with Allist to provide us with intellectual property rights to develop and commercialize firmonertinib. Any termination or loss of significant rights under our agreements with Allist would adversely affect our development or commercialization of firmonertinib.</w:t>
      </w:r>
    </w:p>
    <w:p>
      <w:pPr>
        <w:spacing w:after="0" w:line="1"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a Chinese third party for the manufacture of firmonertinib and other product candidates for clinical development, and potential future commercial supply of firmonertinib, and expect to continue to rely on third parties for the foreseeable future. We expect to rely on a Chinese third party for the manufacture of ARR-217 for clinical development. This reliance on third parties increases the risk that we will not have sufficient quantities of firmonertinib or ARR-217 or such quantities at an acceptable cost, which could delay, prevent or impair our development or potential commercialization efforts.</w:t>
      </w:r>
    </w:p>
    <w:p>
      <w:pPr>
        <w:spacing w:after="0" w:line="2"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firmonertinib or any other current or future product candidates, we will be subject to ongoing regulatory obligations and continued regulatory review, which may result in significant additional expense. Additionally, firmonertinib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55"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commercialize technologies or product candidates more rapidly than we do, or their technologies or product candidates are more effective, safer, or less expensive than firmonertinib and any future product candidates we develop, our business and our ability to develop and successfully commercialize products will be adversely affected.</w:t>
      </w:r>
    </w:p>
    <w:p>
      <w:pPr>
        <w:spacing w:after="0" w:line="2"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p>
    <w:p>
      <w:pPr>
        <w:spacing w:after="0" w:line="1"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information technology systems, or those used by our CROs, clinical sites, or other contractors or consultants upon which we rely,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p>
    <w:p>
      <w:pPr>
        <w:spacing w:after="0" w:line="2" w:lineRule="exact"/>
        <w:rPr>
          <w:rFonts w:ascii="Times New Roman" w:cs="Times New Roman" w:eastAsia="Times New Roman" w:hAnsi="Times New Roman"/>
          <w:sz w:val="18"/>
          <w:szCs w:val="18"/>
          <w:color w:val="auto"/>
        </w:rPr>
      </w:pPr>
    </w:p>
    <w:p>
      <w:pPr>
        <w:ind w:left="720" w:right="199" w:hanging="319"/>
        <w:spacing w:after="0" w:line="253"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75"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do not have any products approved for sale and have not generated any revenue since our inception. If firmonertinib is not successfully developed, approved and commercialized, we may never generate significant revenue, if we generate any revenue at all. Our net losses were $80.5 million and $69.3 million for the years ended December 31, 2024 and 2023, respectively. As of December 31, 2024, we had an accumulated deficit of $238.3 million. Substantially all of our losses have resulted from expenses incurred in connection with in-licensing intellectual property related to, and developing, firmonertinib and from general and administrative costs associated with our operations. Firmonertinib, our other product candidates, and any future product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firmonertinib and our other product candidates, seek to identify, assess, acquire, in-license intellectual property related to or develop additional product candidates and operate as a public company. In addition, we are obligated to make milestone payments and royalty payments under certain license agreements and collaboration agreements. For example, we are obligated to pay Allist milestone payments up to an aggregate of $765.0 million upon the achievement of certain development, regulatory and sales milestone events as set forth in the Allist License Agreement, as defined herein. We are also obligated under the Allist License Agreement to pay Allist tiered royalties based on net sales of Licensed Products, as defined herein. Furthermore, we are obligated to pay Lepu Biopharma milestone payments up to an aggregate of $1.17 billion upon the achievement of certain development, regulatory and sales milestone events as set forth in the Lepu Biopharma Agreement, as defined herein. We are also obligated under the Lepu Biopharma Agreement to pay Lepu Biopharma tiered royalties based on net sales of Licensed Products, as defined herein. See “Business — Licenses, Partnerships and Collaborations — . If these payments become due, we may not have sufficient funds available to meet our obligations and our development efforts may be harmed.</w:t>
      </w:r>
    </w:p>
    <w:p>
      <w:pPr>
        <w:spacing w:after="0" w:line="205"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of firmonertinib, our other product candidates, and any future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product candidates, acquiring additional product candidates, obtaining regulatory approval for firmonertinib and any future product candidates, and manufacturing, marketing, and selling any products for which we may obtain regulatory approval.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stockholders to lose all or part of their investment.</w:t>
      </w:r>
    </w:p>
    <w:p>
      <w:pPr>
        <w:spacing w:after="0" w:line="18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biopharmaceutical company with a limited operating history upon which you can evaluate our business and prospects. We commenced operations in April 2021 and, to date, we have focused primarily on organizing and staffing our company, business planning, raising capital, in-licensing our product candidates, firmonertinib, and our other product candidates, establishing our intellectual property portfolio and conducting research, preclinical studies, and clinical trials. We have not yet completed any pivotal clinical trials,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accurate.</w:t>
      </w:r>
    </w:p>
    <w:p>
      <w:pPr>
        <w:spacing w:after="0" w:line="184" w:lineRule="exact"/>
        <w:rPr>
          <w:sz w:val="20"/>
          <w:szCs w:val="20"/>
          <w:color w:val="auto"/>
        </w:rPr>
      </w:pPr>
    </w:p>
    <w:p>
      <w:pPr>
        <w:ind w:left="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Operating our business requires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spacing w:after="0" w:line="17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We expect our expenses to substantially increase in connection with our ongoing activities, particularly as we conduct our ongoing and planned clinical trials for firmonertinib, our other product candidates, and potentially seek regulatory approval for firmonertinib and our other current and any future product candidates we may develop, acquire or in-license additional product candidates and operate as a public company. In addition, if we are able to progress firmonertinib and our other product candidates through development and commercialization, we will be required to make milestone and royalty payments to our licensors from whom we have in-licensed intellectual property related to our product candidates. If we obtain regulatory approval for firmonertinib or any other current or future product candidates, we also expect to incur significant commercialization expenses related to product manufacturing, marketing, sales, and distribution. Because the outcome of any clinical trial or preclinical study is highly uncertain, we cannot reliably estimate the actual amount of financing necessary to successfully complete the development and commercialization of firmonertinib or any other current or future product candidates. Furthermore, we expect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9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including the proceeds from our recently completed initial public offering, will enable us to fund our operations through at least twelve months from the issuance date of these financial statements.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Our existing cash and cash equivalents, may not be sufficient to complete development of firmonertinib, our other product candidates, or any future product candidate, and we will require substantial capital in order to advance firmonertinib, our other product candidates,and any future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through clinical trials, regulatory approval and commercialization. Accordingly, we will need to obtain substantial additional funding in connection with our continuing operations. Our ability to raise additional funds may be adversely impacted by potential worsening global economic conditions and the disruptions to, and volatility in, the credit and financial markets in the United States and worldwide resulting from factors that include but are not limited to, change in inflation rates, trade sanctions, tariffs the conflicts in the Middle East and between Russia and Ukraine and other factors,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order to obtain financing, we may be required to relinquish rights to some of our technologies or drug candidates or otherwise agree to terms unfavorable to us.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firmonertinib, our other product candidates and any future product candidates.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both near and long-term, will depend on many factors, including, but not limited to:</w:t>
      </w:r>
    </w:p>
    <w:p>
      <w:pPr>
        <w:spacing w:after="0" w:line="225" w:lineRule="exact"/>
        <w:rPr>
          <w:sz w:val="20"/>
          <w:szCs w:val="20"/>
          <w:color w:val="auto"/>
        </w:rPr>
      </w:pPr>
    </w:p>
    <w:p>
      <w:pPr>
        <w:ind w:left="720" w:right="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studies of firmonertinib, our other product candidates, and any future product candidates we may choose to pursue, including any modifications to clinical development plans based on feedback that we may receive from regulatory authorities;</w:t>
      </w:r>
    </w:p>
    <w:p>
      <w:pPr>
        <w:spacing w:after="0" w:line="7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firmonertinib, our other product candidates, or any future product candidate, including commercial manufacture at sufficient scale, if any product candidate is approved, including as a result of inflation, any supply chain issues or component shortages;</w:t>
      </w:r>
    </w:p>
    <w:p>
      <w:pPr>
        <w:spacing w:after="0" w:line="6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regulatory authorities in any jurisdictions in which we may seek approval for firmonertinib, our other product candidates, and any future product candidates and our anticipated timing for seeking approval in such jurisdictions;</w:t>
      </w:r>
    </w:p>
    <w:p>
      <w:pPr>
        <w:spacing w:after="0" w:line="6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firmonertinib or any other current or future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and cost increases that may result from any health epidemics and outbreaks, including COVID-19;</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53"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Chemistry, Manufacturing, and Controls (CMC) quality and commercial personnel;</w:t>
      </w:r>
    </w:p>
    <w:p>
      <w:pPr>
        <w:spacing w:after="0" w:line="67"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milestone, royalty or other payments we must make to our licensors, from whom we have in-licensed our current product candidates, or any future licensors;</w:t>
      </w:r>
    </w:p>
    <w:p>
      <w:pPr>
        <w:spacing w:after="0" w:line="53"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firmonertinib or any other current or future product candidate is approved;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strategic decision to acquire or develop future product candidates other than firmonertinib, and the timing of such development, if any;</w:t>
      </w:r>
    </w:p>
    <w:p>
      <w:pPr>
        <w:spacing w:after="0" w:line="53"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Conducting clinical trials and nonclinical studies and potentially identifying future product candidates is a time consuming, expensive and uncertain process that takes years to complete, and we may never generate the necessary data or results required to obtain regulatory approval and commercialize firmonertinib or any other current or future product candidates. If approved, firmonertinib, our other product candidates, and any future product candidates may not achieve commercial success. Our commercial revenue, if any, will initially be derived from sales of firmonertinib, which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On February 3, 2025, we filed an automatic universal shelf registration on Form S-3 with the SEC, which became effective upon filing, on which we registered for sale any combination of our common stock, preferred stock, debt securities, warrants, rights and/or units from time to time and at prices and on terms that we may determine (2025 Form S-3), including up to $250 million of common stock which we may offer and sell, from time to time at our sole discretion, under our at-the-market program sales agreement that we entered into with Jefferies LLC (Jefferies) in February 2025 (2025 Sales Agreement).</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25"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significantly on the success of firmonertinib, which is our only product candidate in clinical development. If we are unable to advance firmonertinib in clinical development, obtain regulatory approval and ultimately commercialize firmonertinib, or experience significant delays in doing so, our business will be materially harmed.</w:t>
      </w:r>
    </w:p>
    <w:p>
      <w:pPr>
        <w:spacing w:after="0" w:line="180"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We currently only have one product candidate in clinical development, firmonertinib, the intellectual property for which we have in-licensed and which is in Phase 3 clinical development. Our business presently depends significantly on our ability to successfully develop, obtain regulatory approval for, and commercialize firmonertinib in a timely manner. This may make an investment in our company riskier than similar companies that have multiple product candidates in active development and may be able to better sustain the delay or failure of a lead product candidate. In addition, our assumptions about firmonertinib’s development potential are partially based on the data generated from preclinical studies and clinical trials conducted by our licensor and we may observe materially and adversely different results as we continue to conduct our clinical trials. The success of firmonertinib will depend on several factors, including the following:</w:t>
      </w:r>
    </w:p>
    <w:p>
      <w:pPr>
        <w:spacing w:after="0" w:line="172" w:lineRule="exact"/>
        <w:rPr>
          <w:sz w:val="20"/>
          <w:szCs w:val="20"/>
          <w:color w:val="auto"/>
        </w:rPr>
      </w:pPr>
    </w:p>
    <w:p>
      <w:pPr>
        <w:ind w:left="720" w:right="4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and completion of ongoing and future clinical trials with favorable results in accordance with good clinical practice (GCP) requirements and other applicable rules and regulations;</w:t>
      </w:r>
    </w:p>
    <w:p>
      <w:pPr>
        <w:spacing w:after="0" w:line="53"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regulatory submissions by the FDA or comparable foreign regulatory authorities for the conduct of nonclinical studies and clinical trials of firmonertinib, including clinical trials conducted outside the United States, including China, and our proposed design of planned nonclinical studies and clinical trials of firmonertinib;</w:t>
      </w:r>
    </w:p>
    <w:p>
      <w:pPr>
        <w:spacing w:after="0" w:line="7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severity, and types of adverse events observed, or that we may observe, in nonclinical studies and clinical trials;</w:t>
      </w:r>
    </w:p>
    <w:p>
      <w:pPr>
        <w:spacing w:after="0" w:line="53"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contract research organizations (CROs) and clinical sites for the clinical development of firmonertinib, and ability of such CROs and clinical sites to comply with clinical trial protocols, current GCP and other applicable requirements;</w:t>
      </w:r>
    </w:p>
    <w:p>
      <w:pPr>
        <w:spacing w:after="0" w:line="67"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and efficacy of firmonertinib to the satisfaction of applicable regulatory authorities, including by establishing a safety database of a size satisfactory to regulatory authorities;</w:t>
      </w:r>
    </w:p>
    <w:p>
      <w:pPr>
        <w:spacing w:after="0" w:line="53"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 for the initial indication for use and any additional indications, including approvals of NDAs from the FDA, and maintaining any such approvals;</w:t>
      </w:r>
    </w:p>
    <w:p>
      <w:pPr>
        <w:spacing w:after="0" w:line="67"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relationships with our third-party manufacturers and their ability to comply with current Good Manufacturing Practice (cGMP) requirements as well as making arrangements with our third-party manufacturers for, or establishing our own, clinical or commercial manufacturing capabilities at a cost and scale sufficient to support commercialization;</w:t>
      </w:r>
    </w:p>
    <w:p>
      <w:pPr>
        <w:spacing w:after="0" w:line="7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firmonertinib,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establishing, maintaining and enforcing patent and any potential trade secret protection or regulatory exclusivity for firmonertinib;</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firmonertinib following regulatory approval, if any;</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firmonertinib, if approved;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firmonertinib, if approved, by patients, the medical community and third-party payors.</w:t>
      </w:r>
    </w:p>
    <w:p>
      <w:pPr>
        <w:spacing w:after="0" w:line="22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and successfully commercialize firmonertinib, or if we experience delays as a result of any of the above factors or otherwise, our business would be significantly harmed.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of new biopharmaceutical products involves a lengthy and expensive process with uncertain timelines and outcomes, and results of prior clinical trials and studies of firmonertinib and our other product candidates are not necessarily predictive of future results. Firmonertinib and our other product candidates may not achieve favorable results in our clinical trials or receive regulatory approval on a timely basis, if at all.</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Clinical and preclinical development of new biopharmaceutical candidates is expensive and can take many years to complete, and its outcome is inherently uncertain. We cannot guarantee that any clinical trials or nonclinical studies will be conducted as planned or completed on schedule, if at all, and failure or delays can occur at any time during the trial or study process. Despite promising preclinical or clinical results, any product candidate can unexpectedly fail at any stage of development. The historical failure rate for product candidates in our industry is high, particularly in the earlier stages of development.</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results from preclinical studies or clinical trials of product candidates or a competitor’s product candidate in the same class may not predict the results of later clinical trials of our product candidate, and interim, topline, or preliminary results of a clinical trial are not necessarily indicative of final results. Product candidates in later stages of clinical trials may fail to show the desired safety and efficacy characteristics despite having progressed through preclinical studies and initial clinical trials. We do not know how firmonertinib or our other product candidates, including ARR-217, will perform in on-going and future clinical trials. It is not uncommon to observe results in clinical trials that are unexpected based on earlier clinical trials and preclinical studies, and many product candidates fail in clinical trials despite very promising early results. Furthermore, although firmonertinib is currently approved and commercially distributed by Allist in China as a first-line therapy to treat classical EGFRm NSCLC based on successful clinical trials conducted within China, there is no guarantee that we will be able to replicate all the results of any prior trials in the indications and doses we are exploring in our on-going and future clinical trials or even if we do, whether such results would lead to approval of the product candidate by the FDA or other health authorities. Moreover, preclinical and clinical data are often susceptible to varying interpretations and analyses. A number of companies in the biopharmaceutical and biotechnology industries have suffered significant setbacks in clinical development even after achieving promising results in earlier studies. Based upon negative or inconclusive results, we or any future collaborator may decide, or regulators may require us, to conduct additional nonclinical studies or clinical trials or delay our on-going or future clinical trials, which would cause us to incur additional operating expenses and delays and may not be sufficient to support regulatory approval on a timely basis or at all.</w:t>
      </w:r>
    </w:p>
    <w:p>
      <w:pPr>
        <w:spacing w:after="0" w:line="19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a result, we cannot be certain that our ongoing and planned clinical trials will be successful. Any safety concerns observed in any one of our clinical trials in our targeted indications could limit the prospects for regulatory approval of firmonertinib or our other product candidates in those and other indications, which could have a material adverse effect on our business, financial condition, results of operations and prospects.</w:t>
      </w:r>
    </w:p>
    <w:p>
      <w:pPr>
        <w:spacing w:after="0" w:line="176"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the termination or suspension, of our current or planned clinical trials or nonclinical studies could result in increased costs to us, delay or limit our ability to generate revenue or adversely affect our commercial prospects.</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firmonertinib or any of our other or future product candidates, we must conduct extensive clinical trials to demonstrate the safety and efficacy of the product candidates for their intended use(s) in humans. Before we can initiate clinical trials for any future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nonclinical development programs. For example, we have not yet sought alignment with the FDA on the ex-China design of the adjuvant study of firmonertinib initiated by Allist, which we may participate in. Such authorities may ask us to collect more clinical data prior to permitting us to participate in the global registrational Phase 3 clinical trial to investigate the potential benefit of firmonertinib in the adjuvant setting. Moreover, even if we commence clinical trials, issues relating to the safety and efficacy of current or future drug candidates may arise that could cause regulatory authorities to suspend, delay, or terminate such clinical trials. Any such delays in the commencement or completion,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termination or suspension, of our ongoing and planned clinical trials or nonclinical studies for firmonertinib, our other product candidates, and any future product candidates could significantly affect our product development timelines and product development costs and harm our financial position.</w:t>
      </w:r>
    </w:p>
    <w:p>
      <w:pPr>
        <w:spacing w:after="0" w:line="176"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and nonclinical studies will begin on time or be completed on schedule, if at all. The commencement, data readouts and completion of clinical trials and nonclinical studies can be delayed for a number of reasons, including delays related to:</w:t>
      </w:r>
    </w:p>
    <w:p>
      <w:pPr>
        <w:spacing w:after="0" w:line="174" w:lineRule="exact"/>
        <w:rPr>
          <w:sz w:val="20"/>
          <w:szCs w:val="20"/>
          <w:color w:val="auto"/>
        </w:rPr>
      </w:pPr>
    </w:p>
    <w:p>
      <w:pPr>
        <w:ind w:left="720" w:right="259" w:hanging="319"/>
        <w:spacing w:after="0" w:line="284"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obtain animals or materials to initiate and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52"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from regulatory authorities to commence a trial or reaching a consensus with regulatory authorities on trial design;</w:t>
      </w:r>
    </w:p>
    <w:p>
      <w:pPr>
        <w:spacing w:after="0" w:line="53"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53"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ethics committees (EC) responsible for the oversight of human subjects research conducted at clinical trial sites;</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subjects, or withdrawing their approval of the trial;</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53"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raw materials for manufacturing sufficient quantities of firmonertinib, our other product candidates, including ARR-002, and ARR-217, or obtaining sufficient quantities of combination therapies or other materials needed for use in clinical trials and nonclinical studies;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materials for packaging clinical trial material;</w:t>
      </w:r>
    </w:p>
    <w:p>
      <w:pPr>
        <w:spacing w:after="0" w:line="117"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shelf life of clinical material for use in clinical trials prior to the enrollment of any of our clinical trials;</w:t>
      </w:r>
    </w:p>
    <w:p>
      <w:pPr>
        <w:spacing w:after="0" w:line="5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 including subjects failing to remain in our trials due to movement restrictions, health reasons or otherwise resulting from any public health concerns, such as COVID-19;</w:t>
      </w:r>
    </w:p>
    <w:p>
      <w:pPr>
        <w:spacing w:after="0" w:line="6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choosing an alternative product for the indications for which we are developing firmonertinib or any other current or future product candidates, or participating in competing clinical trials;</w:t>
      </w:r>
    </w:p>
    <w:p>
      <w:pPr>
        <w:spacing w:after="0" w:line="53"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nonclinical studies, manufacturing or incurring greater costs than we anticipate;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subjects experiencing severe or serious unexpected treatment-related adverse effects;</w:t>
      </w:r>
    </w:p>
    <w:p>
      <w:pPr>
        <w:spacing w:after="0" w:line="117"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firmonertinib or any other current or future product candidates;</w:t>
      </w:r>
    </w:p>
    <w:p>
      <w:pPr>
        <w:spacing w:after="0" w:line="53"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(CMO), as a result of changes in U.S. legislation or otherwise, delays or failure by our CMOs or us to make any necessary changes to such manufacturing process, or failure of our CMOs to produce clinical trial materials in accordance with cGMP regulations or other applicable requirements; and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117"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In addition, disruptions caused by COVID-19 or future public health concerns may increase the likelihood that we encounter such difficulties or delays in initiating, enrolling, conducting or completing our planned and ongoing clinical trials.</w:t>
      </w:r>
    </w:p>
    <w:p>
      <w:pPr>
        <w:spacing w:after="0" w:line="176"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in whole or in part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other regulatory requirements or our clinical trial protocols, inspection of the clinical trial operations or trial site by the FDA or comparable foreign regulatory authorities resulting in the imposition of a clinical hold or other adverse findings,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IRBs for reexamination, which may impact the costs, timing or successful completion of a clinical trial.</w:t>
      </w:r>
    </w:p>
    <w:p>
      <w:pPr>
        <w:spacing w:after="0" w:line="176"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has been done for firmonertinib and intended to be done in the future for firmonertinib or any other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results.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or suspension of, or a delay in the commencement or completion of, clinical trials, whether in whole or in part, may also ultimately lead to the denial of regulatory approval of a product candidate. We may make formulation or manufacturing changes to firmonertinib or any other current or future product candidates as a result of changes in U.S. legislation or otherwise, in which case we may need to conduct additional nonclinical studies or clinical trials to bridge our modified product candidates to earlier versions. Any resulting delays to our clinical trials could shorten any period during which we may have the exclusive right to commercialize our product candidates. In such cases, our competitors may be able to bring products to market before we do, and the commercial viability of firmonertinib or any other current or future product candidates could be significantly reduced. Any of these occurrences may harm our business,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firmonertinib, the conditions which we may evaluate include limited patient pools from which to draw. In some cases, patient populations are located at specific academic sites focused on such indications, which often host multiple competing clinical trials. Potential patients for any planned clinical trials may not be adequately diagnosed or identified with the diseases that we are targeting or may not meet the entry criteria for such trials. We also may encounter difficulties in identifying and enrolling patients with a stage of disease appropriate for our planned clinical trials or in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spacing w:after="0" w:line="190"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further development and potential marketing approval of our product candidates. Even once enrolled we may be unable to retain a sufficient number of patients to complete any of our trials.</w:t>
      </w:r>
    </w:p>
    <w:p>
      <w:pPr>
        <w:spacing w:after="0" w:line="18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p>
      <w:pPr>
        <w:spacing w:after="0" w:line="180"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targeted patient population;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therapies for the disease or condition under investigation;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body of safety and efficacy data for the product candidate;</w:t>
      </w:r>
    </w:p>
    <w:p>
      <w:pPr>
        <w:spacing w:after="0" w:line="117"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nature of competing treatments and ongoing clinical trials of competing therapies for the same indication;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adequately monitor patients during and after treatment;</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will drop out of a trial before completing all site visits;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studies due to travel or quarantine policies, or other factors, including those related to COVID-19 or future pandemics; and</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approved or investigational therapies, including any products that may be approved for, or any product candidates under investigation for, the indications we are investigating.</w:t>
      </w:r>
    </w:p>
    <w:p>
      <w:pPr>
        <w:spacing w:after="0" w:line="6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Furthermore, our efforts to build relationships with patient communities may not succeed, which could result in delays in patient enrollment in our clinical trials. In addition, any negative results we may report in clinical trials of our product candidate or any negative results a competitor may report in clinical trials of the competitor’s product candidate in the same class, may make it difficult or impossible to recruit and retain patients in other clinical trials of our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such as COVID-19,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for any reason, the integrity of data from our clinical trials may be compromised or not accepted by the FDA or applicable foreign authorities, which would represent a significant setback for the applicable program. In addition, we rely on, and will continue to rely on, CROs and clinical trial sites to ensure proper and timely conduct of our clinical trials and future clinical trials and, while we intend to enter into agreements governing their services, we will be limited in our ability to compel their actual performance. Such delays or failures could adversely affect our business, operating results and prospects.</w:t>
      </w:r>
    </w:p>
    <w:p>
      <w:pPr>
        <w:spacing w:after="0" w:line="19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pacing w:after="0" w:line="179"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Use of firmonertinib or any other current or future product candidates could be associated with adverse side effects, adverse events or other safety risks, which could delay or preclude regulatory approval, cause us to suspend or discontinue clinical trials, abandon a product candidate, limit the commercial profile of an approved drug label or result in other significant negative consequences that could severely harm our business, prospects, operating results and financial condition.</w:t>
      </w:r>
    </w:p>
    <w:p>
      <w:pPr>
        <w:spacing w:after="0" w:line="18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As is the case with biopharmaceuticals generally, adverse side effects associated with the use of firmonertinib have been observed and it is likely there may be adverse side effects with our other product candidates and any future product candidates we may develop. Results of our ongoing and future clinical trials of firmonertinib or other product candidates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partially or completely halt clinical trials and could result in a restrictive prescription drug label, post-approval requirements, or lead to the delay of the planned clinical development, or the delay or denial of regulatory approval by the FDA or comparable foreign regulatory authorities. Drug-related side effects could also affect patient recruitment or the ability of enrolled patients to complete the trial or result in potential product liability claims. Any of these occurrences could severely harm our business, prospects, operating results and financial condition. The severity of adverse events (AEs) is described by grade on a scale of increasing severity from Grade 1 (mild), Grade 2 (moderate), Grade 3 (severe), Grade 4 (life-threatening) and Grade 5 (death). Serious adverse events (SAEs) are adverse events that are life threatening, require or prolong hospitalization, result in persistent or significant disability/incapacity, result in congenital anomalies or birth defects, or any other medical event which investigators judge to represent significant hazards. It should be noted that “Severe” and “Serious” are not synonymous as not all AEs that are severe (Grade 3) meet the criteria for SAE while Grade 4 (life-threatening) and Grade 5 (death) AEs are SAEs. AEs and SAEs that are determined to be related to the drug(s) being tested are reported as TRAEs and TRSAEs. TRAEs leading to discontinuation of study drug(s) are commonly reported to indicate the manageability of treatment-related toxicities. In the FURLONG trial, TRSAEs were observed in ten out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178 treated patients and six out of 178 patients discontinued participation in the trial as a result of TRAEs. In the FAVOUR trial, as of the June 15, 2023 interim data cut-off date, TRSAEs were observed in six out of 86 of the treated patients and two out of 86 patients discontinued participation in the trial as a result of TRAEs. The most frequent TRAEs in the FAVOUR trial as of June 15, 2023 were diarrhea, anemia, aspartate aminotransferase increased, alanine aminotransferase increased, blood creatinine increased, mouth ulceration, rash, electrocardiogram QT prolonged, white blood cell count decreased, decreased appetite, weight decreased, skin fissures, and paronychia. Isolated cases of Grade ≥3 reversible hepatic transaminases accompanied with increased total bilirubin have been observed at firmonertinib dose levels higher than 80 mg daily. In the FURTHER trial, based on data as of July 5, 2024, TRSAEs were observed in eleven out of 116 of the treated patients and six out of 116 patients discontinued participation in the trial as a result of TRAEs. The most common TRSAEs (defined as ≥1%), across the FURLONG, FAVOUR and FURTHER trials were diarrhea, 1.1% (4 out of 380), liver enzyme elevation, 1.1% (4 out of 380), and pneumonitis/ILD, 1.1% (4 out of 380). The discontinuation rate due to TRAEs across the FURLONG, FAVOUR and FURTHER trials was 3.7% (14 out of 318). See “Business —  Firmonertinib: Our Lead Development Candidate” for additional information.</w:t>
      </w:r>
    </w:p>
    <w:p>
      <w:pPr>
        <w:spacing w:after="0" w:line="18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Moreover, if firmonertinib or any other current or future product candidates are associated with undesirable side effects in clinical trials or demonstrate characteristics that are unexpected in preclinical studies or clinical trials when used alone or in combination with other approved products or investigational new drugs, we may elect to interrupt, delay, or abandon their development in whole or in part or limit their development to more narrow uses, lower doses, or subpopulations in which the undesirable side effects or other characteristics are less prevalent, less severe or more acceptable from a risk-benefit perspective, which may limit the potential approval and commercial expectations for the product candidate if approved. We may also be required to modify our development and clinical trial plans based on findings in our ongoing clinical trials or based on the findings of our competitors’ ongoing clinical trials of molecules in the same class. Many compounds that showed promise initially have later been found to cause side effects that prevented further development of the compounds.</w:t>
      </w:r>
    </w:p>
    <w:p>
      <w:pPr>
        <w:spacing w:after="0" w:line="194"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If firmonertinib or any other current or future product candidates receives marketing approval, and we or others later identify undesirable side effects caused by such product, a number of potentially significant negative consequences could result, including:</w:t>
      </w:r>
    </w:p>
    <w:p>
      <w:pPr>
        <w:spacing w:after="0" w:line="176" w:lineRule="exact"/>
        <w:rPr>
          <w:sz w:val="20"/>
          <w:szCs w:val="20"/>
          <w:color w:val="auto"/>
        </w:rPr>
      </w:pPr>
    </w:p>
    <w:p>
      <w:pPr>
        <w:ind w:left="720" w:right="1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a contraindication;</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conduct post-marketing studies or surveillance studies;</w:t>
      </w:r>
    </w:p>
    <w:p>
      <w:pPr>
        <w:spacing w:after="0" w:line="53"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particular product candidate, if approved, and could significantly harm our business, results of operations and prospects.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investigate firmonertinib in additional indications. We may expend our limited resources to pursue, acquire or license a new product candidate or a particular indication for firmonertinib and fail to capitalize on product candidates or indications that may be more profitable or for which there is a greater likelihood of success.</w:t>
      </w:r>
    </w:p>
    <w:p>
      <w:pPr>
        <w:spacing w:after="0" w:line="18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indications for firmonertinib to treat NSCLC. We may fail to generate additional clinical development opportunities for firmonertinib for a number of reasons, including that firmonertinib may, in indications we are seeking or may seek in the future, on further study, be shown to have harmful side effects, limited to no efficacy, or other characteristics that suggest it is unlikely to receive marketing approval and achieve market acceptance in such additional potential indications. Our resource allocation and other decisions may cause us to fail to identify and capitalize on viable potential product candidates or additional indications for firmonertinib. Our spending on current and future research and development programs for new product candidates or additional indications for existing product candidates may not yield any commercially viable product candidates or indications. If we do not accurately evaluate the commercial potential or target market for a particular indication or product candidate, we may fail to develop such product candidate or indication, we may relinquish valuable rights to that product candidate through collaborations, license agreements and other similar arrangements in cases where it would have been more advantageous for us to retain sole development and commercialization rights to such indication or product candidate, or we may negotiate less advantageous terms for any such arrangements than is optimal.</w:t>
      </w:r>
    </w:p>
    <w:p>
      <w:pPr>
        <w:spacing w:after="0" w:line="18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and may in the future develop our product candidates in combination with other therapies, and safety or supply issues with combination-use products may delay or prevent development and approval of our product candidates.</w:t>
      </w:r>
    </w:p>
    <w:p>
      <w:pPr>
        <w:spacing w:after="0" w:line="175"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We are currently developing and may in the future develop our product candidates in combination with one or more cancer therapies. For example, we are evaluating use of firmonertinib in combination with ICP-189, a SHP2 inhibitor, in collaboration with InnoCare.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Similarly, if the therapies we use in combination with our product candidates are replaced as the standard of care for the indications we choose for any of our product candidates, the FDA or similar regulatory authorities outside of the United States may require us to conduct additional clinical trials. The occurrence of any of these risks could result in our own products, if approved, being removed from the market or being less successful commercially.</w:t>
      </w:r>
    </w:p>
    <w:p>
      <w:pPr>
        <w:spacing w:after="0" w:line="19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cancer therapies that have not yet been approved for marketing by the FDA or a similar regulatory authority outside of the United States. We may be unable to effectively identify and collaborate with third parties for the evaluation of our product candidates in combination with their therapies. We will not be able to market and sell any product candidate we develop in combination with any such unapproved cancer therapies that do not ultimately obtain marketing approval. The regulations prohibiting the promotion of products for unapproved uses are complex and subject to substantial interpretation by the FDA and other government agencies. In addition, there are additional risks similar to the ones described for our products currently in development and clinical trials that result from the fact that such cancer therapies are unapproved, such as the potential for serious adverse effects, delay in their clinical trials and lack of FDA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If the FDA or a similar regulatory authority outside of the United States does not approve these other drugs or revokes approval of, or if safety, efficacy, manufacturing, or supply issues arise with, the drugs we choose to evaluate in combination with any product candidate we develop, we may be unable to obtain approval of or market such product.</w:t>
      </w:r>
    </w:p>
    <w:p>
      <w:pPr>
        <w:spacing w:after="0" w:line="172"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Several of the ongoing clinical trials for our lead product candidate, firmonertinib, are being conducted outside the United States, including in China, and we expect to conduct future clinical trials of firmonertinib and our other product candidates outside the United States, including in China. However, the FDA and other foreign equivalents may not accept data from such trials, in which case our development plans will be delayed, which could materially harm our business.</w:t>
      </w:r>
    </w:p>
    <w:p>
      <w:pPr>
        <w:spacing w:after="0" w:line="183"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Several of the ongoing clinical trials for our lead product candidate, firmonertinib, are being conducted both inside and outside of the United States, including in China. Specifically, we are enrolling patients globally in our FURVENT and FURTHER trials. Furthermore, our partner Allist is conducting the FAVOUR trial in China and our partner InnoCare is conducting the SHP2i combination trial in China. We expect the initial clinical study of ARR-217 to be conducted outside the United States, including China.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Additionally, the FDA’s clinical trial requirements, including sufficient size of patient populations and statistical powering, must be met. In February 2022, the FDA publicly rebuked an oncology product sponsor for submitting a marketing application with Phase III clinical data solely from China. More recently, members of Congress have raised national security concerns related to U.S. clinical trial sponsors utilizing study sites in China that may be owned or operated by the Chinese military. It remains to be seen whether the current administration and/or the 119th Congress (2025-26) take steps to restrict or limit the conduct of clinical research activities in China or other jurisdictions, or to otherwise require additional due diligence checks or oversight by sponsors.</w:t>
      </w:r>
    </w:p>
    <w:p>
      <w:pPr>
        <w:spacing w:after="0" w:line="20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Many foreign regulatory authorities have similar approval requirements. There can be no assurance that the FDA or any comparable foreign regulatory authority will accept data from trials conducted outside of the U.S. or the applicable jurisdiction, including any trials conducted in China.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Conducting clinical trials outside the United States, particularly in China, also exposes us to additional risks, including risks associated with:</w:t>
      </w:r>
    </w:p>
    <w:p>
      <w:pPr>
        <w:spacing w:after="0" w:line="162"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infectious disease pandemics or epidemics or any other form of future public health emergency;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civil unrest, war or similar events that may jeopardize our ability to commence, conduct or complete a clinical trial and evaluate resulting data.</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For example, 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Median DOR had not yet been reached, with 90.9% (n=20/22) of patients with confirmed responses remaining on study.</w:t>
      </w:r>
    </w:p>
    <w:p>
      <w:pPr>
        <w:spacing w:after="0" w:line="19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9"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spacing w:after="0" w:line="164"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p>
    <w:p>
      <w:pPr>
        <w:spacing w:after="0" w:line="19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firmonertinib, our other product candidates, and any future product candidates may be harmed, which could harm our business, operating results, prospects or financial condition.</w:t>
      </w:r>
    </w:p>
    <w:p>
      <w:pPr>
        <w:spacing w:after="0" w:line="176"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75"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We are not permitted to market our product candidates in the United States until we receive regulatory approval of an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spacing w:after="0" w:line="18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available nonclinical or clinical data support the safety or efficacy of our product candidates, such data may not be sufficient to obtain approval from the FDA and comparable foreign regulatory authorities. The FDA or comparable foreign regulatory authorities, as the case may be, may also require us to conduct additional nonclinical studies or clinical trials for our product candidates either prior to or post-approval, or may object to elements of our clinical development program.</w:t>
      </w:r>
    </w:p>
    <w:p>
      <w:pPr>
        <w:spacing w:after="0" w:line="19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62"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7"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53"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3"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such authorities that a product candidate’s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spacing w:after="0" w:line="7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Risk Evaluation and Mitigation Strategy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of our product candidates in one jurisdiction does not mean that we will be successful in obtaining marketing approval of our product candidates in other jurisdictions.</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Obtaining and maintaining marketing approval of our product candidates in one jurisdiction does not guarantee that we will be able to obtain or maintain marketing approval in any other jurisdiction. For example, firmonertinib has been approved by the National Medical Products Administration (NMPA) of China and is currently commercially distributed in China by Allist as a first-line treatment of locally advanced or metastatic NSCLC patients with classical EGFRm as well as pre-treated patients with T790M mutations. Even if the NMPA or a foreign regulatory authority grants marketing approval of one of our product candidates, it does not mean that the FDA or comparable regulatory authorities in other jurisdictions must also approve the manufacturing, marketing and promotion and reimbursement of the product candidate in such countries, including the United States.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nonclinical studies or clinical trials because clinical trials conducted in one jurisdiction may not be accepted by regulatory authorities in other jurisdictions. In many jurisdictions outside the United States, a product candidate also must be approved for reimbursement before it can be offered for sale in that jurisdiction. In some cases, the price that we intend to charge for our future commercial products is also subject to approval.</w:t>
      </w:r>
    </w:p>
    <w:p>
      <w:pPr>
        <w:spacing w:after="0" w:line="19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183"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Firmonertinib has been granted Breakthrough Therapy Designation for the treatment of first-line patients with locally advanced or metastatic EGFRm NSCLC with exon 20 insertion mutations from the FDA and we may seek Breakthrough Therapy Designation for other product candidates in the future. Even if we apply for Breakthrough Therapy Designation in the future, we might not receive such designation, and even if received, such designation may not lead to a faster development or regulatory review or approval process, and does not increase the likelihood that our product candidates will receive marketing approval.</w:t>
      </w:r>
    </w:p>
    <w:p>
      <w:pPr>
        <w:spacing w:after="0" w:line="18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received Breakthrough Therapy Designation for firmonertinib for the treatment of first-line patients with locally advanced or metastatic EGFRm NSCLC with exon 20 insertion mutations from the FDA in October 2023, and we may seek such designation in the future for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Drugs designated as Breakthrough Therapies are also eligible for accelerated approval.</w:t>
      </w:r>
    </w:p>
    <w:p>
      <w:pPr>
        <w:spacing w:after="0" w:line="18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FDA has discretion to determine whether the criteria for a Breakthrough Therapy has been met and whether to grant a Breakthrough Therapy Designation to an investigational product. Accordingly, even if we believe, after completing early clinical trials,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approval compared to product candidates considered for approval under conventional FDA procedures and does not change the standard for approval by the FDA. In addition, even after granting Breakthrough Therapy Designation to our product candidates, the FDA may later decide that such product candidates no longer meet the conditions for qualification and withdraw such designation.</w:t>
      </w:r>
    </w:p>
    <w:p>
      <w:pPr>
        <w:spacing w:after="0" w:line="176" w:lineRule="exact"/>
        <w:rPr>
          <w:sz w:val="20"/>
          <w:szCs w:val="20"/>
          <w:color w:val="auto"/>
        </w:rPr>
      </w:pPr>
    </w:p>
    <w:p>
      <w:pPr>
        <w:ind w:left="60" w:right="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Firmonertinib has been granted Fast Track Designation by the FDA for the treatment of patients with NSCLC harboring activating EGFR or HER2 kinase domain mutations, including exon 20 insertion mutations and we may seek Fast Track Designation for other product candidates in the future. Even if we apply for Fast Track Designation in the future, we might not receive such designation, and even if received, such designation may not actually lead to a faster development or regulatory review or approval process. Further, such designation could be withdrawn by the FDA.</w:t>
      </w:r>
    </w:p>
    <w:p>
      <w:pPr>
        <w:spacing w:after="0" w:line="16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If a drug candidate is intended or the treatment of a serious or life-threatening disease or condition and nonclinical or clinical data demonstrate the potential to address an unmet medical need for this disease or condition, a product sponsor may request a Fast Track designation from the FDA.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NDA/BLA is submitted, the application may be eligible for priority review. An NDA/BLA submitted for a Fast Track designated product candidate may also be eligible for rolling review, where the FDA may consider for review sections of the NDA/BLA on a rolling basis before the complete application is submitted, if the sponsor provides a schedule for the submission of the sections of the NDA/BLA, the FDA agrees to accept sections of the application and determines that the schedule is acceptable, and the sponsor pays any required user fees upon submission of the first section of the application.</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seek Fast Track designation from the FDA, we may not receive it and even if we receive such designation, it does not ensure that we will receive marketing approval or that approval will be granted in any particular time frame. Many product candidates that have received Fast Track designation have ultimately failed to obtain approval. We also may not experience a faster development or regulatory review or approval process with Fast Track designation compared to conventional FDA procedures. In addition, the FDA may withdraw Fast Track designation if it is no longer supported by data from our clinical development program. Fast Track designation alone also does not guarantee qualification for the FDA’s priority review procedures for marketing applications. In January 2022, the FDA granted Fast Track designation to firmonertinib for the treatment of patients with NSCLC harboring activating EGFR or HER2 kinase domain mutations, including exon 20 insertion mutations.</w:t>
      </w:r>
    </w:p>
    <w:p>
      <w:pPr>
        <w:spacing w:after="0" w:line="184"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may seek to utilize the FDA’s accelerated approval pathway for certain firmonertinib indications and may pursue this pathway for future therapeutic candidates. There is no assurance that, upon receipt of such future marketing application, if any, the FDA will agree to file it and conduct a substantive review of the data or that FDA will agree that we have met the substantial evidence of effectiveness and safety standard necessary to support marketing approval. If unable to obtain approval under the accelerated approval pathway, we may be required to conduct additional nonclinical studies or clinical trials beyond those that we currently contemplate for certain firmonertinib indications, which could increase the expense of obtaining, and delay the receipt of, necessary marketing approvals. Even if we receive accelerated approval from the FDA for certain firmonertinib indications, or for other future therapeutic candidates for which the accelerated approval pathway may be appropriate, if our confirmatory trials do not verify clinical benefit, or if we do not comply with rigorous post-marketing requirements, the FDA may seek to withdraw accelerated approval.</w:t>
      </w:r>
    </w:p>
    <w:p>
      <w:pPr>
        <w:spacing w:after="0" w:line="18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previously announced that, based on discussions with the FDA, there is potential to pursue an accelerated approval for firmonertinib for the treatment of NSCLC patients diagnosed with PACC mutations using ORR as the surrogate endpoint.</w:t>
      </w:r>
    </w:p>
    <w:p>
      <w:pPr>
        <w:spacing w:after="0" w:line="176"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Under the accelerated approval provisions in the FDC Act and the FDA’s implementing regulations, the FDA may grant accelerated approval to a therapeutic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or on</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 clinical endpoint that can be measured earlier than irreversible morbidity or mortality, or other clinical benefit, taking into account the severity, rarity, or prevalence of the condition and the availability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mortality, or other clinical benefit.</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FDA may not accept any future application for accelerated approval for firmonertinib in NSCLC patients diagnosed with PACC mutations, may not grant marketing approval on a timely basis, or may not grant approval at all. The FDA or foreign regulatory authorities could require us to conduct further studies prior to considering our application or granting approval of any type. We might not be able to fulfill the FDA’s requirements in a timely manner or at all, which would cause delays, or approval might not be granted because our submission is deemed incomplete by the FDA. A failure to obtain accelerated approval or any other form of expedited development, review, or approval for firmonertinib would result in a longer time period to commercialization of firmonertinib, would increase the cost of development of firmonertinib and could harm our competitive position in the marketplace. Following high-profile voluntary withdrawals of accelerated approval indications by several oncology sponsors as a result of post-approval trials failing to verify their drug products’ clinical benefit for those indications, which resulted in December 2022 amendments by Congress to the FDA’s authorities related to accelerated approval, public scrutiny of the accelerated approval pathway is likely to continue and may lead to further legislative and/or administrative changes in the future.</w:t>
      </w:r>
    </w:p>
    <w:p>
      <w:pPr>
        <w:spacing w:after="0" w:line="19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Moreover, even if we receive accelerated approval from the FDA for certain firmonertinib indications, we will be subject to rigorous post-marketing requirements, including the completion of one or more confirmatory post-approval clinical trials to verify the clinical benefit of the product in that patient population, and submission to the FDA of all promotional materials for review prior to their dissemination. The FDA could also seek to withdraw accelerated approval for multiple reasons, including if we fail to conduct any required post-approval study, a post-approval study does not confirm the predicted clinical benefit, other evidence shows that the product is not safe or effective under the conditions of use, or we disseminate promotional materials that are found by the FDA to be false and misleading. Products that receive accelerated approval may be subject to expedited withdrawal procedures if post-approval studies fail to verify the predicted clinical benefit. In addition, as noted above, Congress recently provided the FDA with new statutory authorities to mitigate potential risks to patients from continued marketing of ineffective drugs previously granted accelerated approval. Under these amendments to the FDC Act, the agency may require a sponsor of a product seeking accelerated approval to have a confirmatory trial underway prior to such approval being granted. At this time, it has not been fully determined how a future confirmatory post-approval clinical trial for firmonertinib in NSCLC patients diagnosed with PACC mutations would be designed or implemented, whether more than one trial will become necessary, or what the FDA would expect with respect to the timing of initiating such a confirmatory clinical trial for firmonertinib, should it be granted accelerated approval. If we fail to receive accelerated approval for firmonertinib in this patient population or fail to comply with the post-marketing requirements, our business, results of operations, prospects and the price of our common stock may be materially and adversely affected.</w:t>
      </w:r>
    </w:p>
    <w:p>
      <w:pPr>
        <w:spacing w:after="0" w:line="188" w:lineRule="exact"/>
        <w:rPr>
          <w:sz w:val="20"/>
          <w:szCs w:val="20"/>
          <w:color w:val="auto"/>
        </w:rPr>
      </w:pPr>
    </w:p>
    <w:p>
      <w:pPr>
        <w:jc w:val="both"/>
        <w:ind w:left="6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mass layoffs, or global health concerns could hinder their ability to hire, retain or deploy key leadership and other personnel, or otherwise prevent new or modified products from being developed, reviewed, approved or commercialized in a timely manner or at all, which could negatively impact our business.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medical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adversely affect our business. For example, over the last several years, the U.S. government has shut down several times and certain regulatory agencies, such as the FDA, have had to furlough critical employees and stop critical activities during that period. In early 2025, following the inauguration of President Trump, the Trump Administration began terminating federal government employees, including at the FDA. The impact of mass layoffs at the agency and other governmental offices with which we interact is unclear at this time. However, it is expected that with a reduction in staff of up to 50%, the FDA in the future may be unlikely to meet its application review goals or to continue to be available for timely interactions with medical product developers. It is currently unclear how the U.S. biopharmaceutical industry will be affected by the Trump Administration’s major changes to the FDA and the federal government as a whole.</w:t>
      </w:r>
    </w:p>
    <w:p>
      <w:pPr>
        <w:spacing w:after="0" w:line="19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Separately, in response to COVID-19,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COVID-19, and any resurgence of the virus or emergence of new variants may lead to further inspectional delays. Regulatory authorities outside the United States may adopt similar policy measures in response to COVID-19 or other emerging infectious disease outbreaks, epidemics or pandemics. If a prolonged government shutdown or slowdown occurs, or if global health concerns similar to COVID-19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0"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5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regulatory submissions or commercialization objectives. From time to time, we may publicly announce the expected timing of some of these milestones, such as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2"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authorizations by the FDA and comparable foreign regulatory authorities, and the timing thereof;</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if any; and</w:t>
      </w:r>
    </w:p>
    <w:p>
      <w:pPr>
        <w:spacing w:after="0" w:line="117"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commercial product manufacturing as well as sales and marketing activities.</w:t>
      </w:r>
    </w:p>
    <w:p>
      <w:pPr>
        <w:spacing w:after="0" w:line="16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and our business, results of operations, financial condition and prospects may be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heavily rely on our exclusive license with Allist to provide us with intellectual property rights to develop and commercialize firmonertinib. Any termination or loss of significant rights under our agreements with Allist would adversely affect our development or commercialization of firmonertinib.</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Under the Allist License Agreement we have, among other things, secured an exclusive, royalty-bearing, and sublicensable license under certain intellectual property (including patents and know-how) owned or controlled by Allist to develop and commercialize any product containing firmonertinib or any of its salts or derivatives (the Licensed Compound) as an active ingredient of a product (the Licensed Product), which is led by a joint collaboration committee (the Collaboration Committee), comprising of representatives from both Allist and us. We granted Allist a non-exclusive sublicensable license to certain information, data, results and improvements related to the Licensed Product. Either party has the right to terminate the Allist License Agreement, subject to specified cure periods, for the material breach by the other party or the bankruptcy or insolvency of the other party. If the Allist License Agreement is terminated for any reason, including as a result of our failure to meet our obligations under the Allist License Agreement to make any milestone payments or royalties to Allist, our business and operations would be materially harmed.</w:t>
      </w:r>
    </w:p>
    <w:p>
      <w:pPr>
        <w:spacing w:after="0" w:line="194"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are obligated to pay Allist milestone payments up to an aggregate of $765 million upon the achievement of certain development, regulatory and sales milestone events. In addition, we are obligated to pay Allist tiered royalties based on net sales of Licensed Products. In addition, upon termination of the Allist License Agreement by either Allist or us, (i) if the termination is for any reason other than by us for the material breach by Allist, then we may at our discretion continue to distribute and sell Licensed Products for a reasonably sufficient wind-down period up to 24 months from the termination, in accordance with the Allist License Agreement, and are obligated to continue to make all applicable payments to Allist for the Licensed Products we sell, and (ii) if the termination is by us for the material breach by Allist, then we would have the right to continue under the Allist License Agreement in lieu of the termination but with our milestone and royalty payment obligations substantially reduced. If these payments become due, we may not have sufficient funds available to meet our obligations and our development efforts may be harmed.</w:t>
      </w:r>
    </w:p>
    <w:p>
      <w:pPr>
        <w:spacing w:after="0" w:line="194"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Furthermore, we entered into the Allist Collaboration Agreement with Allist to govern the conduct of Global Study. See “Business —  Licenses, Partnerships and Collaborations — Allist Agreements.” Pursuant to the Allist Collaboration Agreement, if either party or both parties wish to jointly conduct a Global Study, one or both parties, as the case may be, will prepare and submit the proposed strategy, internal process timeline, along with other required documents for such proposed Global Study to the Collaboration Committee for its review and approval before the protocol filing with any regulatory authorities. If the Collaboration Committee cannot come to a mutual agreement on the proposed strategy or any other particular matter, this could delay our ability to develop or commercialize firmonertinib, which could have a material adverse effect on our business and operations. Additionally, if we do not receive all of the necessary products, information, reports and data from Allist to which we are entitled under the Allist Collaboration Agreement in a timely manner, our business could be materially harmed.</w:t>
      </w:r>
    </w:p>
    <w:p>
      <w:pPr>
        <w:spacing w:after="0" w:line="190"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Reported data or other clinical development announcements by third parties, including Allist, may adversely affect our clinical development plan.</w:t>
      </w:r>
    </w:p>
    <w:p>
      <w:pPr>
        <w:spacing w:after="0" w:line="159"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Allist is currently conducting clinical studies in China, including a Phase 1b trial with firmonertinib and a phase 2 trial in second line EGFRm NSCLC patients with exon 20 insertion mutations, and previously completed a Phase 3 clinical trial in China. Allist is also commercializing firmonertinib in China. If announcements by Allist or other third parties with whom we collaborate, or by third parties with whom Allist collaborates, now or in the future, are unfavorable with respect to their clinical trials, or with respect to post-approval monitoring, our clinical development plans may be adversely affected. Further, even if announcements by such third parties are favorable with respect to their clinical trials, our planned clinical trials for firmonertinib, and any future clinical trials we may conduct, differ from their clinical trials and investors should not place undue reliance upon any of such third parties’ reported data or other clinical development announcements.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rely on, and intend to continue to rely on, third parties to conduct, supervise and monitor our clinical trials and nonclinical studies. If these third parties do not successfully carry out their contractual duties, comply with applicable regulatory requirements or meet expected deadlines, our development programs and our ability to seek or obtain regulatory approval for or commercialize firmonertinib, our other product candidates, and any future product candidates may be delayed or subject to increased costs, each of which may have an adverse effect on our business and prospects.</w:t>
      </w:r>
    </w:p>
    <w:p>
      <w:pPr>
        <w:spacing w:after="0" w:line="186"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preclinical and nonclinical studies. Specifically, we rely on, and intend to continue to rely on, medical institutions, clinical investigators, CROs and consultants to conduct nonclinical studies and clinical trials, in each case in accordance with our study protocols and applicable regulatory requirements. These CROs, investigators and other third parties play a significant role in the conduct and timing of these studies or trials and the subsequent collection and analysis of data. Though we expect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and GCP requirements, as applicable, which are regulations and guidelines enforced by the FDA and comparable foreign regulatory authorities related to the conduct of nonclinical studies and clinical trials, respectively. Regulatory authorities enforce GCPs through periodic inspections of trial sponsors, principal investigators and trial sites. If we or any of our CROs or trial sites fail to comply with applicable GLP or GCP or other requirements, the collected nonclinical data or the clinical data generated in our clinical trials may be deemed unreliable, and the FDA or comparable foreign regulatory authorities may require us to perform additional nonclinical studies or clinical trials before approving our marketing applications, if ever. Furthermore, our clinical trials must be conducted with materials manufactured in accordance with cGMP regulations. Failure to comply with these regulations may require us to repeat clinical trials, which would delay the regulatory approval process.</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receiving regulatory approval for, or commercializing, firmonertinib, our other product candidates, and any future product candidates.</w:t>
      </w:r>
    </w:p>
    <w:p>
      <w:pPr>
        <w:spacing w:after="0" w:line="18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Chinese third party for the manufacture of firmonertinib and other product candidates, including ARR-217, for clinical development and potential future commercial supply of firmonertinib, and expect to continue to rely on third parties for the foreseeable future. This reliance on third parties increases the risk that we will not have sufficient quantities of firmonertinib or ARR-217, or such quantities at an acceptable cost, which could delay, prevent or impair our development or potential commercialization efforts.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do not own or operate manufacturing facilities and have no plans to develop our own clinical or commercial-scale manufacturing capabilities. We rely on a third party, and expect to continue to rely, on third parties for the manufacture of firmonertinib, other product candidates, including ARR-217, and related raw materials for clinical development, as well as for commercial manufacture of firmonertinib and our other product candidates, including ARR-217, receives marketing approval. The facilities used by third-party manufacturers to manufacture firmonertinib must be approved by the FDA and any comparable foreign regulatory authority pursuant to inspections that will be conducted after we submit an NDA to the FDA or make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we have no control over the ability of third-party manufacturers to maintain adequate quality control, quality assurance and qualified personnel. If the FDA or any comparable foreign regulatory authority does not approve these facilities for the manufacture of firmonertinib, or our other product candidates, including ARR-217 or if it withdraws any such approval in the future, we may need to find alternative manufacturing facilities, which would significantly impact our ability to develop, obtain regulatory approval for or market firmonertinib, and our other product candidates, including ARR-217, if approved. Our failure, or the failure of our third-party manufacturers, to comply with applicable regulations also could result in sanctions being imposed on us, including clinical holds, fines, injunctions, civil penalties, delays, suspension or withdrawal of approvals, seizures or recalls of firmonertinib or our other product candidates, including ARR-217, future products, operating restrictions and criminal prosecutions, any of which could significantly and adversely affect supplies of our products and our financial position.</w:t>
      </w:r>
    </w:p>
    <w:p>
      <w:pPr>
        <w:spacing w:after="0" w:line="194" w:lineRule="exact"/>
        <w:rPr>
          <w:sz w:val="20"/>
          <w:szCs w:val="20"/>
          <w:color w:val="auto"/>
        </w:rPr>
      </w:pPr>
    </w:p>
    <w:p>
      <w:pPr>
        <w:jc w:val="both"/>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on commercially reasonable terms, in a timely manner and in compliance with cGMP or other regulatory requirements could adversely affect our business in a number of ways, including:</w:t>
      </w:r>
    </w:p>
    <w:p>
      <w:pPr>
        <w:spacing w:after="0" w:line="176" w:lineRule="exact"/>
        <w:rPr>
          <w:sz w:val="20"/>
          <w:szCs w:val="20"/>
          <w:color w:val="auto"/>
        </w:rPr>
      </w:pPr>
    </w:p>
    <w:p>
      <w:pPr>
        <w:ind w:left="720" w:right="2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complete clinical trials of firmonertinib, our other product candidates, including ARR-217 or any other future product candidates in a timely manner;</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firmonertinib, our other product candidates, including ARR-217, or any other future product candidates;</w:t>
      </w:r>
    </w:p>
    <w:p>
      <w:pPr>
        <w:spacing w:after="0" w:line="53"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potential future manufacturing facilities to additional inspections by regulatory authorities;</w:t>
      </w:r>
    </w:p>
    <w:p>
      <w:pPr>
        <w:spacing w:after="0" w:line="53"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firmonertinib or any other current or future product candidates; and</w:t>
      </w:r>
    </w:p>
    <w:p>
      <w:pPr>
        <w:spacing w:after="0" w:line="53" w:lineRule="exact"/>
        <w:rPr>
          <w:rFonts w:ascii="Times New Roman" w:cs="Times New Roman" w:eastAsia="Times New Roman" w:hAnsi="Times New Roman"/>
          <w:sz w:val="18"/>
          <w:szCs w:val="18"/>
          <w:color w:val="auto"/>
        </w:rPr>
      </w:pPr>
    </w:p>
    <w:p>
      <w:pPr>
        <w:ind w:left="720" w:right="4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firmonertinib or any other current or future product candidates, an inability to meet commercial demands for firmonertinib or any other current or future product candidates.</w:t>
      </w:r>
    </w:p>
    <w:p>
      <w:pPr>
        <w:spacing w:after="0" w:line="176"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firmonertinib, other potential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312" w:lineRule="auto"/>
        <w:rPr>
          <w:sz w:val="20"/>
          <w:szCs w:val="20"/>
          <w:color w:val="auto"/>
        </w:rPr>
      </w:pPr>
      <w:r>
        <w:rPr>
          <w:rFonts w:ascii="Times New Roman" w:cs="Times New Roman" w:eastAsia="Times New Roman" w:hAnsi="Times New Roman"/>
          <w:sz w:val="17"/>
          <w:szCs w:val="17"/>
          <w:color w:val="auto"/>
        </w:rPr>
        <w:t>product candidates, including ARR-217, or such quantities at an acceptable cost. Even if we are able to establish agreements with third-party manufacturers, reliance on third-party manufacturers entails additional risks, including:</w:t>
      </w:r>
    </w:p>
    <w:p>
      <w:pPr>
        <w:spacing w:after="0" w:line="140"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adequate raw materials and other materials required for manufacturing;</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scale up manufacturing capacity, if required;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any potential trade secrets and know-how;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jeopardize our ability to commence or continue commercialization of firmonertinib, our other product candidates, including ARR-217, or or any future product candidates, and any related remedial measures may be costly or time consuming to implement. We do not currently have arrangements in place for redundant supply or a second source for all required raw materials used in the manufacture of our product candidates. If our existing or future third-party manufacturers cannot perform as agreed, we may be required to replace such manufacturers and we may be unable to replace them on a timely basis or at all. Without additional suppliers of required raw materials, we may also be unable to meet the commercial needs of a commercial launch of any future product candidates.</w:t>
      </w:r>
    </w:p>
    <w:p>
      <w:pPr>
        <w:spacing w:after="0" w:line="192"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In addition, our current and anticipated future dependence upon others for the manufacture of firmonertinib, other product candidates, including ARR-217, and any future product candidates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A portion of our product development and manufacturing for our product candidate firmonertinib and other product candidates, including ARR-217, takes place in China through third-party manufacturers. A significant disruption in the operation of those manufacturers, a trade war or political unrest in China, or a change in the regulatory framework in the United States or China, could materially adversely affect our business, financial condition and results of operations.</w:t>
      </w:r>
    </w:p>
    <w:p>
      <w:pPr>
        <w:spacing w:after="0" w:line="18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Currently, we rely on and have agreements with two third-party contract manufacturers, Raybow and WuXi STA to supply the drug substance for firmonertinib to be used in planned clinical trials and with WuXi STA, with whom we have executed technology transfer related to the manufacture of drug product, to manufacture the clinical trial supplies of firmonertinib drug product. Both of third-party contract manufacturers are located in China, and we expect to continue to use such third-party manufacturers for such product candidates. We expect to rely on manufacturers in China for ARR-217 drug substance and drug product for use in initial clinical studies and also expect to rely on WuXi XDC for the manufacture of ARR-002 for initial clinical studies.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U.S. or Chinese governments, political unrest or unstable economic conditions in China. For example, a trade war could lead to tariffs that ultimately result in increased manufacturing costs.</w:t>
      </w:r>
    </w:p>
    <w:p>
      <w:pPr>
        <w:spacing w:after="0" w:line="187" w:lineRule="exact"/>
        <w:rPr>
          <w:sz w:val="20"/>
          <w:szCs w:val="20"/>
          <w:color w:val="auto"/>
        </w:rPr>
      </w:pPr>
    </w:p>
    <w:p>
      <w:pPr>
        <w:ind w:left="60" w:right="459" w:firstLine="324"/>
        <w:spacing w:after="0" w:line="277" w:lineRule="auto"/>
        <w:rPr>
          <w:sz w:val="20"/>
          <w:szCs w:val="20"/>
          <w:color w:val="auto"/>
        </w:rPr>
      </w:pPr>
      <w:r>
        <w:rPr>
          <w:rFonts w:ascii="Times New Roman" w:cs="Times New Roman" w:eastAsia="Times New Roman" w:hAnsi="Times New Roman"/>
          <w:sz w:val="17"/>
          <w:szCs w:val="17"/>
          <w:color w:val="auto"/>
        </w:rPr>
        <w:t>The BIOSECURE Act considered by the U.S. Congress 2024 was aimed at discouraging federal contracting with certain Chinese biotechnology companies for biotechnology equipment or services, including WuXi AppTec Co., Ltd. (WuXi AppTec) and its subsidiaries, parent affiliates, or successors on the development or manufacturing of pharmaceutical products. In February 2024, certain U.S. Senators and Representatives sent a letter to the Biden administration requesting that both WuXi AppTec, WuXi STA’s parent company, and the affiliated WuXi Biologics be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4" w:lineRule="auto"/>
        <w:rPr>
          <w:sz w:val="20"/>
          <w:szCs w:val="20"/>
          <w:color w:val="auto"/>
        </w:rPr>
      </w:pPr>
      <w:r>
        <w:rPr>
          <w:rFonts w:ascii="Times New Roman" w:cs="Times New Roman" w:eastAsia="Times New Roman" w:hAnsi="Times New Roman"/>
          <w:sz w:val="18"/>
          <w:szCs w:val="18"/>
          <w:color w:val="auto"/>
        </w:rPr>
        <w:t>added to the Department of Defense’s Chinese Military Companies List (1260H list), the Department of Commerce’s Bureau of Industry and Security Entity List, and the Department of Treasury’s Non-SDN Chinese Military-Industrial Complex Companies List. The companies were also named in the initial version of the BIOSECURE Act, which has yet to be reintroduced in the current Congress and the bill’s prospects under the Trump Administration are currently uncertain. Adding WuXi STA or related entities on any or all of the aforementioned lists could materially impact supply of firmonertinib or ARR-002 from WuXi STA and related entities. The re-introduction, enactment and implementation of the original BIOSECURE Act, or similar legislation that could develop in the 119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may similarly impact supply of firmonertinib or ARR-002 from WuXi STA or related entities.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switch our third-party manufacturer of firmonertinib or ARR-002 from WuXi STA or related entities, we anticipate that the complexity of the manufacturing process may impact the amount of time it may take to secure a replacement manufacturer. The delays associated with the verification of a new manufacturer, once we are able to identify an alternative source, could negatively affect our ability to develop product candidates in a timely manner or within budget, which could materially adversely affect our business, financial condition and results of operations.</w:t>
      </w:r>
    </w:p>
    <w:p>
      <w:pPr>
        <w:spacing w:after="0" w:line="202"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in the future may seek to enter into collaborations, license agreements and other similar arrangements and may not be successful in doing so, and even if we are, we may relinquish valuable rights and may not realize the benefits of such relationships, and our collaborations would be subject to other risks attendant to third party relationships, including inability to prevent or control actions taken or not taken by such third parties which may adversely impact us.</w:t>
      </w:r>
    </w:p>
    <w:p>
      <w:pPr>
        <w:spacing w:after="0" w:line="183" w:lineRule="exact"/>
        <w:rPr>
          <w:sz w:val="20"/>
          <w:szCs w:val="20"/>
          <w:color w:val="auto"/>
        </w:rPr>
      </w:pPr>
    </w:p>
    <w:p>
      <w:pPr>
        <w:ind w:left="60" w:right="139" w:firstLine="324"/>
        <w:spacing w:after="0" w:line="267" w:lineRule="auto"/>
        <w:rPr>
          <w:sz w:val="20"/>
          <w:szCs w:val="20"/>
          <w:color w:val="auto"/>
        </w:rPr>
      </w:pPr>
      <w:r>
        <w:rPr>
          <w:rFonts w:ascii="Times New Roman" w:cs="Times New Roman" w:eastAsia="Times New Roman" w:hAnsi="Times New Roman"/>
          <w:sz w:val="17"/>
          <w:szCs w:val="17"/>
          <w:color w:val="auto"/>
        </w:rPr>
        <w:t>We are currently collaborating with third parties to develop certain of our potential drug candidates. For example, we are collaborating with Allist with respect to certain aspects of firmonertinib and are collaborating with Lepu Biopharma with respect to ARR-217. In the future, we may seek to enter into collaborations, joint ventures, license agreements and other similar arrangements for the development or commercialization of firmonertinib, our other product candidates, and any future product candidates, due to capital costs required to develop or commercialize the product candidate or manufacturing constraints. For example, certain of the cancer disease areas that we believe our product candidates address require large, costly and later-stage clinical trials, which a collaboration partner may be better positioned to finance and/or conduct. In addition, a component of our strategy is to maximize the commercial value of our current and future product candidates, which may also strategically align with partnering commercial rights with partners that have large and established sales organizations. To the extent that we decide to enter into collaborations, joint ventures, license agreements and other similar arrangements, we may not be successful in our efforts to establish or maintain such collaborations because our research and development pipeline may be insufficient, any future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or product candidates,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w:t>
      </w:r>
    </w:p>
    <w:p>
      <w:pPr>
        <w:spacing w:after="0" w:line="39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Furthermore, we may not be able to maintain such collaborations if, for example, the development or approval of a product candidate is delayed, the safety of a product candidate is questioned or the sales of an approved product candidate are unsatisfactory.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Collaborations involving firmonertinib or any other current or future product candidates would pose significant risks to us, including the following:</w:t>
      </w:r>
    </w:p>
    <w:p>
      <w:pPr>
        <w:spacing w:after="0" w:line="162" w:lineRule="exact"/>
        <w:rPr>
          <w:sz w:val="20"/>
          <w:szCs w:val="20"/>
          <w:color w:val="auto"/>
        </w:rPr>
      </w:pPr>
    </w:p>
    <w:p>
      <w:pPr>
        <w:ind w:left="720" w:right="4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at all;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any product candidate that achieves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3"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3"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7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invest resources and attention into such collaboration, which could distract from other business objectives;</w:t>
      </w:r>
    </w:p>
    <w:p>
      <w:pPr>
        <w:spacing w:after="0" w:line="53"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w:t>
      </w:r>
    </w:p>
    <w:p>
      <w:pPr>
        <w:spacing w:after="0" w:line="53"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product development or commercialization program could be delayed, diminished or terminated; and</w:t>
      </w:r>
    </w:p>
    <w:p>
      <w:pPr>
        <w:spacing w:after="0" w:line="53"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including for the convenience of the collaborator, prior to or upon the expiration of the agreed upon terms and, if terminated, we may find it more difficult to enter into future collaborations or be required to raise additional capital to pursue further development or commercialization of the applicable product candidates.</w:t>
      </w:r>
    </w:p>
    <w:p>
      <w:pPr>
        <w:spacing w:after="0" w:line="18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Any termination of collaborations we currently depend on or may enter into in the future, or any delay in entering into collaborations related to firmonertinib or any other current or future product candidates, could delay the development and commercialization of our product candidates and reduce their competitiveness if they reach the market, which could have a material adverse effect on our business, financial condition, results of operations and prospects.</w:t>
      </w:r>
    </w:p>
    <w:p>
      <w:pPr>
        <w:spacing w:after="0" w:line="176"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Commercialization of Firmonertinib, Our Other Product Candidates, and any Future Product Candidates</w:t>
      </w:r>
    </w:p>
    <w:p>
      <w:pPr>
        <w:spacing w:after="0" w:line="155" w:lineRule="exact"/>
        <w:rPr>
          <w:sz w:val="20"/>
          <w:szCs w:val="20"/>
          <w:color w:val="auto"/>
        </w:rPr>
      </w:pPr>
    </w:p>
    <w:p>
      <w:pPr>
        <w:ind w:left="60" w:right="1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if we receive regulatory approval for firmonertinib or any </w:t>
      </w:r>
      <w:r>
        <w:rPr>
          <w:rFonts w:ascii="Times New Roman" w:cs="Times New Roman" w:eastAsia="Times New Roman" w:hAnsi="Times New Roman"/>
          <w:sz w:val="18"/>
          <w:szCs w:val="18"/>
          <w:b w:val="1"/>
          <w:bCs w:val="1"/>
          <w:color w:val="auto"/>
        </w:rPr>
        <w:t>other current or</w:t>
      </w:r>
      <w:r>
        <w:rPr>
          <w:rFonts w:ascii="Times New Roman" w:cs="Times New Roman" w:eastAsia="Times New Roman" w:hAnsi="Times New Roman"/>
          <w:sz w:val="18"/>
          <w:szCs w:val="18"/>
          <w:b w:val="1"/>
          <w:bCs w:val="1"/>
          <w:i w:val="1"/>
          <w:iCs w:val="1"/>
          <w:color w:val="auto"/>
        </w:rPr>
        <w:t xml:space="preserve"> future product candidates, we will be subject to ongoing regulatory obligations and continued regulatory review, which may result in significant additional expense. Additionally, firmonertinib, our other product candidates, and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if any of them are approved.</w:t>
      </w:r>
    </w:p>
    <w:p>
      <w:pPr>
        <w:spacing w:after="0" w:line="18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firmonertinib or any other current or future product candidates will require the submission of various post-marketing reports to regulatory authorities, will subject us to surveillance requirements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REMS as a condition of approval of firmonertinib or any other current or future product candidates, which could include requirements for a medication guide, physician training and communication plans or additional elements to ensure safe use, such as restricted distribution methods, patient registries and other risk minimization tools. In addition, if the FDA or a comparable foreign regulatory authority approves firmonertinib or any other current or future product candidates, the manufacturing processes, labeling, packaging, distribution, adverse event reporting, storage, advertising, promotion, import, export and recordkeeping for such products will be subject to extensive and ongoing regulatory requirements. These requirements include submissions of safety and other post-marketing information and reports, facility registration, and continued compliance with cGMPs for product manufacturing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In addition, should accelerated approval be granted to any of our product candidates, we will be required to complete confirmatory clinical trials to verify the drug’s clinical benefit(s) and to make certain mandatory submissions to the FDA that are not applicable to drug products with “full” or traditional FDA marketing approvals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those not subject to accelerated approval requirements).</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Failure to comply with regulatory requirements or later discovery of previously unknown problems with our products, including adverse events of unanticipated severity or frequency, or with our third-party manufacturers or manufacturing processes, may result in a regulatory agency imposing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187" w:lineRule="exact"/>
        <w:rPr>
          <w:sz w:val="20"/>
          <w:szCs w:val="20"/>
          <w:color w:val="auto"/>
        </w:rPr>
      </w:pPr>
    </w:p>
    <w:p>
      <w:pPr>
        <w:ind w:left="720" w:right="43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 warning letters, untitled letters, or adverse publicity;</w:t>
      </w:r>
    </w:p>
    <w:p>
      <w:pPr>
        <w:spacing w:after="0" w:line="117"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approvals;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 the imposition of civil or criminal penalties.</w:t>
      </w:r>
    </w:p>
    <w:p>
      <w:pPr>
        <w:spacing w:after="0" w:line="22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firmonertinib or any other current or future product candidates and to generate revenue, could require us to expend significant time and resources in response and could generate negative publicity.</w:t>
      </w:r>
    </w:p>
    <w:p>
      <w:pPr>
        <w:spacing w:after="0" w:line="176"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marketing, labeling, advertising, and promotional claims that may be made about prescription drug products, such as firmonertinib or any other current or future product candidates, if approved. These regulations include standards and restrictions for direct-to-consumer advertising, industry-sponsored scientific and educational activities, promotional activities involving the internet and off-label promotion. In particular, a product may not be promoted for uses that are not approved by the FDA or such other regulatory agencies as reflected in the product’s approved labeling. However, companies may share truthful and not misleading information that is not inconsistent with the labeling, and the FDA has recently published guidance for industry outlining modernized recommendations for how drug manufacturers can share scientifically sound and clinically relevant information on unapproved uses with health care providers so long as such presentations are not promotional.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or advertise any future commercial products will be narrowly limited to those indications that are specifically approved by the FDA.</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are found to have promoted off-label uses for an FDA-approved drug product, or to have promoted an investigational drug before it has been granted some form of marketing approval,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firmonertinib or any other current or future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p>
    <w:p>
      <w:pPr>
        <w:spacing w:after="0" w:line="180"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According to FDA guidance, if the FDA determines that a companion diagnostic device is essential to the safe and effective use of a novel therapeutic product or indication, the FDA generally will not approve the therapeutic product 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new therapeutic product indication if the companion diagnostic is not also approved or cleared for that indication. We are working with a diagnostics company to develop a companion diagnostic for firmonertinib to identify patients with EGFR exon 20 insertion mutations and we may be required to pursue a similar approach for EGFR PACC mutations. The process of obtaining or creating such diagnostic is time consuming and costly.</w:t>
      </w:r>
    </w:p>
    <w:p>
      <w:pPr>
        <w:spacing w:after="0" w:line="18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clearance of a companion diagnostic for any of our product candidates, whether before or after the product candidate obtains marketing approval, we and/or third-party collaborators may encounter difficulties in developing and obtaining approval or clearance for these companion diagnostics. Any delay or failure by us or third-party collaborators to develop or obtain regulatory approval or clearance of a companion diagnostic could delay or prevent approval or continued marketing of the relevant product. For example, our EGFR exon 20 insertion mutations clinical trials may generate insufficient data to enable the approval by the FDA of the companion diagnostic that we are working with a diagnostics company to develop.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88"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firmonertinib or any other current or future product candidates will depend upon the degree of market acceptance of such product candidates by healthcare providers, product recipients, healthcare payors and others in the medical community. If firmonertinib or any other current or future product candidates fail to achieve the broad degree of adoption by the medical community necessary for commercial success, our operating results and financial condition will be adversely affected, which may delay, prevent or limit our ability to generate revenue and continue our business.</w:t>
      </w:r>
    </w:p>
    <w:p>
      <w:pPr>
        <w:spacing w:after="0" w:line="186"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Even if firmonertinib or any other current or future product candidates receive regulatory approval, they may not be commercially successful and may not gain market acceptance among healthcare providers, individuals within our target population, healthcare payors or the medical community. The commercial success of firmonertinib or any other current or future product candidates will depend significantly on the broad adoption and use of the resulting product by these individuals and organizations for approved indications. The degree of market acceptance of our products will depend on a number of factors, including:</w:t>
      </w:r>
    </w:p>
    <w:p>
      <w:pPr>
        <w:spacing w:after="0" w:line="187"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compliant, timely and secure product distribution networks;</w:t>
      </w:r>
    </w:p>
    <w:p>
      <w:pPr>
        <w:spacing w:after="0" w:line="117"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53"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potential future collaborators’ sales and marketing strategies;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If firmonertinib or any other current or future product candidate is approved for marketing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76"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firmonertinib or any other current or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8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firmonertinib, our other product candidates, and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w:t>
      </w:r>
    </w:p>
    <w:p>
      <w:pPr>
        <w:spacing w:after="0" w:line="192"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64"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European Union or elsewhere will be available, or at an acceptable level, for any product that we may develop, and any reimbursement that may become available may be decreased or eliminated in the future.</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Even if we are successful in demonstrating improved efficacy or improved convenience of administration with our future products, pricing of existing drugs may limit the amount we will be able to charge for our products. Increasingly, other third-party payors are requiring that drug companies provide them with predetermined discounts from list prices and are challenging the prices charged for medical products.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future products and may not be able to obtain a satisfactory financial return on products that we may develop.</w:t>
      </w:r>
    </w:p>
    <w:p>
      <w:pPr>
        <w:spacing w:after="0" w:line="194"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Medicaid programs, play an important role in determining the extent to which new drugs will be covered. Some third-party payors may require pre-approval of coverage for new or innovative drugs before they will reimburse healthcare providers who use such therapies. It is difficult to predict at this time what third-party payors will decide with respect to the coverage and reimbursement for firmonertinib, our other product candidates and any future product candidates, if approved.</w:t>
      </w:r>
    </w:p>
    <w:p>
      <w:pPr>
        <w:spacing w:after="0" w:line="16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w:t>
      </w:r>
    </w:p>
    <w:p>
      <w:pPr>
        <w:spacing w:after="0" w:line="18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Additionally, the IRA authorized the CMS to negotiate drug prices annually for a select number of single source Medicare Part D drugs without generic competition starting in payment year 2026, and to negotiate drug prices for a select number of Medicare Part B drugs starting for payment year 2028. If a drug product is selected by CMS for negotiation, it is expected that the revenue generated from such drug will decrease. CMS has begun to implement these new statutory requirements but their impact on the biopharmaceutical industry in the United States remains uncertain, in part due to several pending federal lawsuits challenging the constitutionality of the program. The outcome of such ongoing lawsuits, as well as potential legislative changes enacted by Congress or programmatic changes implemented at CMS by the Trump Administration, may impact the IRA drug price negotiation program in the future. We cannot be sure that coverage and reimbursement will be available for any product that we commercialize in the future and, if reimbursement is available, what the level of reimbursement will be.</w:t>
      </w:r>
    </w:p>
    <w:p>
      <w:pPr>
        <w:spacing w:after="0" w:line="194"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Outside of the United States, international biopharmaceutical sales are generally subject to extensive governmental price controls and other market regulations, and we believe the increasing emphasis on cost-containment initiatives in Europe and other countries has and will continue to put pressure on the pricing and usage of our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if any, the reimbursement for our products may be reduced compared with the United States and may be insufficient to generate commercially reasonable revenue and profits.</w:t>
      </w:r>
    </w:p>
    <w:p>
      <w:pPr>
        <w:spacing w:after="0" w:line="18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if approved,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spacing w:after="0" w:line="179"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commercialize technologies or product candidates more rapidly than we do, or their technologies or product candidates are more effective, safer, or less expensive than firmonertinib, our other product candidates, and any future product candidates we develop, our business and our ability to develop and successfully commercialize products will be adversely affected.</w:t>
      </w:r>
    </w:p>
    <w:p>
      <w:pPr>
        <w:spacing w:after="0" w:line="180"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The biopharmaceutical industry is characterized by rapid advancing technologies, intense competition and a strong emphasis on proprietary and novel products and product candidates. Our competitors have developed, are developing 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may develop products, product candidates and processes competitive with firmonertinib. Firmonertinib, our other product candidates,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and other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19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current and future competition for resources and eventually for customers comes from companies that are commercializing or developing candidates targeting EGFRm-positive NSCLC, including, but not limited to, AstraZeneca, Johnson &amp; Johnson, Blossom Hill Therapeutics, Dizal Pharmaceutical, Oric Pharmaceuticals, Black Diamond Therapeutics, Inc., Cullinan Therapeutics, Inc.,Taiho Pharmaceutical Co., Ltd., Boehringer Ingelheim and Bayer AG. In March 2024 and October 2024, chemotherapy in combination with the anti-EGFR anti-MET bispecific antibody amivantamab was approved in the United States and Europe, respectively, for first line EGFRm NSCLC patients with exon 20 insertion mutations. In October 2023, Johnson &amp; Johnson presented the results of the Phase 3 PAPILLON study of chemotherapy in combination with the anti-EGFR anti-MET bispecific antibody amivantamab in first-line NSCLC patents with EGFR exon 20 insertion mutations, and announced in July 2023 that the PAPILLON study met its primary endpoint. In October 2023, Dizal Pharmaceutical and Oric Pharmaceuticals provided updates on their oral EGFR inhibitors sunvozertinib and ORIC-114, respectively, each of which is being studied in Phase 1 trials in first-line NSCLC patients with EGFR exon 20 insertion mutations. In January 2025, Taiho Therapeutics and Cullinan Therapeutics announced that their study of the oral EGFR inhibitor zipalertinib met the primary endpoint in a phase 2B clinical trial of patents in second or later line NSCLC patients with EGFR exon 20 insertion mutations.</w:t>
      </w:r>
    </w:p>
    <w:p>
      <w:pPr>
        <w:spacing w:after="0" w:line="19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firmonertinib or any other current or future product candidate, we will face competition based on many different factors, including the safety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Competing products may render firmonertinib or any other current or future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 See “Business — Competition.”</w:t>
      </w:r>
    </w:p>
    <w:p>
      <w:pPr>
        <w:spacing w:after="0" w:line="188"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limited marketing and no market access or sales organizations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8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limited marketing and no internal sales or distribution capabilities, nor have we commercialized a product. If firmonertinib or any other current or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monitor compliance on an ongoing basis,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effectively manage a geographically dispersed sales and marketing team. Any failure or delay in the development of our internal sales, marketing and distribution capabilities would adversely impact the commercialization of these products. We compete with many companies that currently have extensive, experienced and well-funded market access, marketing and sales operations to recruit, hire, train and retain marketing and sales personnel, and will have to compete with those companies to recruit, hire, train and retain any of our own market access, marketing and sales personnel. If we are unable to expand our sales and marketing team, we may be unable to compete successfully against these more established companies.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83"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firmonertinib and any other current or future product candidates are smaller than we believe they are, our revenue may be adversely affected, and our business may suffer.</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precise incidence and prevalence for the various mutations of NSCLC we aim to address with firmonertinib or any other current or future product candidates are unknown. Our projections of both the number of people who have EGFRm NSCLC or other diseases we target, as well as the subset of people with these diseases who have the potential to benefit from treatment with our product candidates, are based on a number of internal and third-party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The total addressable market across all of the potential indications for firmonertinib, our other product candidates, and any future product candidates will ultimately depend upon, among other things, the diagnosis criteria included in the final label for each such product candidate which receives marketing approval for these indications, the availability of alternative treatments and the safety, convenience, cost and efficacy of such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and results of operations.</w:t>
      </w:r>
    </w:p>
    <w:p>
      <w:pPr>
        <w:spacing w:after="0" w:line="187"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firmonertinib, our other product candidates, and any future product candidates in foreign markets. We are not permitted to market or promote any product candidate before we receive regulatory approval from applicable regulatory authorities in foreign markets, and we may never receive such regulatory approvals for firmonertinib or any other current or future product candidates. To obtain separate regulatory approval in many other countries we must comply with numerous and varying regulatory requirements regarding safety and efficacy and governing, among other things, clinical trials, commercial sales, pricing and distribution of firmonertinib, our other product candidates and any future product candidates. Approval procedures may be more onerous than those in the United States and may require that we conduct additional nonclinical studies or clinical trials. If we obtain regulatory approval of product candidates and ultimately commercialize our products in foreign markets, we would be subject to additional risks and uncertainties, including:</w:t>
      </w:r>
    </w:p>
    <w:p>
      <w:pPr>
        <w:spacing w:after="0" w:line="194"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with respect to manufacturing, packaging or distribution of products;</w:t>
      </w:r>
    </w:p>
    <w:p>
      <w:pPr>
        <w:spacing w:after="0" w:line="117"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53"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identify, acquire, develop or commercialize new potential product candidates.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Part of our business strategy is to expand our product candidate pipeline by identifying and validating new product candidates, which we may develop ourselves, in-license or otherwise acquire from others. In addition, in the event that our existing product candidates do not receive regulatory approval or are not successfully commercialized, then the success of our business will depend on our ability to expand our product pipeline through internal development, in-licensing or other acquisitions. We may be unable to identify relevant product candidates. If we do identify such product candidates, we may be unable to reach acceptable terms with any third party from which we desire to in-license or acquire them. Any product candidates we identify, acquire, in-license, develop, or manufacture may not be safe or effective for their targeted diseases, and may not receive marketing authorization in a timely manner, or at all.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6" w:lineRule="exact"/>
        <w:rPr>
          <w:sz w:val="20"/>
          <w:szCs w:val="20"/>
          <w:color w:val="auto"/>
        </w:rPr>
      </w:pPr>
    </w:p>
    <w:p>
      <w:pPr>
        <w:ind w:left="720" w:right="41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firmonertinib or any other current or future product candidates, which may change from time to time;</w:t>
      </w:r>
    </w:p>
    <w:p>
      <w:pPr>
        <w:spacing w:after="0" w:line="67" w:lineRule="exact"/>
        <w:rPr>
          <w:rFonts w:ascii="Times New Roman" w:cs="Times New Roman" w:eastAsia="Times New Roman" w:hAnsi="Times New Roman"/>
          <w:sz w:val="18"/>
          <w:szCs w:val="18"/>
          <w:color w:val="auto"/>
        </w:rPr>
      </w:pPr>
    </w:p>
    <w:p>
      <w:pPr>
        <w:jc w:val="both"/>
        <w:ind w:left="720" w:right="25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firmonertinib or other current or any future product candidates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firmonertinib or any other current or future product candidates, if approved,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720" w:right="85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similar agreement; and</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9"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are a clinical-stage company, and, as of December 31, 2024, had 52 full-time employees. We are highly dependent on the research and development, clinical and business development expertise of our executive officers, as well as the other principal members of our management, scientific and clinical team. Although we have entered into offer letters with our executive officers, each of them may terminate his or her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w:t>
      </w:r>
    </w:p>
    <w:p>
      <w:pPr>
        <w:spacing w:after="0" w:line="18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company culture and continuing to attract or retain qualified management and scientific and clinical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organization, and we may encounter difficulties in managing our growth and expanding our operations successfully, which could disrupt our operations.</w:t>
      </w:r>
    </w:p>
    <w:p>
      <w:pPr>
        <w:spacing w:after="0" w:line="159"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2024, we had 52 full-time employees. As we continue development and pursue the potential commercialization of firmonertinib, our other product candidates and any future product candidates, as well as continue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function as a public company, we will need to expand our financial, accounting, development, regulatory, manufacturing, information technology, marketing and sales capabilities or contract with third parties to provide these capabilities for us. We may have difficulty identifying, hiring and integrating new personnel. The expansion of our operations may lead to significant costs and may divert the attention of our management and business development resources away from day-to-day activities and devote a substantial amount of time to managing internal or external growth. As our operations expand, we expect that we will need to manage additional relationships with various strategic partners, suppliers and other third parties and we may not be successful in doing so. Our future financial performance and our ability to develop and commercialize firmonertinib, our other product candidates and any future product candidates and to compete effectively will depend, in part, on our ability to manage any future growth effectively.</w:t>
      </w:r>
    </w:p>
    <w:p>
      <w:pPr>
        <w:spacing w:after="0" w:line="184"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expose us to criminal sanctions, civil and administrative penalties, contractual damages, reputational harm and diminished profits and future earnings, among other penalties, any of which could harm our results of operations and financial condition.</w:t>
      </w:r>
    </w:p>
    <w:p>
      <w:pPr>
        <w:spacing w:after="0" w:line="18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183" w:lineRule="exact"/>
        <w:rPr>
          <w:sz w:val="20"/>
          <w:szCs w:val="20"/>
          <w:color w:val="auto"/>
        </w:rPr>
      </w:pPr>
    </w:p>
    <w:p>
      <w:pPr>
        <w:ind w:left="720" w:right="199" w:hanging="319"/>
        <w:spacing w:after="0" w:line="255"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720" w:right="119" w:hanging="319"/>
        <w:spacing w:after="0" w:line="254"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83" w:lineRule="exact"/>
        <w:rPr>
          <w:rFonts w:ascii="Times New Roman" w:cs="Times New Roman" w:eastAsia="Times New Roman" w:hAnsi="Times New Roman"/>
          <w:sz w:val="18"/>
          <w:szCs w:val="18"/>
          <w:color w:val="auto"/>
        </w:rPr>
      </w:pPr>
    </w:p>
    <w:p>
      <w:pPr>
        <w:ind w:left="720" w:right="139" w:hanging="319"/>
        <w:spacing w:after="0" w:line="274" w:lineRule="auto"/>
        <w:tabs>
          <w:tab w:leader="none" w:pos="7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Times New Roman" w:cs="Times New Roman" w:eastAsia="Times New Roman" w:hAnsi="Times New Roman"/>
          <w:sz w:val="17"/>
          <w:szCs w:val="17"/>
          <w:color w:val="auto"/>
        </w:rPr>
      </w:pPr>
    </w:p>
    <w:p>
      <w:pPr>
        <w:ind w:left="720" w:right="119" w:hanging="319"/>
        <w:spacing w:after="0" w:line="255"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279" w:hanging="319"/>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ind w:left="720" w:right="99" w:hanging="319"/>
        <w:spacing w:after="0" w:line="25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or local laws that require biotechnology companies to comply with the biopharmaceutical industry’s voluntary compliance guidelines and the relevant compliance guidance promulgated by the federal government to report information related to payments and other transfers of value to physicians and other healthcare providers or marketing expenditures; to report information on the pricing of certain drug products; and the registration of pharmaceutical sales representatives doing business within the jurisdiction, among other potentially applicable state and local laws and regulations.</w:t>
      </w:r>
    </w:p>
    <w:p>
      <w:pPr>
        <w:spacing w:after="0" w:line="18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193"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firmonertinib, our other product candidates, and any future product candidates and may affect the prices we may set.</w:t>
      </w:r>
    </w:p>
    <w:p>
      <w:pPr>
        <w:spacing w:after="0" w:line="175"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For example, in March 2010, the ACA was enacted in the United States.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spacing w:after="0" w:line="18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on March 11, 2021, the American Rescue Plan Act of 2021 was signed into law, which eliminated the statutory cap on the Medicaid drug rebate, set at 100% of a drug’s average manufacturing price, beginning January 1, 2024.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1" w:lineRule="auto"/>
        <w:rPr>
          <w:sz w:val="20"/>
          <w:szCs w:val="20"/>
          <w:color w:val="auto"/>
        </w:rPr>
      </w:pPr>
      <w:r>
        <w:rPr>
          <w:rFonts w:ascii="Times New Roman" w:cs="Times New Roman" w:eastAsia="Times New Roman" w:hAnsi="Times New Roman"/>
          <w:sz w:val="18"/>
          <w:szCs w:val="18"/>
          <w:color w:val="auto"/>
        </w:rPr>
        <w:t>reimbursement methodologies for products. Most recently, the IRA introduced a number of significant drug pricing reforms, including the establishment of a drug price negotiation program within the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The program being implemented by HHS is currently the subject of several federal lawsuits, and its ultimate form remains uncertain. Additional drug pricing proposals could also appear in future legislation as the Trump Administration and the 119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Congress begin to develop and articulate policy proposals related to prescription drug pricing and the biopharmaceutical industry more broadly.</w:t>
      </w:r>
    </w:p>
    <w:p>
      <w:pPr>
        <w:spacing w:after="0" w:line="197"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 care and pharmaceutical supply chain, an important decision that had led to further and more aggressive efforts by states in this area. The FTC in mid-2022 also launched sweeping investigations into the practices of the PBM industry, and published interim reports with its findings in mid-2024 and January 2025, that could lead to additional federal and state legislative or regulatory proposals targeting such entities’ operations, pharmacy networks, or financial arrangements, including in the current 2025-2026 congressional session where PBM reform continues to be a bipartisan priority. During the previous congressional session, numerous PBM reforms were considered in both the Senate and the House of Representatives; they included diverse legislative proposals such as eliminating rebates; divorcing service fees from the price of a drug, discount, or rebate; prohibiting spread pricing; limiting administrative fees; requiring PBMs to report formulary placement rationale; promoting transparency. Significant efforts to change the PBM industry as it currently exists in the U.S. may affect the entire pharmaceutical supply chain and the business of other stakeholders, including innovative drug product developers like us. Legally mandated price controls on payment amounts by third-party payors or other restrictions, if enacted and applicable to any of our future commercial products,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firmonertinib, our other product candidates, and any future product candidates, if approved, or put pressure on our product pricing, which could negatively affect our business, results of operations, financial condition and prospects.</w:t>
      </w:r>
    </w:p>
    <w:p>
      <w:pPr>
        <w:spacing w:after="0" w:line="206"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firmonertinib, our other product candidates and any future product candidates, if approved.</w:t>
      </w:r>
    </w:p>
    <w:p>
      <w:pPr>
        <w:spacing w:after="0" w:line="18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delay or cease commercialization of any products we may develop.</w:t>
      </w:r>
    </w:p>
    <w:p>
      <w:pPr>
        <w:spacing w:after="0" w:line="159"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trials of firmonertinib, our other product candidates, and any future product candidates and will face an even greater risk if we commercialize our product candidates, especially if our products are prescribed for off-label uses, even if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may be brought against us by clinical trial participants, patients or others using,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administering or selling products that may be approved in the future. Claims could also be asserted under state consumer protection acts.</w:t>
      </w:r>
    </w:p>
    <w:p>
      <w:pPr>
        <w:spacing w:after="0" w:line="162" w:lineRule="exact"/>
        <w:rPr>
          <w:sz w:val="20"/>
          <w:szCs w:val="20"/>
          <w:color w:val="auto"/>
        </w:rPr>
      </w:pPr>
    </w:p>
    <w:p>
      <w:pPr>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spacing w:after="0" w:line="158"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future products;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our management’s time and our resources;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any injured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firmonertinib or any other current or future product candidates;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2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currently hold approximately $10.0 million in product liability insurance coverage in the aggregate. We may need to increase our insurance coverage as we expand our clinical trials or if we commence commercialization of firmonertinib or any other current or future product candidates. Insurance coverage is increasingly expensive. Our inability to obtain and retain sufficient product liability insurance at an acceptable cost to protect against potential product liability claims could prevent or inhibit the commercialization of firmonertinib or any other current or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59"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We do not carry insurance for all categories of risk that our business may encounter. Some of the policies we currently maintain include property, general liability, employment benefits liability, workers’ compensation, products liability, malicious invasion of our electronic systems,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U.S. and foreign laws, regulations, and rules, as well as contractual obligations, and policies related to data privacy and data protection. Our, or those of collaborators or other third parties on which we rely,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collect and process personal data and other sensitive information, including proprietary and confidential business data, trade secrets, employee data, intellectual property, data we collect about trial participants in connection with clinical trials, and other sensitive third-party data. Our data processing activities may subject us to numerous privacy and data protection obligations, such as various laws, regulations, guidance, industry standards, external and internal privacy and security policies, contractual requirements, and other obligations relating to privacy and data protection.</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Various federal, state, local and foreign legislative and regulatory bodies, or self-regulatory organizations, may expand or amend current laws, rules or regulations, enact new laws, rules or regulations or issue revised rules or guidance regarding privacy and data protection. In the United States, federal, state, and local governments have enacted numerous privacy and data protection laws, including data breach notification laws, personal data privacy laws, consumer protection laws, e.g., Section 5 of the Federal Trade Commission Act, and other similar laws, e.g., wiretapping laws. HIPAA, as amended by the Health Information Technology for Economic and Clinical Health Act of 2009 and their respective implementing regulations (collectively, HIPAA), imposes certain privacy and security requirements for individually identifiable health information on certain entities, namely certain healthcare providers, health plans, and healthcare clearinghouses (covered entities) and their respective “business associates” who directly or as a subcontractor provide services involving the creation, use, maintenance or disclosure of individually identifiable health information on covered entities’ behalf. As a clinical trial sponsor, we are not directly subject to HIPAA, but we do have relationships with providers and other entities subject to the law and thus must structure those relationships in a manner consistent with HIPAA requirements. If any of the physicians or other health care providers or entities with whom we expect to do business are found to be not in compliance with HIPAA or other applicable privacy laws, they may be subject to criminal, civil or administrative sanctions, including exclusions from government funded health care programs. If regulatory authorities challenge our activities, or those of a collaborator or other third party on which we rely, under HIPAA or other privacy laws applicable to the privacy and security of health information, any such challenge could have a material adverse effect on our reputation, business, results of operations and financial condition. Any investigation of or enforcement against us or the third parties with whom we contract, including a research collaborator, regardless of the outcome, would be costly and time consuming, and may negatively affect our ability to conduct clinical trials, results of operations and financial condition.</w:t>
      </w:r>
    </w:p>
    <w:p>
      <w:pPr>
        <w:spacing w:after="0" w:line="18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Other federal and state laws establish additional requirements for protecting the privacy and security of health information that is not protected by HIPAA. For instance, Washington state recently passed the “My Health My Data” Act, which came into force in 2024 and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Parts 46, 50 and 56. Notably, the “My Health My Data” Act contains a private right of action. In addition, Nevada recently enacted a consumer health data privacy bill, SB 370, which also took effect in 2024, and regulates “consumer health data.” SB 370 shares many similarities with Washington’s “My Health My Data” Act, and Connecticut recently amended its comprehensive privacy law to include heighted regulation of “consumer health data.” Additional states may adopt health-specific privacy laws that could impact our business activities and our collection and handling of health-related data.</w:t>
      </w:r>
    </w:p>
    <w:p>
      <w:pPr>
        <w:spacing w:after="0" w:line="192" w:lineRule="exact"/>
        <w:rPr>
          <w:sz w:val="20"/>
          <w:szCs w:val="20"/>
          <w:color w:val="auto"/>
        </w:rPr>
      </w:pPr>
    </w:p>
    <w:p>
      <w:pPr>
        <w:ind w:left="60" w:right="259" w:firstLine="324"/>
        <w:spacing w:after="0" w:line="273" w:lineRule="auto"/>
        <w:rPr>
          <w:sz w:val="20"/>
          <w:szCs w:val="20"/>
          <w:color w:val="auto"/>
        </w:rPr>
      </w:pPr>
      <w:r>
        <w:rPr>
          <w:rFonts w:ascii="Times New Roman" w:cs="Times New Roman" w:eastAsia="Times New Roman" w:hAnsi="Times New Roman"/>
          <w:sz w:val="17"/>
          <w:szCs w:val="17"/>
          <w:color w:val="auto"/>
        </w:rPr>
        <w:t>More broadly, various U.S. states now regulate the processing of personal data. For example, California was the first of an ever-increasing number of states to enact comprehensive state privacy legislation with the California Consumer Privacy Act (CCPA), which went into effect in January of 2020. The CCPA established a privacy framework for covered businesses by creating an expanded definition of personal data, establishing data privacy rights for California residents, requiring covered businesses to provide disclosures to California residents, and creating a statutory damages framework with the potential for severe damages for violations of the CCPA and for businesses that fail to implement reasonable security procedures and practices to prevent data breaches, as well as a private right of action for certain data breaches.</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Additionally, in 2020 California voters passed the California Privacy Rights Act of 2020 (CPRA), which went into effect on January 1, 2023. The CPRA significantly amends and expands the CCPA, such as granting additional rights to California residents, including the right to correct personal data and additional opt-out rights. Among other things, the CPRA also establishes a regulatory agency, the California Privacy Protection Agency, which enacts new regulations under the CCPA and has expanded enforcement authority. In 2023, comprehensive privacy laws in Virginia, Colorado, Connecticut, and Utah all took effect, and laws in Montana, Oregon, and Texas took effect during 2024. Laws in a number of other U.S. states took effect, or are set to take effect, in 2025, in 2026, and beyond. Additional U.S. states have proposals under consideration, all of which are likely to increase our regulatory compliance costs and risks, exposure to regulatory enforcement action, and other liabilities. While these state privacy laws, such as the CCPA, contain exemptions for certain types of personal data, such as personal data processed in the context of clinical trials, these laws may further complicate compliance efforts, and increase legal risk and compliance costs for us and the third parties upon whom we rely. The scope and enforcement of these laws is uncertain and evolving. In addition to government activity, privacy advocacy groups and technology and other industries are considering various new, additional or different self-regulatory standards that may place additional burdens on us.</w:t>
      </w:r>
    </w:p>
    <w:p>
      <w:pPr>
        <w:spacing w:after="0" w:line="19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data as well. For example, the European Parliament and the Council of the European Union adopted a comprehensive general data privacy framework called the General Data Protection Regulation (GDPR), which went into effect in 2018 and implemented a broad data protection framework that expanded the scope of EU data protection law, and applies to entities located inside and outside of the EU that process, or control the processing of, personal data relating to individuals located in the EU, including clinical trial data. The GDPR also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In particular, medical or health data, and genetic and biometric data used to uniquely identify an individual, are all classified as “special category” data under the GDPR and are subject to heightened restrictions and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EU member states continue to reframe their national legislation to harmonize with the GDPR, we will need to monitor compliance with all relevant EU member states’ laws and regulations, including where permitted derogations from the GDPR are introduced, all of which could limit our ability to collect, use and share EU data, and could cause our compliance costs to increase, ultimately adversely affecting our business, financial condition, results of operations and prospects.</w:t>
      </w:r>
    </w:p>
    <w:p>
      <w:pPr>
        <w:spacing w:after="0" w:line="19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Relatedly, following Brexit and the expiry of the Brexit transition period, which ended on December 31, 2020, the EU GDPR has been implemented in the United Kingdom (as the UK GDPR). The UK GDPR sits alongside the United Kingdom Data Protection Act 2018 which implements certain derogations in the EU GDPR into United Kingdom law. Under the UK GDPR, companies not established in the United Kingdom but who process personal data in relation to the offering of goods or services to individuals in the United Kingdom , or to monitor their behavior will be subject to the UK GDPR – the requirements of which are (at this time) largely aligned with those under the GDPR and as such, may lead to similar compliance and operational costs with potential fines of up to £17.5 million or 4% of global turnover.</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Transfers of personal data to certain countries outside of the EU and the UK are also highly regulated under the GDPR and UK GDPR. For example, the GDPR only permits exports of personal data outside of the EU to “non-adequate” countries where there is a suitable data transfer mechanism in place to safeguard personal data (e.g., the EU Commission approved Standard Contractual Clauses or certification under the Data Privacy Framework). On July 16, 2020, the Court of Justice of the EU, or the CJEU, issued a landmark opinion in the case Maximilian Schrems vs. Facebook (Case C-311/18) (Schrems II). This decision called into question certain data transfer mechanisms as between the EU member states and the U.S. The CJEU is the highest court in Europe and the Schrems II decision heightened the burden to assess U.S. national security laws on their business, and future actions of EU data protection authorities are difficult to predict at this time. While the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w:t>
      </w:r>
    </w:p>
    <w:p>
      <w:pPr>
        <w:spacing w:after="0" w:line="18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addition to privacy and data protection laws in the U.S, E.U, and U.K,, various other international jurisdictions in which we operate have established legal frameworks relating to privacy, data protection, and information security matters to which we may also be subject. For example, we are also subject to laws in China. Under the Cybersecurity Law of the People’s Republic of China (China’s Cybersecurity Law), any collection, use, transfer and storage of personal information of a Chinese citizen through a network by the network operator should be based on the three principles of legitimacy, justification and necessity and requires the consent of the data subject. The rules, purposes, methods and ranges of such collection should also be disclosed to the data subject. China’s data localization requirements are becoming increasingly common in sector-specific regulations, and laws including data localization requirements exist in many of the other jurisdictions in which we operate. For example, China’s Cybersecurity Law requires operators of critical information infrastructure (CIIOs) to store personal information and important data collected and generated from the critical information infrastructure within China. Non-compliance with China’s Cybersecurity Law can result in fines for the relevant entity as well as for the personnel directly responsible. On September 14, 2022, the Cyberspace Administration of China (CAC), China’s top cybersecurity regulator, released new amendments to China’s Cybersecurity Law for public consultation and if the amendments are passed, the amended law will increase the penalties for violations of cybersecurity obligations under the Cybersecurity Law to up to RMB 50 million, in line with those under the Data Security Law and PIPL.</w:t>
      </w:r>
    </w:p>
    <w:p>
      <w:pPr>
        <w:spacing w:after="0" w:line="19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Building on this, China’s Data Security Law (Data Security Law) became effective on September 1, 2021. The primary purpose of the Data Security Law is to regulate data activities, safeguard data security, promote data development and usage, protect individuals and entities’ legitimate rights and interests, and safeguard state sovereignty, state security and development interests. The Data Security Law applies extraterritorially, and to a broad range of activities that involve “data” (not only personal or sensitive data). Under the Data Security Law, entities and individuals carrying out data activities must abide by various data security obligations. For example, the Data Security Law proposes to classify and protect data based on the importance of data to the state’s economic development, as well as the degree of harm it will cause to national security, public interests, or legitimate rights and interests of individuals or organizations when such data is tampered with, destroyed, leaked, or illegally acquired or used. The appropriate level of protective measures is required to be taken for each respective class of data. The Data Security Law also echoes the data localization requirement in the Cybersecurity Law and requires important data to be stored locally in China. Such important data may only be transferred outside of China subject to compliance with certain data transfer restrictions, such as passing a security assessment organized by the relevant authorities.</w:t>
      </w:r>
    </w:p>
    <w:p>
      <w:pPr>
        <w:spacing w:after="0" w:line="187" w:lineRule="exact"/>
        <w:rPr>
          <w:sz w:val="20"/>
          <w:szCs w:val="20"/>
          <w:color w:val="auto"/>
        </w:rPr>
      </w:pPr>
    </w:p>
    <w:p>
      <w:pPr>
        <w:ind w:left="60" w:right="419" w:firstLine="324"/>
        <w:spacing w:after="0" w:line="276" w:lineRule="auto"/>
        <w:rPr>
          <w:sz w:val="20"/>
          <w:szCs w:val="20"/>
          <w:color w:val="auto"/>
        </w:rPr>
      </w:pPr>
      <w:r>
        <w:rPr>
          <w:rFonts w:ascii="Times New Roman" w:cs="Times New Roman" w:eastAsia="Times New Roman" w:hAnsi="Times New Roman"/>
          <w:sz w:val="17"/>
          <w:szCs w:val="17"/>
          <w:color w:val="auto"/>
        </w:rPr>
        <w:t>The Cybersecurity Review Measures, which took effect on February 15, 2022 in China, clarify when entities must apply for a mandatory cybersecurity review from the Chinese government authorities. These circumstances include</w:t>
      </w:r>
    </w:p>
    <w:p>
      <w:pPr>
        <w:spacing w:after="0" w:line="1" w:lineRule="exact"/>
        <w:rPr>
          <w:sz w:val="20"/>
          <w:szCs w:val="20"/>
          <w:color w:val="auto"/>
        </w:rPr>
      </w:pPr>
    </w:p>
    <w:p>
      <w:pPr>
        <w:jc w:val="both"/>
        <w:ind w:left="60" w:right="179" w:hanging="10"/>
        <w:spacing w:after="0" w:line="250" w:lineRule="auto"/>
        <w:tabs>
          <w:tab w:leader="none" w:pos="2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CIIOs purchase network products that may affect national security, (ii) when a network platform operator’s data processing activities may affect national security, or (iii) when a network platform operator holds personal information of more than one million individuals and plans on listing publicly outside China. Network platform operators are not defined under the Cybersecurity Review Measures but are understood to be broadly interpreted to include all Internet</w:t>
      </w:r>
    </w:p>
    <w:p>
      <w:pPr>
        <w:spacing w:after="0" w:line="1" w:lineRule="exact"/>
        <w:rPr>
          <w:rFonts w:ascii="Times New Roman" w:cs="Times New Roman" w:eastAsia="Times New Roman" w:hAnsi="Times New Roman"/>
          <w:sz w:val="18"/>
          <w:szCs w:val="18"/>
          <w:color w:val="auto"/>
        </w:rPr>
      </w:pPr>
    </w:p>
    <w:p>
      <w:pPr>
        <w:ind w:left="60" w:right="1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operators or service providers, thus providing for a broad application. A mandatory cybersecurity review is likely to prolong the timeline of any contemplated listing timeline outside China and increase the regulatory compliance burden on entities that are subject to this requirement. At this time, the Company does not act as a network platform operator and does not hold the personal information of more than one million individuals in China, and as such, we do not believe the Company would be subject to the Cybersecurity Review Measures. However, the relevant Chinese authorities have great discretion, and it is generally uncertain as to how they may interpret and enforce the Cybersecurity Review Measures in practice.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Additionally, on August 20, 2021, China announced the Personal Information Protection Law (PIPL), which took effect on November 1, 2021. The PIPL is intended to clarify the scope of application, the definitions of personal information and sensitive personal information, the legality of personal information processing and the basic requirements of notice and consent, among other things. The PIPL also sets out data localization requirements for CIIOs and personal information processors who process personal information above a certain threshold prescribed by the relevant authorities. The PIPL also includes a list of rules which must be complied with prior to the transfer of personal information outside of China, such as compliance with a security assessment or certification by an agency designated by the relevant authorities or entering into standard form model contracts approved by the relevant authorities with the overseas recipient.</w:t>
      </w:r>
    </w:p>
    <w:p>
      <w:pPr>
        <w:spacing w:after="0" w:line="19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July 7, 2022, the CAC issued Security Assessment Measures for Outbound Data Transfers, which became effective on September 1, 2022. The Security Assessment Measures for Outbound Data Transfers clarifies the security assessment requirement under the PIPL and requires a data processor to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one million individuals’ personal information; (iii) where a data processor has cumulatively provided personal information of over 100,000 individuals or sensitive personal information of over 10,000 individuals in total abroad since January 1st of the previous year. Additionally, on November 18, 2022, the CAC and the State Administration of Market Regulation issued the Implementation Rules for Personal Information Protection Certification which apply with immediate effect and which provide important guidance on obtaining a personal information certification for lawful cross-border transfer of personal information under the PIPL.</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Notably, the PIPL, similar to both the GDPR and certain U.S. privacy laws, applies extraterritorially. 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The PIPL also prohibits responsible personnel for violations of the PIPL from holding high level management or data protection officer positions in relevant enterprises.</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to China’s Cybersecurity Law, the Data Security Law and the PIPL, the government agencies of China promulgated several regulations or released a number of draft regulations for public comments which are designed to provide further implemental guidance in accordance with the laws mentioned above. We cannot predict what impact the new laws and regulations or the increased costs of compliance, if any, will have on our operations in China, in particular the Data Security Law or PIPL, or the increased costs of compliance, if any, will have on our operations in China due to their recent enactment and the limited guidance available on their scope and applicability, particularly on PIPL. It is also generally unclear how the laws will be interpreted and enforced in practice by the relevant government authorities as often the abovementioned laws are drafted broadly and thus leaves great discretion to the relevant government authorities to exercise.</w:t>
      </w:r>
    </w:p>
    <w:p>
      <w:pPr>
        <w:spacing w:after="0" w:line="18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also publicly post privacy policies and notices that describe our practices concerning our collection, use, disclosure and other processing of personal data. Although we endeavor to comply with our public-facing privacy policies and notices, we may at times fail to do so or be perceived to have failed to do so, and we may be subject us to enforcement actions if our privacy policies and notices are found to be deceptive, unfair or misrepresentative of our actual practices, which could result in, regulatory inquiries and investigations or adverse publicity and could cause our customers and collaborators to lose trust in us, any of which could adversely affect our business, financial condition, results of operations and prospects.</w:t>
      </w:r>
    </w:p>
    <w:p>
      <w:pPr>
        <w:spacing w:after="0" w:line="18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Applicable data privacy and data protection laws may conflict with each other, and by complying with the laws or regulations of one jurisdiction, the Company may find that it is violating the laws or regulations of another jurisdiction. Despite the Company’s efforts, the Company may not have fully complied in the past and may not in the future. Evolving legal, contractual, and other privacy and data protection obligations, could impose significant limitations, require changes to our business, or restrict our collection, use, storage or processing of personal data, which may increase our compliance expenses and make our business more costly or less efficient to conduct. In addition, any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changes could impact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which, in turn, could adversely affect our business, financial condition, results of operations and prospects. Complying with these numerous, complex and often evolving requirements is expensive and difficult, and suspected and actual failure to comply, whether by us, our service providers, CROs, business partners or other third parties, or any inadvertent or unauthorized access to or use or disclosure of data that we store or handle as part of operating our business, could adversely affect our business, financial condition, results of operations and prospects, including but not limited to: loss of customers; interruptions or stoppages in our business operations (including clinical trials); inability to process personal data or to operate in certain jurisdictions; limit our ability to develop or commercialize our products; expenditure of time and resources;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We may also be contractually required to indemnify and hold harmless third parties.</w:t>
      </w:r>
    </w:p>
    <w:p>
      <w:pPr>
        <w:spacing w:after="0" w:line="197"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79"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clinical sites, or other contractors or consultants upon which we rely, are or were compromised, become unavailable or suffer cybersecurity incidents, loss or leakage of data or other disruptions, we could suffer material adverse consequences resulting from such compromise, including but not limited to, operational or service interruption, harm to our reputation, litigation, fines, penalties and liability, compromise of sensitive information related our business, and other adverse consequences.</w:t>
      </w:r>
    </w:p>
    <w:p>
      <w:pPr>
        <w:spacing w:after="0" w:line="183"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cybersecurity incidents.</w:t>
      </w:r>
    </w:p>
    <w:p>
      <w:pPr>
        <w:spacing w:after="0" w:line="17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information technology systems and those of our CROs,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 Finally, developments in artificial intelligence and machine learning provide threat actors with the capability to use more sophisticated means to attack our systems and may exacerbate cybersecurity risk. There can be no assurance that we will be successful in preventing cybersecurity incidents or successfully mitigating their effects.</w:t>
      </w:r>
    </w:p>
    <w:p>
      <w:pPr>
        <w:spacing w:after="0" w:line="19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payments to the threat actors, but we may be unwilling or unable to do so, including, for example, if applicable laws or regulations prohibit such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Some threat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9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vulnerabilities or risks that were not found during due diligence of such acquired or integrated entities, and it may be difficult to integrate companies into our information technology environment and security program.</w:t>
      </w:r>
    </w:p>
    <w:p>
      <w:pPr>
        <w:spacing w:after="0" w:line="183"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183"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79"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w:t>
      </w:r>
    </w:p>
    <w:p>
      <w:pPr>
        <w:spacing w:after="0" w:line="2" w:lineRule="exact"/>
        <w:rPr>
          <w:sz w:val="20"/>
          <w:szCs w:val="20"/>
          <w:color w:val="auto"/>
        </w:rPr>
      </w:pPr>
    </w:p>
    <w:p>
      <w:pPr>
        <w:ind w:left="60" w:right="459"/>
        <w:spacing w:after="0" w:line="260" w:lineRule="auto"/>
        <w:rPr>
          <w:sz w:val="20"/>
          <w:szCs w:val="20"/>
          <w:color w:val="auto"/>
        </w:rPr>
      </w:pPr>
      <w:r>
        <w:rPr>
          <w:rFonts w:ascii="Times New Roman" w:cs="Times New Roman" w:eastAsia="Times New Roman" w:hAnsi="Times New Roman"/>
          <w:sz w:val="18"/>
          <w:szCs w:val="18"/>
          <w:color w:val="auto"/>
        </w:rPr>
        <w:t>A cybersecurity incident or other interruption could disrupt our ability, and that of third parties upon whom we rely, to provide our products and services and conduct clinical trials.</w:t>
      </w:r>
    </w:p>
    <w:p>
      <w:pPr>
        <w:spacing w:after="0" w:line="181"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3"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recover or reproduce the data or may limit our ability to effectively execute a product recall, if required in the future. To the extent that any disruption or cybersecurity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regulatory authorities and other individuals of cybersecurity incidents, and take other remedial measures.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spacing w:after="0" w:line="190"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timelines and plans are subject to risks arising from epidemic or pandemic diseases.</w:t>
      </w:r>
    </w:p>
    <w:p>
      <w:pPr>
        <w:spacing w:after="0" w:line="15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adversely affected by public health threats, including epidemics and pandemics, that disrupt our commercial operations, supply chains, clinical trials, and other essential activities.COVID-19, which is no longer considered a public health emergency both globally and in the United States, presented substantial public health and economic challenges and affected our employees, patients, physicians and other healthcare providers, communities and business operations, as well as the U.S. and global economies and financial markets. During the COVID-19 pandemic, international and U.S. governmental authorities in impacted regions took multiple and diverse actions in an effort to slow the spread of COVID-19 and variants of the virus, including issuing varying forms of “stay-at-home” orders. Such measures taken by the governmental authorities to respond to any future epidemic or pandemic disease outbreaks could disrupt the supply chain and the manufacture or shipment of drug substances and finished drug products for firmonertinib and our other product candidates for use in our clinical trials and research and nonclinical studies and, delay, limit or prevent our employees and CROs from continuing research and development activities, impede our clinical trial initiation and recruitment and the ability of patients to continue in clinical trials, including due to measures taken that may limit social interaction or prevent reopening of high-transmission settings, impede testing, monitoring, data collection and analysis and other related activities, any of which could delay our nonclinical studies and clinical trials and increase our development costs, and have a material adverse effect on our business, financial condition and results of operations. Any future epidemic or pandemic disease outbreak could also potentially further affect the business of the FDA, the European Medicines Agency (EMA) or other comparable regulatory authorities, which could result in delays in meetings related to our planned clinical trials. Any future epidemic disease outbreak may have an adverse impact on global economic conditions which could have an adverse effect on our business and financial condition, including impairing our ability to raise capital when needed.</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9"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8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w:t>
      </w:r>
    </w:p>
    <w:p>
      <w:pPr>
        <w:spacing w:after="0" w:line="185"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 and insider trading, which could harm our business, financial condition and results of operations.</w:t>
      </w:r>
    </w:p>
    <w:p>
      <w:pPr>
        <w:spacing w:after="0" w:line="17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foreign regulatory authority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w:t>
      </w:r>
    </w:p>
    <w:p>
      <w:pPr>
        <w:spacing w:after="0" w:line="2" w:lineRule="exact"/>
        <w:rPr>
          <w:sz w:val="20"/>
          <w:szCs w:val="20"/>
          <w:color w:val="auto"/>
        </w:rPr>
      </w:pPr>
    </w:p>
    <w:p>
      <w:pPr>
        <w:ind w:left="60" w:right="159" w:hanging="10"/>
        <w:spacing w:after="0" w:line="251" w:lineRule="auto"/>
        <w:tabs>
          <w:tab w:leader="none" w:pos="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prohibit insider trading. Activities subject to these laws also involve the improper use or misrepresentation of information obtained in the course of clinical trials, the creation of fraudulent data in our nonclinical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w:t>
      </w:r>
    </w:p>
    <w:p>
      <w:pPr>
        <w:spacing w:after="0" w:line="194"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17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8"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our initial public offering completed in January 2024 or other ownership changes.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limitations, until such unused losses expire, if at all. At December 31, 2024, we had gross net operating loss (NOL) carryforwards of $67.4 million for federal income tax purposes and $58.8 million for state income tax purposes. Our federal NOL carryforwards will not expire but may generally only be used to offset 80% of taxable income, which may require us to pay federal income taxes in future years despite generating federal NOL carryforwards in prior years. We also had research and development tax credit carryforwards of $7.1 million that will begin to expire in 2041.</w:t>
      </w:r>
    </w:p>
    <w:p>
      <w:pPr>
        <w:spacing w:after="0" w:line="19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our NOL carryforwards and other tax attributes are subject to review and possible adjustment by the Internal Revenue Service (IRS) and state tax authorities. Furthermore, in general, under Section 382 of the U.S. Internal Revenue Code of 1986, as amended (the Code), our federal and state NOL carryforwards and research and development tax credit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determined the amount of the cumulative change in our ownership resulting from our initial public offering completed in January 2024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changes related to our initial public offering completed in January 2024. If we earn taxable income, such limitations could result in increased future income tax liability to us and our future cash flows could be adversely affected. We have recorded a full valuation allowance related to our NOL and credit carryforwards and other deferred tax assets due to the uncertainty of the ultimate realization of the future benefits of those assets.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IRA introduced, among other changes, a 15% corporate minimum tax on certain United States corporations and a 1% excise tax on certain stock redemptions by United States corporations. The U.S. government may enact further significant changes to the taxation of business entities. The likelihood of these changes being enacted or implemented is unclear. We are currently unable to predict the ultimate impact of the IRA or any such further changes on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affect our business and results of operations.</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While inflation in the United States has been relatively low in recent years, from 2021 to 2023, the economy in the United States encountered a material level of inflation. Inflation and fluctuations in inflation rates have had in the past, and may in the future have, negative effects on economies and financial markets, particularly in emerging economies. For example, increases in inflation raise our costs for commodities, labor, materials and services and other costs required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to grow and operate our business, and failure to secure these on reasonable terms may adversely impact our financial condition. Governmental efforts to curb inflation often have negative effects on the level of economic activity. There can be no assurance that inflation will not become a serious problem in the future and have an adverse impact on the Company's returns. The geopolitical developments such as the Russia-Ukraine and Middle East conflicts and global supply chain disruptions continue to increase uncertainty in the outlook of near-term and long-term economic activity, as well as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92"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light of the presidential transition in 2025, global trade disputes may be magnified, including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our financial condition, results of operations or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firmonertinib, our other product candidates or future product candidates or technology, or if the scope of our intellectual property rights is not sufficiently broad, our competitors or other third parties could develop and commercialize products similar or identical to ours, and our ability to successfully commercialize firmonertinib or any other current or future product candidates may be adversely affected.</w:t>
      </w:r>
    </w:p>
    <w:p>
      <w:pPr>
        <w:spacing w:after="0" w:line="18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maintain, enforce, and defend patent rights, trademarks and our proprietary know-how of sufficient scope in the United States and other countries with respect to our product candidates and other proprietary technologies we may develop. If we are unable to obtain, maintain or enforce our intellectual property rights of sufficient scope, our business, financial condition, results of operations and prospects could be materially harmed.</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rely on patent rights in-licensed from Allist to protect firmonertinib, in-licensed from Lepu Biopharma to protect ARR-217 and in-licensed from Aarvik to protect ARR-002. Changes in either the patent laws or their interpretation in the United States and other jurisdictions may diminish our or our licensor’s ability to protect our intellectual property, obtain, maintain and enforce our intellectual property rights and, more generally, could affect the value of our intellectual property or narrow the scope of our protection. We cannot predict whether the patents we have in-licensed from Allist will provide sufficient protection against competitors or other third parties, or if these patents are challenged by our competitors, will be found to be invalid, unenforceable, or not infringed. We also cannot predict whether patent application our licensor is currently pursuing or patent application we may in the future pursue or in-license will issue as patents in any particular jurisdiction.</w:t>
      </w:r>
    </w:p>
    <w:p>
      <w:pPr>
        <w:spacing w:after="0" w:line="18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or our licensors may not be able to file, prosecute, maintain, enforce, or license all necessary or desirable patent applications or reissue applications at a reasonable cost or in a timely manner or in all jurisdictions. It is also possible that we will fail to identify patentable aspects of our research and development output in time to obtain patent protection before public disclosures are made.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or our licensors’ ability to seek patent protection. Consequently, we may not be able to prevent any third party from using any of our technology that is in the public domain to compete with firmonertinib, other current product candidates, and any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claimed in any of our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Composition of matter patents for pharmaceutical product candidates often provide a strong form of intellectual property protection for those types of products, as such patents provide protection without regard to any method of use. We cannot be certain that the claims covering compositions of matter in any of our issued or reissued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Any issued patents may not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license or may license or own covering our firmonertinib or any other current or future product candidates could be narrowed or found invalid or unenforceable if challenged in court or before administrative bodies in the United States or other countries, including the United States Patent and Trademark Office (USPTO). Also, patent terms, including any extensions or adjustments that may or may not be available to us, may be inadequate to protect our competitive position on our product candidates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product candidates.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w:t>
      </w:r>
    </w:p>
    <w:p>
      <w:pPr>
        <w:spacing w:after="0" w:line="20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narrowed before the corresponding patent is granted. Even if our owned or in-licensed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Our competitors or other third parties may avail themselves of safe harbors under the Drug Price Competition and Patent Term Restoration Act of 1984 (Hatch-Waxman Amendments) to conduct research and clinical trials. Consequently, we do not know whether firmonertinib or any of our other current or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current and future product candidates, patents protecting the product candidates might expire before or shortly after such product candidates are commercialized. As a result, our patents may not provide us with sufficient rights to exclude others from commercializing products similar or identical to ours.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in-licensed patents or patents we may own in the future. Such submissions may also be made prior to a patent’s issuance, precluding the granting of a patent based on one of our owned or licensed pending patent applications.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and inter partes review or interference proceedings and other similar proceedings in foreign jurisdictions challenging the validity, priority or other features of patentability of our patent rights. An adverse determination in any such submission, proceeding or litigation could reduce the scope of, or invalidate or render unenforceable, our patent rights, allow third parties to commercialize our product candidates and other proprietary technologies we may develop and compete directly with us, without payment to us, or result in our inability to manufacture or commercialize our products without infringing third-party patent rights. Such proceedings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6" w:lineRule="exact"/>
        <w:rPr>
          <w:sz w:val="20"/>
          <w:szCs w:val="20"/>
          <w:color w:val="auto"/>
        </w:rPr>
      </w:pPr>
    </w:p>
    <w:p>
      <w:pPr>
        <w:ind w:left="60" w:right="99" w:firstLine="324"/>
        <w:spacing w:after="0" w:line="273" w:lineRule="auto"/>
        <w:rPr>
          <w:sz w:val="20"/>
          <w:szCs w:val="20"/>
          <w:color w:val="auto"/>
        </w:rPr>
      </w:pPr>
      <w:r>
        <w:rPr>
          <w:rFonts w:ascii="Times New Roman" w:cs="Times New Roman" w:eastAsia="Times New Roman" w:hAnsi="Times New Roman"/>
          <w:sz w:val="17"/>
          <w:szCs w:val="17"/>
          <w:color w:val="auto"/>
        </w:rPr>
        <w:t>Moreover, some of our patent rights are, and may in the future be, co-owned with third parties, including Allist. In the United States, each co-owner has the freedom to license and exploit the technology. If we are unable to obtain an exclusive license to any such third-party co-owners’ interest in such patent rights, such co-owners may be able to license their rights to other third parties without our consent,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w:t>
      </w:r>
    </w:p>
    <w:p>
      <w:pPr>
        <w:spacing w:after="0" w:line="167" w:lineRule="exact"/>
        <w:rPr>
          <w:sz w:val="20"/>
          <w:szCs w:val="20"/>
          <w:color w:val="auto"/>
        </w:rPr>
      </w:pPr>
    </w:p>
    <w:p>
      <w:pPr>
        <w:jc w:val="both"/>
        <w:ind w:left="60" w:right="1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5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are a party to the Allist License Agreement, the Amended and Restated Aarvik Collaboration Agreement and the Lepu Biopharma Agreement (collectively, License Agreements) under which we are granted rights to intellectual property that are critical to our product candidates and our business and we may enter into additional license agreements in the future with other third parties. The License Agreements impose, and we expect that any future license agreements where we in-license intellectual property, will impose on us, various development, regulatory and/or commercial diligence obligations, payment of milestones and/or royalties and other obligations. We may need to devote substantial time and attention to ensuring that we are compliant with our obligations under such agreements, which may divert management’s time and attention away from our research and development programs or other day-to-day activities. If we fail to comply with our obligations under these agreements, or we are subject to bankruptcy-related proceedings, the licensor may have the right to terminate the license, in which event we would not be able to develop or market products covered by the license, or we may be subject to litigation for breach of these agreements.</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we or our licensors fail to adequately prosecute, maintain and protect our licensed intellectual property, our ability to commercialize our current or any future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9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180" w:lineRule="exact"/>
        <w:rPr>
          <w:sz w:val="20"/>
          <w:szCs w:val="20"/>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any future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62"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technology or our current product candidates or any future product candidates. As a result, any termination of or disputes over our intellectual property licenses could result in the loss of our ability to develop and commercialize our current product candidates or any future product candidates, or we could lose other significant rights, any of which could have a material adverse effect on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covering or relating to our current product candidates and any future product candidates in all countries throughout the world is expensive, and the laws of foreign countries may not protect our intellectual property rights to the same extent as the laws of the United States.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or our licensors’ inventions in all countries outside the United States, or from selling or importing products made using our intellectual property in and into the United States or other jurisdictions. Competitors may use our or our licensors’ intellectual property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6"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are dependent on our licensors to take the necessary action to comply with these requirements with respect to our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or any patents and applications we may own in the future. In certain circumstances, we rely on our licensors to pay these fees due to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90"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jurisdiction. In such an event, potential competitors might be able to enter the relevant markets with similar or identical products or technology, which could have a material adverse effect on our business, financial condition, results of operations and prospects. We are also dependent on our licensors to take the necessary actions to comply with these requirements with respect to our licensed intellectual property.</w:t>
      </w:r>
    </w:p>
    <w:p>
      <w:pPr>
        <w:spacing w:after="0" w:line="176"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their interpretations could diminish the value of patents in general, thereby impairing our ability to protect our products.</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Since March 2013, a third party that files a patent application in the USPTO, but before us or our licensors could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current product candidates or any of our product candidates and other proprietary technologies we may develop or (ii) invent any of the inventions claimed in our patents or patent applications.</w:t>
      </w:r>
    </w:p>
    <w:p>
      <w:pPr>
        <w:spacing w:after="0" w:line="196"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affected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increased the uncertainties and costs surrounding the prosecution of our patent applications and the enforcement or defense of patents issuing from those patent applications, all of which could have a material adverse effect on our business, financial condition, results of operations and prospects.</w:t>
      </w:r>
    </w:p>
    <w:p>
      <w:pPr>
        <w:spacing w:after="0" w:line="19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9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spacing w:after="0" w:line="179"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current product candidates or our future product candidates could be found invalid or unenforceable if challenged in court or before administrative bodies in the United States or abroad.</w:t>
      </w:r>
    </w:p>
    <w:p>
      <w:pPr>
        <w:spacing w:after="0" w:line="15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patent rights may be subject to priority, validity, inventorship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our licensors are unsuccessful in any of these proceedings, such patents and patent applications may be narrowed, invalidated or held unenforceable, we may be required to obtain licenses from third parties, which may not be available on commercially reasonable terms or at all, or we may be required to cease the development, manufacture and commercialization of our current product candidates or future product candidates. Any of the foregoing could have a material adverse effect on our business, financial condition, results of operations and prospects.</w:t>
      </w:r>
    </w:p>
    <w:p>
      <w:pPr>
        <w:spacing w:after="0" w:line="188"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If we or our licensors initiate legal proceedings against a third party to enforce a patent covering our current product candidates or any of our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in such a way that they no longer cover our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current product candidates and any future product candidates. Such a loss of patent protection would have a material adverse impact on our business, financial condition, results of operations and prospects.</w:t>
      </w:r>
    </w:p>
    <w:p>
      <w:pPr>
        <w:spacing w:after="0" w:line="187"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will not be challenged and rendered invalid and/or unenforceable.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pending in-licensed patent applications in our portfolio; however, we cannot predict:</w:t>
      </w:r>
    </w:p>
    <w:p>
      <w:pPr>
        <w:spacing w:after="0" w:line="225" w:lineRule="exact"/>
        <w:rPr>
          <w:sz w:val="20"/>
          <w:szCs w:val="20"/>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53" w:lineRule="exact"/>
        <w:rPr>
          <w:rFonts w:ascii="Times New Roman" w:cs="Times New Roman" w:eastAsia="Times New Roman" w:hAnsi="Times New Roman"/>
          <w:sz w:val="18"/>
          <w:szCs w:val="18"/>
          <w:color w:val="auto"/>
        </w:rPr>
      </w:pPr>
    </w:p>
    <w:p>
      <w:pPr>
        <w:jc w:val="both"/>
        <w:ind w:left="720" w:right="179" w:hanging="319"/>
        <w:spacing w:after="0" w:line="266"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current product candidates or any of our future product candidates or uses thereof in the United States or in other foreign countries.</w:t>
      </w:r>
    </w:p>
    <w:p>
      <w:pPr>
        <w:spacing w:after="0" w:line="176"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claims in our pending patent applications directed to our current product candidates and any of our future product candidates and/or technologies may not be considered patentable by the USPTO or by patent offices in foreign countries. Any such patent applications may not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the claims in any of our issued patents may not be considered valid by courts in the United States or foreign countries.</w:t>
      </w:r>
    </w:p>
    <w:p>
      <w:pPr>
        <w:spacing w:after="0" w:line="19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our product candidates for an adequate amount of time.</w:t>
      </w:r>
    </w:p>
    <w:p>
      <w:pPr>
        <w:spacing w:after="0" w:line="15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 candidates are obtained, once the patent has expired, we may be vulnerable to competition from competitive products, including generics.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184"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and equivalent extensions outside of the United States for our product candidates, our business may be materially harmed.</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current product candidates or future product candidate we may develop, one or more of our in-licensed issued U.S. patents or issued U.S. patents we may own in the future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in-license from a third-party, we may need the cooperation of that third party. If we are unable to obtain patent term extension, or the foreign equivalent, or if the term of any such extension is less than we request,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competitors may obtain approval of competing products following our patent expiration, and our business, financial condition, results of operations and prospects could be materially harmed.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ind w:left="60" w:right="1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products and product candidates.</w:t>
      </w:r>
    </w:p>
    <w:p>
      <w:pPr>
        <w:spacing w:after="0" w:line="136" w:lineRule="exact"/>
        <w:rPr>
          <w:sz w:val="20"/>
          <w:szCs w:val="20"/>
          <w:color w:val="auto"/>
        </w:rPr>
      </w:pPr>
    </w:p>
    <w:p>
      <w:pPr>
        <w:ind w:left="60" w:right="99" w:firstLine="324"/>
        <w:spacing w:after="0" w:line="251"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or our licensors have identified each and every third-party patent and pending patent application in the United States and abroad that is relevant to or necessary for the commercialization of our current and future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our product candidates could have been filed by others without our knowledge. Additionally, pending patent applications that have been published can, subject to certain limitations, be later amended in a manner that could cover product candidates or the use of our product candidates.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Our failure to identify and correctly interpret relevant patents may negatively impact our ability to develop and market our products and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product candidates that are held to be infringing. We might, if possible, also be forced to redesign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 consuming and may prevent or delay the development and commercialization of our product candidates.</w:t>
      </w:r>
    </w:p>
    <w:p>
      <w:pPr>
        <w:spacing w:after="0" w:line="17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As discussed above, recently, due to changes in U.S. law referred to as patent reform, new procedures including inter partes review and post-grant review have also been implemented. As stated above, this reform adds uncertainty to the possibility of challenge to our patent rights in the future.</w:t>
      </w:r>
    </w:p>
    <w:p>
      <w:pPr>
        <w:spacing w:after="0" w:line="19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owned by third parties exist in the fields in which we plan to commercialize our current product candidates . As the biotechnology and pharmaceutical industries expand and more patents are issued, and as we gain greater visibility and market exposure as a public company, the risk increases that our current product candidates or any future product candidates, and commercializing activities may give rise to claims of infringement of the patent rights of others. We cannot assure you that our current product candidates or any future product candidates will not infringe existing or future patents owned by third parties. We may not be aware of patents that have already been issued for which a third party, such as a competitor in the fields in which we are developing our current product candidates or our future product candidates, might accuse us of infringing.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current product candidates and any future product candidates. As such, we monitor third-party patents in the relevant pharmaceutical markets. In addition, because patent applications can take many years to issue, there may be currently pending patent applications that may later result in issued patents that we may infringe.</w:t>
      </w:r>
    </w:p>
    <w:p>
      <w:pPr>
        <w:spacing w:after="0" w:line="196"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79"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w:t>
      </w:r>
    </w:p>
    <w:p>
      <w:pPr>
        <w:spacing w:after="0" w:line="18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 and other intellectual property rights, which could be expensive, time-consuming and unsuccessful.</w:t>
      </w:r>
    </w:p>
    <w:p>
      <w:pPr>
        <w:spacing w:after="0" w:line="159"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Third parties, such as a competitor, may infringe our patent rights. In an infringement proceeding, a court may decide that a patent owned by us or licensed to us is invalid or unenforceable or may refuse to stop the other party from using the invention at issue on the grounds that the patent does not cover the technology in question. In addition, our or our licensors’ patent rights may become involved in inventorship, priority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72"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3"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our current product candidates or any future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may not provide an adequate defense against a subsequent infringement claim asserted by the owner of a senior trademark.</w:t>
      </w:r>
    </w:p>
    <w:p>
      <w:pPr>
        <w:spacing w:after="0" w:line="237" w:lineRule="exact"/>
        <w:rPr>
          <w:sz w:val="20"/>
          <w:szCs w:val="20"/>
          <w:color w:val="auto"/>
        </w:rPr>
      </w:pPr>
    </w:p>
    <w:p>
      <w:pPr>
        <w:ind w:left="60" w:right="139" w:firstLine="324"/>
        <w:spacing w:after="0" w:line="270" w:lineRule="auto"/>
        <w:rPr>
          <w:sz w:val="20"/>
          <w:szCs w:val="20"/>
          <w:color w:val="auto"/>
        </w:rPr>
      </w:pPr>
      <w:r>
        <w:rPr>
          <w:rFonts w:ascii="Times New Roman" w:cs="Times New Roman" w:eastAsia="Times New Roman" w:hAnsi="Times New Roman"/>
          <w:sz w:val="17"/>
          <w:szCs w:val="17"/>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73"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technology for our development pipeline through acquisitions and in-licenses.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our current product candidates or any future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5"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current product candidates or any future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licensed from third parties may be subject to retained rights.</w:t>
      </w:r>
    </w:p>
    <w:p>
      <w:pPr>
        <w:spacing w:after="0" w:line="22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Our current or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pursuant to the Allist License Agreement, Allist retains its rights for any and all purposes in certain retained territories regarding its patent rights, improvements and know-how related to any product containing firmonertinib or any of its derivatives as an active ingredient, including to research, develop, make, have made, use, sell, have sold, offer for sale, import, export and license products and processes in such retained territory. The the Lepu Biopharma Agreement contain similar provisions in which Lepu Biopharma retains certain rights in the retained territory. It is difficult to monitor whether our licensors will limit their use of the technology to these uses, and we could incur substantial expenses to enforce our rights to our licensed technology in the event of misuse.</w:t>
      </w:r>
    </w:p>
    <w:p>
      <w:pPr>
        <w:spacing w:after="0" w:line="194"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For example,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any potential university partners in projects in which there is a risk that government funds may be commingled, we cannot be sure that any such co-developed intellectual property will be free from government rights. If, in the future, we co-own or license in technology which is critical to our business that is developed in whole or in part with government funds subject to certain government rights, our ability to enforce or otherwise exploit patents covering such technology may be adversely affected.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720" w:right="379" w:hanging="319"/>
        <w:spacing w:after="0" w:line="266"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product candidates or any future product candidates or utilize similar technology but that are not covered by the claims of the patents that we license or may own;</w:t>
      </w:r>
    </w:p>
    <w:p>
      <w:pPr>
        <w:spacing w:after="0" w:line="67"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our or our licensors’ current or future patent applications;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our or their inventions;</w:t>
      </w:r>
    </w:p>
    <w:p>
      <w:pPr>
        <w:spacing w:after="0" w:line="117"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or our licensors’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licensors’ current or future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issuing from our or our licensors’ current or future patent applications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use in the future on a non-exclusive basis;</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in order to maintain certain trade secrets or know-how, and a third party may subsequently file a patent application covering such intellectual property.</w:t>
      </w:r>
    </w:p>
    <w:p>
      <w:pPr>
        <w:spacing w:after="0" w:line="162"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15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9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5" w:lineRule="exact"/>
        <w:rPr>
          <w:sz w:val="20"/>
          <w:szCs w:val="20"/>
          <w:color w:val="auto"/>
        </w:rPr>
      </w:pPr>
    </w:p>
    <w:p>
      <w:pPr>
        <w:ind w:left="60" w:right="3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reliance on third parties requires us to share potential trade secrets, which increases the possibility that a competitor or other third party will discover them or that potential trade secrets will be misappropriated or disclosed.</w:t>
      </w:r>
    </w:p>
    <w:p>
      <w:pPr>
        <w:spacing w:after="0" w:line="13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Because we currently rely on, or expect to rely on, a third parties to manufacture our current product candidates and to perform quality testing, we must, at times, share our proprietary technology and confidential information, including potential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including any potential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despite our efforts to protect any potential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19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any potential trade secrets, our business and competitive position would be harmed.</w:t>
      </w:r>
    </w:p>
    <w:p>
      <w:pPr>
        <w:spacing w:after="0" w:line="15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In addition to seeking patent protection for our product candidates and proprietary technologies, we may also rely on trade secret protection and confidentiality agreements to protect our unpatented know-how, technology, and other proprietary information and to maintain our competitive position. We seek to protect any potential trade secrets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We cannot guarantee that we have entered into applicable agreements with each party that may have or have had access to any potential trade secrets or proprietary technology and processes. Despite these efforts, any of these parties may breach the agreements and disclose our proprietary information, including any potential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any potential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potential trade secrets were to be lawfully obtained or independently developed by a competitor or other third party, we would have no right to prevent them from using that technology or information to compete with us.</w:t>
      </w:r>
    </w:p>
    <w:p>
      <w:pPr>
        <w:spacing w:after="0" w:line="17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Furthermore, others may independently discover any potential trade secrets and proprietary information. If any of our potential trade secrets were to be lawfully obtained or independently developed by a competitor or other third party, we would have no right to prevent them, or those to whom they communicate it, from using that technology or information to compete with us. If any of our potential trade secrets were to be disclosed or misappropriated or if any such information were to be independently developed by a competitor or other third party, our competitive position would be materially and adversely harmed.</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any potential trade secrets. For example, we may have disputes arise from conflicting obligations of our employees, consultants or others who are involved in developing our product candidate. Litigation may be necessary to defend against these and other claims challenging ownership of any potential trade secrets. If we fail in defending any such claims, in addition to paying monetary damages, we may lose valuable trade secret rights, such as exclusive ownership of, or right to use, trade secrets that are important to our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we may in the future fail to satisfy the continued listing requirements of Nasdaq and our stock may be delisted, and you may not be able to resell your common stock at your purchase price or at all.</w:t>
      </w:r>
    </w:p>
    <w:p>
      <w:pPr>
        <w:spacing w:after="0" w:line="175"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Our common stock only recently began trading on the Nasdaq Global Market, and we can provide no assurance that we will be able to develop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72"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5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including limited trading volume. The market price for our common stock may be influenced by those factors discussed in this “Risk Factors” section and others, including:</w:t>
      </w:r>
    </w:p>
    <w:p>
      <w:pPr>
        <w:spacing w:after="0" w:line="176" w:lineRule="exact"/>
        <w:rPr>
          <w:sz w:val="20"/>
          <w:szCs w:val="20"/>
          <w:color w:val="auto"/>
        </w:rPr>
      </w:pPr>
    </w:p>
    <w:p>
      <w:pPr>
        <w:ind w:left="720" w:right="37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preclinical studies, and the results of trials of our competitors or those of other companies in our market sector;</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our future clinical trials;</w:t>
      </w:r>
    </w:p>
    <w:p>
      <w:pPr>
        <w:spacing w:after="0" w:line="11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current product candidates or any future product candidates or additional indications thereof, or limitations to specific label indications or patient populations for its use, or changes or delays in the regulatory review process;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 particularly in China;</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identify, develop, acquire or 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by our competitors;</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physician and market adoption of any of our current and future product candidates;</w:t>
      </w:r>
    </w:p>
    <w:p>
      <w:pPr>
        <w:spacing w:after="0" w:line="11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 including our inability to obtain adequate product supply, at acceptable prices or at all;</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 including variations from expectations of securities analysts or investors;</w:t>
      </w:r>
    </w:p>
    <w:p>
      <w:pPr>
        <w:spacing w:after="0" w:line="53" w:lineRule="exact"/>
        <w:rPr>
          <w:rFonts w:ascii="Times New Roman" w:cs="Times New Roman" w:eastAsia="Times New Roman" w:hAnsi="Times New Roman"/>
          <w:sz w:val="18"/>
          <w:szCs w:val="18"/>
          <w:color w:val="auto"/>
        </w:rPr>
      </w:pPr>
    </w:p>
    <w:p>
      <w:pPr>
        <w:ind w:left="720" w:right="1399" w:hanging="319"/>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 or obtaining funding on unattractive terms;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our control;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w:t>
      </w:r>
    </w:p>
    <w:p>
      <w:pPr>
        <w:spacing w:after="0" w:line="117" w:lineRule="exact"/>
        <w:rPr>
          <w:rFonts w:ascii="Times New Roman" w:cs="Times New Roman" w:eastAsia="Times New Roman" w:hAnsi="Times New Roman"/>
          <w:sz w:val="18"/>
          <w:szCs w:val="18"/>
          <w:color w:val="auto"/>
        </w:rPr>
      </w:pPr>
    </w:p>
    <w:p>
      <w:pPr>
        <w:ind w:left="720" w:right="239" w:hanging="319"/>
        <w:spacing w:after="0" w:line="289" w:lineRule="auto"/>
        <w:tabs>
          <w:tab w:leader="none" w:pos="7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news releases by our partners, including Allist, other companies in our industry, and especially direct competitors, including about adverse developments related to safety, effectiveness, accuracy and usability of their products, reputational concerns, reimbursement coverage, regulatory compliance, and product recalls;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progression of geopolitical events, including in relation to the conflicts in the Middle East and between Russia and Ukraine;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or key personnel;</w:t>
      </w:r>
    </w:p>
    <w:p>
      <w:pPr>
        <w:spacing w:after="0" w:line="117"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common stock and may otherwise negatively affect the liquidity of the trading market for our common stock.</w:t>
      </w:r>
    </w:p>
    <w:p>
      <w:pPr>
        <w:spacing w:after="0" w:line="15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addition, the stock market has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3" w:lineRule="exact"/>
        <w:rPr>
          <w:sz w:val="20"/>
          <w:szCs w:val="20"/>
          <w:color w:val="auto"/>
        </w:rPr>
      </w:pPr>
    </w:p>
    <w:p>
      <w:pPr>
        <w:ind w:left="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 and may prevent new investors from influencing significant corporate decisions.</w:t>
      </w:r>
    </w:p>
    <w:p>
      <w:pPr>
        <w:spacing w:after="0" w:line="17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As of February 28, 2025, our executive officers, directors and greater than 5% stockholders, in the aggregate, own a substantial portion of our outstanding common stock. As a result, such persons, acting together, have the ability to significantly influence all matters submitted to our board of directors or stockholders for approval, including the appointment of our management, the election and removal of directors and approval of any significant transactions, as well as our management and business affairs, which may prevent new investors from influencing some or all of the foregoing.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8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7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 Investors seeking cash dividends should not purchase our common stock. See “Dividend Policy” under Item 5 of Part II of this Annual Report for additional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possibility of sales, of a substantial number of shares of our common stock by our existing stockholders in the public market could cause our stock price to fall.</w:t>
      </w:r>
    </w:p>
    <w:p>
      <w:pPr>
        <w:spacing w:after="0" w:line="159"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2024, we had 2,531,144 shares of common stock that are subject to outstanding options under our employee benefit plans. All of the shares of common stock issuable upon the exercise of stock options and the shares reserved for future issuance under our employee benefit plans have been registered on a registration statement on Form S-8 under the Securities Act. Accordingly, these shares can be freely sold in the public market upon issuance, subject to volume limitations under Rule 144 for our executive officers and directors and applicable vesting requirements. If these additional shares of common stock are sold, or if it is perceived that they will be sold, in the public market, the trading price of our common stock could decline.</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and the reduced disclosure and governance requirements applicable to emerging growth companies and smaller reporting companies may make our common stock less attractive to investors.</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closing of our initial public offering completed in January 2024. However, if certain events occur prior to the end of such five-year period, including if we become a “large accelerated filer”, as defined under the Exchange Act,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2" w:lineRule="exact"/>
        <w:rPr>
          <w:sz w:val="20"/>
          <w:szCs w:val="20"/>
          <w:color w:val="auto"/>
        </w:rPr>
      </w:pPr>
    </w:p>
    <w:p>
      <w:pPr>
        <w:ind w:left="720" w:right="139" w:hanging="319"/>
        <w:spacing w:after="0" w:line="266"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connection with registered securities offerings;</w:t>
      </w:r>
    </w:p>
    <w:p>
      <w:pPr>
        <w:spacing w:after="0" w:line="67"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w:t>
      </w:r>
    </w:p>
    <w:p>
      <w:pPr>
        <w:spacing w:after="0" w:line="53"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PCAOB regarding mandatory audit firm rotation or a supplement to the auditor’s report providing additional information about the audit and the financial statements, unless the SEC determines the new rules are necessary for protecting the public;</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720" w:right="71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have taken advantage of reduced reporting burdens in this Annual Report. In particular, in this Annual Report,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the Sarbanes-Oxley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merger, acquisition, or other change in control of our company or changes in our board of directors that our stockholders might consider favorable, including transactions in which you might otherwise receive a premium for your shares. Some of these provisions include:</w:t>
      </w:r>
    </w:p>
    <w:p>
      <w:pPr>
        <w:spacing w:after="0" w:line="180" w:lineRule="exact"/>
        <w:rPr>
          <w:sz w:val="20"/>
          <w:szCs w:val="20"/>
          <w:color w:val="auto"/>
        </w:rPr>
      </w:pPr>
    </w:p>
    <w:p>
      <w:pPr>
        <w:ind w:left="720" w:right="9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75%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75%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7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in control transaction or changes in our board of directors could cause the market price of our common stock to decline.</w:t>
      </w:r>
    </w:p>
    <w:p>
      <w:pPr>
        <w:spacing w:after="0" w:line="184"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an alternative forum, the Court of Chancery of the State of Delaware will be the sole and exclusive forum for any state law claims for (i) any derivative action or proceeding brought on our behalf, (ii) any action or proceeding asserting a claim of breach of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fiduciary duty owed by any of our current or former directors, officers, employees or agents to us or our stockholders,</w:t>
      </w:r>
    </w:p>
    <w:p>
      <w:pPr>
        <w:spacing w:after="0" w:line="27" w:lineRule="exact"/>
        <w:rPr>
          <w:sz w:val="20"/>
          <w:szCs w:val="20"/>
          <w:color w:val="auto"/>
        </w:rPr>
      </w:pPr>
    </w:p>
    <w:p>
      <w:pPr>
        <w:ind w:left="60" w:right="239" w:hanging="10"/>
        <w:spacing w:after="0" w:line="265" w:lineRule="auto"/>
        <w:tabs>
          <w:tab w:leader="none" w:pos="37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arising pursuant to any provision of the General Corporation Law of the State of Delaware or our certificate of incorporation or bylaws (in each case, as they may be amended from time to time),</w:t>
      </w:r>
    </w:p>
    <w:p>
      <w:pPr>
        <w:ind w:left="60" w:right="79" w:hanging="10"/>
        <w:spacing w:after="0" w:line="250" w:lineRule="auto"/>
        <w:tabs>
          <w:tab w:leader="none" w:pos="3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bylaws, (v) any action or proceeding as to which the Delaware General Corporation Law confers jurisdiction to the Court of Chancery of the State of Delaware, or (vi) any action asserting a claim against us or any of our directors, officers or employees that is governed by the internal affairs doctrine; provided, however, that this exclusive forum provision does not apply to any action arising under the Exchange Act. Our amended and restated certificate of incorporation further provides that, unless we consent in writing to an alternative forum, the United States District Court for the Eastern District of Pennsylvania will be the exclusive forum for resolving any complaint asserting a cause of action arising under the Securities Act. We have chosen the United States District Court for the Eastern District of Pennsylvania as the exclusive forum for such Securities Act causes of action because our principal executive offices are located in Newtown Square, Pennsylvania. In addition, our amended and restated certificate of incorporation provides that any person or entity purchasing or otherwise acquiring any interest in shares of our common stock is deemed to have notice of and consented to the foregoing provisions. We recognize that the forum selection clause in our amended and restated certificate of incorporation may impose additional litigation costs on stockholders in pursuing any such claims, particularly if the stockholders do not reside in or near the State of Delaware or the State of Pennsylvania, as applicable. Additionally, the forum selection clause in our amended and restated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Eastern District of Pennsylvania may also reach different judgments or results than would other courts, including courts where a stockholder considering an action may be located or would otherwise choose to bring the action, and such judgments may be more or less favorable to us than our stockholders.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20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We also acknowledge that Section 22 of the Securities Act creates concurrent jurisdiction for federal and state courts over all suits brought to enforce any duty or liability created by the Securities Act or the rules and regulations thereunder and that there is uncertainty as to whether a court would enforce an exclusive forum provision for actions arising under the Securities Act.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the establishment and maintenance of effective disclosure and financial reporting controls and changes in corporate governance practices. Further, in July 2010, the Dodd-Frank Wall Street Reform and Consumer Protection Act (Dodd-Frank Act) was enacted. There are significant corporate governance and executive compensation related provisions in the Dodd-Frank Act concerning areas such as “say on pay” and proxy access. Emerging growth companies are permitted to implement many of these requirements over a longer period, which may be up to five years from the pricing of our initial public offering in January 2024.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could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7"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we may not be able to accurately report our financial results, which may cause investors to lose confidence in our reported financial information and may lead to a decline in the market price of our stock.</w:t>
      </w:r>
    </w:p>
    <w:p>
      <w:pPr>
        <w:spacing w:after="0" w:line="161"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Pursuant to Section 404 of the Sarbanes-Oxley Act, our management is required to report on the effectiveness of our internal control over financial reporting.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The identification of material weaknesses could result in an adverse reaction in the financial markets due to a loss of confidence in the reliability of our financial statements. The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5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Although we determined that our internal controls over financing reporting were effective as of December 31, 2024,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16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If we fail to maintain effective disclosure controls and procedures or internal control over financial reporting or remediate any future material weaknesses, you may not be able to rely on the integrity of our financial results, which could result in inaccurate or late reporting of our financial results, as well as delays or the inability to meet our reporting obligations or to comply with the rules and regulations of the Securities and Exchange Commission. Any of these events could result in delisting actions by the Nasdaq Stock Market, investigation and sanctions by regulatory authorities, and stockholder investigations and lawsuits, in addition to adversely affecting our business and the trading price of our common stock.</w:t>
      </w:r>
    </w:p>
    <w:p>
      <w:pPr>
        <w:spacing w:after="0" w:line="171"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If we fail to comply with these laws, we could face civil or criminal liability and other serious consequences for violations, which could harm our business.</w:t>
      </w:r>
    </w:p>
    <w:p>
      <w:pPr>
        <w:spacing w:after="0" w:line="153"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In February 2025, President Trump issued an executive order directing the DOJ to pause enforcement of the FCPA and to issue new enforcement guidelines that take into consideration U.S. national security and the competitiveness of U.S. companies abroad. It is unclear how this presidential directive may affect the biopharmaceutical industry as a whole or our business in particular.</w:t>
      </w:r>
    </w:p>
    <w:p>
      <w:pPr>
        <w:spacing w:after="0" w:line="390"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170"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3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third-party manufacturers or suppliers use, and potential future collaborators will use, biological materials, potent chemical agents and may use hazardous materials, including chemicals and biological agents and compounds that could be dangerous to human health and safety of the environment. The operations of our third-party manufacturers and suppliers also produce hazardous waste products. Federal, state and local laws and regulations govern the use, generation, manufacture, storage, handling and disposal of these materials and wastes. Compliance with applicable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environmental laws and regulations may be expensive, and current or future environmental laws and regulations may impair our product development efforts. In addition, our third-party manufacturers and suppliers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our third-party manufacturers’ and suppliers’ storage or disposal of biologic, hazardous or radioactive materials.</w:t>
      </w:r>
    </w:p>
    <w:p>
      <w:pPr>
        <w:spacing w:after="0" w:line="17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our third-party manufacturers and suppliers may need to incur substantial costs in order to comply with current or future environmental, health and safety laws and regulations, which have tended to become more stringent over time,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our third-party manufacturers and suppliers, which could in turn materially adversely affect our business, financial condition, results of operations and prospects. To the extent we develop our own manufacturing operations in the future, we may similarly incur substantial costs to ensure compliance with these laws, and all the foregoing risks will further apply to us, as well.</w:t>
      </w:r>
    </w:p>
    <w:p>
      <w:pPr>
        <w:spacing w:after="0" w:line="174"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32"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on, or expect to rely on, third-party manufacturers or suppliers to produce our current product candidates and its components and on CROs and clinical sites to conduct our clinical trials, and do not have a redundant source of supply for all components of our product candidate. Our ability to obtain clinical or, if approved, commercial, supplies of our current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pacing w:after="0" w:line="164"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45"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in the Middle East and between Russia and Ukraine, terrorism or other geopolitical events. Sanctions imposed by the United States and other countries in response to such conflicts, including the ones in the Middle East and in Ukraine, may also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limit, reduce, or terminate our product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or future commercialization efforts or grant rights to develop and market our product candidates even if we would otherwise prefer to develop and market such product candidates ourselves, or on less favorable terms than we would otherwise choose. In addition, one or more of our current service providers, manufacturers and other partners may not survive an economic downturn, which could directly affect our ability to attain our clinical development goals on schedule and on budget.</w:t>
      </w:r>
    </w:p>
    <w:p>
      <w:pPr>
        <w:spacing w:after="0" w:line="170" w:lineRule="exact"/>
        <w:rPr>
          <w:sz w:val="20"/>
          <w:szCs w:val="20"/>
          <w:color w:val="auto"/>
        </w:rPr>
      </w:pPr>
    </w:p>
    <w:p>
      <w:pPr>
        <w:ind w:left="60" w:right="119" w:firstLine="324"/>
        <w:spacing w:after="0" w:line="281" w:lineRule="auto"/>
        <w:rPr>
          <w:sz w:val="20"/>
          <w:szCs w:val="20"/>
          <w:color w:val="auto"/>
        </w:rPr>
      </w:pPr>
      <w:r>
        <w:rPr>
          <w:rFonts w:ascii="Times New Roman" w:cs="Times New Roman" w:eastAsia="Times New Roman" w:hAnsi="Times New Roman"/>
          <w:sz w:val="17"/>
          <w:szCs w:val="17"/>
          <w:color w:val="auto"/>
        </w:rPr>
        <w:t>Uncertainty about global economic conditions could result in increased costs related to the manufacture of our product candidates and, if our drug candidates are approved and made available for sale, customers may postpone purchases of our drug candidates in response to tighter credit, unemployment, negative financial news and/or declines in income or asset values and other macroeconomic factors, which could have a material adverse effect on demand for our drug candidates,</w:t>
      </w:r>
    </w:p>
    <w:p>
      <w:pPr>
        <w:spacing w:after="0" w:line="147"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may materially adversely affect our financial condition, results of operations and cash flows, or adversely impact the value of an investment in our common stock.</w:t>
      </w:r>
    </w:p>
    <w:p>
      <w:pPr>
        <w:spacing w:after="0" w:line="13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urge our investors to consult with their legal and tax advisors with respect to any changes in tax law and the potential tax consequences of investing in our common stock.</w:t>
      </w:r>
    </w:p>
    <w:p>
      <w:pPr>
        <w:spacing w:after="0" w:line="162"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4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that may not be fully covered by insurance, and a diversion of our management’s attention and resources, which could harm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We recognize the critical importance of maintaining the trust and confidence of patients, business partners and employees toward our business and are committed to protecting the confidentiality, integrity and availability of our business operations and systems. Our board of directors, led by the audit committee, is actively involved in oversight of our Enterprise Risk Management or ERM activities, and cybersecurity represents an important element of our overall approach to risk management. Our cybersecurity policies, standards, processes and practices are based on recognized frameworks established by the National Institute of Standards and Technology, or NIST, and other applicable industry standards.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 Effect of Risk</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ERM process. We employ a range of tools and services, including regular network and endpoint monitoring, audits, vulnerability assessments, penetration testing and threat modeling to inform our risk identification and assessment. As discussed in more detail under “Cybersecurity Governance” below, our audit committee provides oversight of our cybersecurity risk management and strategy processes, which are led by our Chief Operating Officer.</w:t>
      </w:r>
    </w:p>
    <w:p>
      <w:pPr>
        <w:spacing w:after="0" w:line="192"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We also identify our cybersecurity threat risks by comparing our processes to standards set by NIST as well as by engaging experts to attempt to infiltrate our information systems. 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80" w:lineRule="exact"/>
        <w:rPr>
          <w:sz w:val="20"/>
          <w:szCs w:val="20"/>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implement changes to our processes that are designed to comply with such laws;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require employees, as well as third parties that provide services on our behalf, to treat confidential information and data with care;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regular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regular phishing email simulations for all employees and contractors with access to our email systems to enhance awareness and responsiveness to possible threats;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NIST incident handling framework to help us identify, protect, detect, respond and recover when there is an actual or potential cybersecurity incident;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16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business continuity policy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80"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Additionally, we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76"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Item 1A, “Risk Factors”, which disclosures are incorporated by reference herein.</w:t>
      </w:r>
    </w:p>
    <w:p>
      <w:pPr>
        <w:spacing w:after="0" w:line="180" w:lineRule="exact"/>
        <w:rPr>
          <w:sz w:val="20"/>
          <w:szCs w:val="20"/>
          <w:color w:val="auto"/>
        </w:rPr>
      </w:pPr>
    </w:p>
    <w:p>
      <w:pPr>
        <w:jc w:val="both"/>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 Management</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The audit committee of our board of directors is responsible for the oversight of risks from cybersecurity threats.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Periodically, our audit committee, and annually, our board of directors receives an update from management of our cybersecurity threat risk management and strategy processes covering topics such as data security posture, results from third-party assessments, progress towards pre-determined risk-mitigation-related goals, our incident response plan, and material cybersecurity threat risks or incidents and developments, as well as the steps management has taken to respond to such risks. In such sessions, our audit committee generally receives information that includes a cybersecurity summary and other information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Our audit committee and board of directors also receive prompt and timely information regarding any cybersecurity incident that meets establishing reporting thresholds, as well as ongoing updates regarding any such incident until it has been addressed.</w:t>
      </w:r>
    </w:p>
    <w:p>
      <w:pPr>
        <w:spacing w:after="0" w:line="19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Members of our audit committee and board of directors are also encouraged to regularly engage in conversations with management on cybersecurity-related news events and discuss any updates to our cybersecurity risk management and strategy programs. Material cybersecurity threat risks are also considered during separate board meeting discussions of important matters like ERM, operational budgeting, business continuity planning, mergers and acquisitions, brand management, and other relevant matters.</w:t>
      </w:r>
    </w:p>
    <w:p>
      <w:pPr>
        <w:spacing w:after="0" w:line="18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Operating Officer in consultation with our Chief Financial Officer and General Counsel. Such individuals and their respective teams have collectively over a dozen years of prior work experience in various roles involving managing information security, developing cybersecurity strategy, implementing effective information and cybersecurity programs.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of our board of directors quarterly, and our board of directors annually about cybersecurity threat risks, among other cybersecurity related matters.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currently lease office space in and around the San Francisco Peninsula and Washington, D.C./Maryland area.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lease office space at 1350 Bayshore Highway, Burlingame, CA 94041, containing approximately 7,685 square feet of office space pursuant to a lease agreement that expires in January 2026. This lease replaced a lease at the same address which expired in January 2024.</w:t>
      </w:r>
    </w:p>
    <w:p>
      <w:pPr>
        <w:spacing w:after="0" w:line="176"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also lease office space at 9841 Washingtonian Boulevard, Gaithersburg, MD 20878, pursuant to a lease agreement that expires in February 2026. This lease replaced a lease at the same address which expired in February 2024. The initial lease term for this lease was less than twelve months.</w:t>
      </w:r>
    </w:p>
    <w:p>
      <w:pPr>
        <w:spacing w:after="0" w:line="176"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We believe these facilities will be adequate for the foreseeable future and that suitable additional or substitute space will be available as and when needed.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“AVBP” since January 26, 2024.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to that date there was no public trading market for our common stock.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As of February 28, 2025, there were approximately 59 holders of record of our common stock. We believe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60" w:right="219" w:firstLine="324"/>
        <w:spacing w:after="0" w:line="277" w:lineRule="auto"/>
        <w:rPr>
          <w:sz w:val="20"/>
          <w:szCs w:val="20"/>
          <w:color w:val="auto"/>
        </w:rPr>
      </w:pPr>
      <w:r>
        <w:rPr>
          <w:rFonts w:ascii="Times New Roman" w:cs="Times New Roman" w:eastAsia="Times New Roman" w:hAnsi="Times New Roman"/>
          <w:sz w:val="17"/>
          <w:szCs w:val="17"/>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Issuances of Securities</w:t>
      </w:r>
    </w:p>
    <w:p>
      <w:pPr>
        <w:spacing w:after="0" w:line="11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In multiple closings held between December 2022 and March 2023, we issued and sold an aggregate of 147,619,034 shares of Series B convertible preferred stock at a purchase price of $1.05 per share for aggregate gross cash consideration of $155.0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No underwriters were involved in the foregoing issuances of securities. These securities described in this section (a)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 Grants of Stock Options</w:t>
      </w:r>
    </w:p>
    <w:p>
      <w:pPr>
        <w:spacing w:after="0" w:line="117" w:lineRule="exact"/>
        <w:rPr>
          <w:sz w:val="20"/>
          <w:szCs w:val="20"/>
          <w:color w:val="auto"/>
        </w:rPr>
      </w:pPr>
    </w:p>
    <w:p>
      <w:pPr>
        <w:jc w:val="both"/>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During 2023, we granted to certain of our directors, employees and consultants (in connection with services provided to us by such persons) options to purchase 801,091 shares of our common stock with a weighted average exercise price of $4.63 under our 2021 Employee, Director and Consultant Equity Incentive Plan, as amended (2021 Plan).</w:t>
      </w:r>
    </w:p>
    <w:p>
      <w:pPr>
        <w:spacing w:after="0" w:line="50" w:lineRule="exact"/>
        <w:rPr>
          <w:sz w:val="20"/>
          <w:szCs w:val="20"/>
          <w:color w:val="auto"/>
        </w:rPr>
      </w:pPr>
    </w:p>
    <w:p>
      <w:pPr>
        <w:jc w:val="both"/>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During 2024, we granted to certain of our directors, employees and consultants (in connection with services provided to us by such persons) options to purchase 1,137,307 shares of our common stock with a weighted average exercise price of $11.10 under our 2021 Employee, Director and Consultant Equity Incentive Plan, as amended (2021 Plan).</w:t>
      </w:r>
    </w:p>
    <w:p>
      <w:pPr>
        <w:spacing w:after="0" w:line="50" w:lineRule="exact"/>
        <w:rPr>
          <w:sz w:val="20"/>
          <w:szCs w:val="20"/>
          <w:color w:val="auto"/>
        </w:rPr>
      </w:pPr>
    </w:p>
    <w:p>
      <w:pPr>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The stock options and the common stock issuable upon the exercise of such options as described in this section (b)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 On February 2, 2024, we filed a registration statement on Form S-8 under the Securities Act to register all of the shares of our common stock subject to outstanding options and all shares of our common stock otherwise issuable pursuant to our equity compensation plans.</w:t>
      </w:r>
    </w:p>
    <w:p>
      <w:pPr>
        <w:spacing w:after="0" w:line="64"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All of the foregoing securities are deemed restricted securities for purposes of the Securities Act. All certificates representing the issued shares of capital stock described in this Item 5 include appropriate legends setting forth that the securities had not been registered and the applicable restrictions on transfer.</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the underwriting discounts and commissions. None of the expenses associated with our initial public offering were paid to directors, officers, persons owning 10% or more of any class of equity securities, or to our affiliates.</w:t>
      </w:r>
    </w:p>
    <w:p>
      <w:pPr>
        <w:spacing w:after="0" w:line="18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on January 26,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elsewhere in this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“Risk Factors” section of this Annual Report to gain an understanding of the important factors that could cause actual results to differ materially from our forward-looking statements. Please also see the section titled “Special Note Regarding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EGFRm in NSCLC, including a pivotal Phase 3 clinical trial in treatment naive, or first-line, patients with locally advanced or metastatic EGFRm NSCLC with exon 20 insertion mutations. We received Breakthrough Therapy Designation for firmonertinib for this disease from the FDA in October 2023, and Orphan Drug Designation for treatment of NSCLC with EGFRm or HER2 mutations or HER4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2021, we licensed from Allist the right to develop and commercialize firmonertinib worldwide, with the exception of greater China, which includes mainland China, Hong Kong, Macau and Taiwan. Firmonertinib is an investigational, novel, EGFR mutant-selective TKI that we are developing for the treatment of NSCLC patients across a broader set of EGFRm than are currently served by approved EGFR TKIs. Firmonertinib is currently only approved and commercially distributed by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PACC mutations, each a subtype of uncommon mutation. In a subsequent interim data readout from the FAVOUR trial of firmonertinib in first-line patients with locally advanced or metastatic EGFRm NSCLC with exon 20 insertion mutations who were administered a 240 mg once-daily dose of firmonertinib, 79% of patients (n=22 out of 28 patients) were observed to experience a reduction in tumor size of at least 30%.</w:t>
      </w:r>
    </w:p>
    <w:p>
      <w:pPr>
        <w:spacing w:after="0" w:line="190"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(n=22 out of 28 patients) who were administered a 240 mg once-daily dose of firmonertinib were observed to experience a reduction in tumor size of at least 30% from the baseline in a patient without evidence of progression as measured by RECIST 1.1 criteria. This measurement of reduction is the threshold in this trial for a partial response and for inclusion in determination of the ORR, which is the primary endpoint of this trial. In the same interim data readout, those 79% of patients were observed to experience a 15.2 month median DOR. Interim results may not be indicative of final results; however, we believe these interim clinical results underscore firmonertinib’s potential in patients whose tumors contain an uncommon EGFRm.</w:t>
      </w:r>
    </w:p>
    <w:p>
      <w:pPr>
        <w:spacing w:after="0" w:line="189"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8"/>
          <w:szCs w:val="18"/>
          <w:color w:val="auto"/>
        </w:rPr>
        <w:t>We have entered into the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year ended December 31, 2023, we paid</w:t>
      </w:r>
    </w:p>
    <w:p>
      <w:pPr>
        <w:spacing w:after="0" w:line="3"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$5.0 million in clinical milestones to Allist. We are also obligated under the Allist License Agreement to pay Allist tiered royalties based on net sales of Licensed Products. See “Business — Licenses, Partnerships and Collaborations — Allist Agreements.” We have entered into the Lepu Biopharma Agreement, pursuant to which, we have, among other things, secured an exclusive, royalty bearing and sublicensable license under certain intellectual property, including patents and know-how, owned or controlled by Lepu Biopharma to develop and commercialize any product containing ARR-217 or the antibody component of ARR-217. Further, we are obligated to pay Lepu Biopharma milestone payments up to an aggregate of approximately $1.17 billion upon the achievement of certain development, regulatory and sales milestone events as set forth in the Lepu Biopharma Agreement, as defined herein. We are also obligated under the Lepu Biopharma Agreement to pay Lepu Biopharma tiered royalties based on net sales of Licensed Products, as defined herein. See “Business — Licenses, Partnerships and Collaborations — Lepu Biopharma Agreement”.</w:t>
      </w:r>
    </w:p>
    <w:p>
      <w:pPr>
        <w:spacing w:after="0" w:line="193"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ARR-217, and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and through our initial public offering of common stock.</w:t>
      </w:r>
    </w:p>
    <w:p>
      <w:pPr>
        <w:spacing w:after="0" w:line="18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$80.5 million and $69.3 million for the years ended December 31, 2024 and 2023, respectively. As of December 31, 2024, we had an accumulated deficit of $238.3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A significant majority of our direct research and development costs have been related to firmonertinib. We deploy our personnel resources across all of our research and development activities.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14"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interest earned on our cash, cash equivalents and short-term investments and the accretion of premiums and amortization of discounts on marketable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vMerge w:val="continue"/>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discovery-stage programs. We do not track internal research and development costs by product candidate. The following table summarizes our research and development expenses for the years ended December 31, 2024 and 2023:</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vMerge w:val="continue"/>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FURVENT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FAVOUR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Firmonertinib</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Discovery-stage programs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$79.0 million and $64.9 million for the years ended December 31, 2024 and 2023, respectively. The increase of $14.1 million was primarily due to an increase of $9.2 million in preclinical discovery work, and a $4.5 million increase due to higher personnel-related costs due to increased headcount. Costs related to firmonertinib increased $0.4 million as a result of increased costs related to our FURVENT Phase 3 clinical trial of $8.2 million, offset by a decrease of $6.6 million in costs related to our FURTHER Phase 1 clinical trial, and a decrease of $1.1 million in costs related to our FAVOUR trial.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$15.3 million and $9.7 million for the years ended December 31, 2024 and 2023, respectively. The increase of $5.6 million was due primarily to increases of $3.0 million in personnel-related expenses, $1.0 million in insurance costs, and $1.6 million in professional services and other corporate expenses.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00"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was $13.8 million and $5.3 million for the years ended December 31, 2024 and 2023, respectively. The increase is due to higher rates of return on higher invested balances year-over-year.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have funded our operations primarily through the private placement of convertible preferred stock and the issuance of common stock in our initial public offering. We have raised gross proceeds of $305.0 million from the issuance of convertible preferred stock since our inception through December 31, 2024. In the first quarter of 2024, we completed our initial public offering of 11,180,555 shares of our common stock at a price to the public of $18.00 per share, including the exercise in full by the underwriters of their option to purchase 1,458,333 additional shares of our common stock. Including the option exercise, our aggregate net proceeds from the offering were $183.2 million, net of underwriting discounts, commissions and offering costs. As of December 31, 2024, we had cash and cash equivalents, and short and long-term investments of $266.5 million in the aggregate.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7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short and long-term investments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720" w:right="399" w:hanging="319"/>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53"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99" w:hanging="319"/>
        <w:spacing w:after="0" w:line="28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(70,212)</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186,581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42,859</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99" w:firstLine="324"/>
        <w:spacing w:after="0" w:line="289" w:lineRule="auto"/>
        <w:rPr>
          <w:sz w:val="20"/>
          <w:szCs w:val="20"/>
          <w:color w:val="auto"/>
        </w:rPr>
      </w:pPr>
      <w:r>
        <w:rPr>
          <w:rFonts w:ascii="Times New Roman" w:cs="Times New Roman" w:eastAsia="Times New Roman" w:hAnsi="Times New Roman"/>
          <w:sz w:val="17"/>
          <w:szCs w:val="17"/>
          <w:color w:val="auto"/>
        </w:rPr>
        <w:t>Net cash used in operating activities was $70.2 million for the year ended December 31, 2024 reflecting our net loss of $80.5 million that was offset by $3.2 million in stock-based compensation and a $7.1 million net change in our operating assets and liabilities attributable to the timing in which we pay our vendors for research and development activities.</w:t>
      </w:r>
    </w:p>
    <w:p>
      <w:pPr>
        <w:spacing w:after="0" w:line="131" w:lineRule="exact"/>
        <w:rPr>
          <w:sz w:val="20"/>
          <w:szCs w:val="20"/>
          <w:color w:val="auto"/>
        </w:rPr>
      </w:pPr>
    </w:p>
    <w:p>
      <w:pPr>
        <w:jc w:val="both"/>
        <w:ind w:left="60" w:right="99" w:firstLine="324"/>
        <w:spacing w:after="0" w:line="289" w:lineRule="auto"/>
        <w:rPr>
          <w:sz w:val="20"/>
          <w:szCs w:val="20"/>
          <w:color w:val="auto"/>
        </w:rPr>
      </w:pPr>
      <w:r>
        <w:rPr>
          <w:rFonts w:ascii="Times New Roman" w:cs="Times New Roman" w:eastAsia="Times New Roman" w:hAnsi="Times New Roman"/>
          <w:sz w:val="17"/>
          <w:szCs w:val="17"/>
          <w:color w:val="auto"/>
        </w:rPr>
        <w:t>Net cash used in operating activities was $55.8 million for the year ended December 31, 2023 reflecting our net loss of $69.3 million that was offset by $0.9 million in stock-based compensation and a $12.6 million net change in our operating assets and liabilities attributable to the timing in which we pay our vendors for research and development activities.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included $194.2 million of purchases of short and long-term investments, offset by $1.7 million of maturities of investments.</w:t>
      </w:r>
    </w:p>
    <w:p>
      <w:pPr>
        <w:spacing w:after="0" w:line="14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included $25.0 million of purchases of short-term investments, offset by $25.0 million of maturities of short-term investments.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$186.6 million for the year ended December 31, 2024, due to $186.0 million of net proceeds from our initial public offering in January 2024, in addition to $0.6 million in proceeds from the exercise of stock options.</w:t>
      </w:r>
    </w:p>
    <w:p>
      <w:pPr>
        <w:spacing w:after="0" w:line="162"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$42.9 million for the year ended December 31, 2023, due to $44.9 million of net proceeds from the issuance of Series B convertible preferred stock and $0.4 million of proceeds from the exercise of stock options offset by a $2.4 million payment of deferred offering costs.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60" w:right="59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2024 and the effects that such obligations are expected to have on our liquidity and cash flows in future periods: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7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6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3"/>
          </w:tcPr>
          <w:p>
            <w:pPr>
              <w:jc w:val="center"/>
              <w:ind w:left="79"/>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and not included in the table above, as they are contingent on the successful achievement of certain clinical, regulatory and commercial milestones.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0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to our accompanying financial statements appearing elsewhere in this Annual Report, we believe the following accounting policies to be most critical to the preparation of our financial statements.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Accruals</w:t>
      </w:r>
    </w:p>
    <w:p>
      <w:pPr>
        <w:spacing w:after="0" w:line="21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lead product candidate. We expense research and development costs as incurred.</w:t>
      </w:r>
    </w:p>
    <w:p>
      <w:pPr>
        <w:spacing w:after="0" w:line="14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accrue expenses for pre-clinical and clinical studies and activities performed by third parties based upon estimates of the proportion of work completed over the term of the individual trial and patient enrollment rates in accordance with agreements with third parties. We determine the estimates by reviewing contracts, vendor agreements and purchase orders, and through discussions with our internal clinical personnel and external service providers as to the progress or stage of completion of activities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6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manufacturing and distribution of clinical and pre-clinical supplies that will be used in future research and development activities, are deferred and recognized as expense in the period that the related goods are consumed or services are performed.</w:t>
      </w:r>
    </w:p>
    <w:p>
      <w:pPr>
        <w:spacing w:after="0" w:line="17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Milestone payments within our licensing and collaboration arrangements will be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we will accrue royalty expense and sublicense non-royalty payments, as applicable, for the amount we are obligated to pay, with adjustments as sales are made.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maintain a stock-based compensation plan as a long-term incentive for employees and non-employee consultants.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plan allows for the issuance of incentive stock options and non-qualified stock options.</w:t>
      </w:r>
    </w:p>
    <w:p>
      <w:pPr>
        <w:spacing w:after="0" w:line="19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for stock options on a straight-line basis over the requisite service period, which is the vesting period of the awards. Our stock-based compensation expense is based upon the grant date fair value of stock options estimated using the Black-Scholes option pricing model.</w:t>
      </w:r>
    </w:p>
    <w:p>
      <w:pPr>
        <w:spacing w:after="0" w:line="162" w:lineRule="exact"/>
        <w:rPr>
          <w:sz w:val="20"/>
          <w:szCs w:val="20"/>
          <w:color w:val="auto"/>
        </w:rPr>
      </w:pPr>
    </w:p>
    <w:p>
      <w:pPr>
        <w:jc w:val="both"/>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Estimating the fair value of stock options as of the grant date using the Black-Scholes option pricing model is affected by input assumptions which consider a number of variables. The input assumption relating to the fair value of our common stock for grants made prior to our initial public offering was subjective and required judgment to develop.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0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Sarbanes-Oxley.</w:t>
      </w:r>
    </w:p>
    <w:p>
      <w:pPr>
        <w:spacing w:after="0" w:line="175"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among other factors, the market value of our common stock held by non-affiliates exceeded $700.0 million as of the last business day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second fiscal quarter of such year (subject to certain conditions), or (iv) the date on which we have issued more than $1.0 billion in non-convertible debt securities during the prior three-year period.</w:t>
      </w:r>
    </w:p>
    <w:p>
      <w:pPr>
        <w:spacing w:after="0" w:line="148"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inflation has had a material effect on our results of operations during the periods presented and do not anticipate a material impact going forward.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Boston, MA, Audit Firm ID: 185)</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520" w:type="dxa"/>
            <w:vAlign w:val="bottom"/>
            <w:gridSpan w:val="8"/>
            <w:vMerge w:val="continue"/>
          </w:tcPr>
          <w:p>
            <w:pPr>
              <w:spacing w:after="0"/>
              <w:rPr>
                <w:sz w:val="13"/>
                <w:szCs w:val="13"/>
                <w:color w:val="auto"/>
              </w:rPr>
            </w:pPr>
          </w:p>
        </w:tc>
        <w:tc>
          <w:tcPr>
            <w:tcW w:w="38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425"/>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Balance Sheets as of December 31, 2024 and 2023</w:t>
            </w:r>
          </w:p>
        </w:tc>
        <w:tc>
          <w:tcPr>
            <w:tcW w:w="4300" w:type="dxa"/>
            <w:vAlign w:val="bottom"/>
            <w:gridSpan w:val="4"/>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Operations and Comprehensive Loss for the Years Ended December 31, 2024 and 2023</w:t>
            </w:r>
          </w:p>
        </w:tc>
        <w:tc>
          <w:tcPr>
            <w:tcW w:w="1200" w:type="dxa"/>
            <w:vAlign w:val="bottom"/>
            <w:gridSpan w:val="2"/>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412"/>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Statements of Convertible Preferred Stock and Stockholders’ Equity (Deficit) for the Years Ended December 31,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420" w:type="dxa"/>
            <w:vAlign w:val="bottom"/>
          </w:tcPr>
          <w:p>
            <w:pPr>
              <w:spacing w:after="0"/>
              <w:rPr>
                <w:sz w:val="17"/>
                <w:szCs w:val="17"/>
                <w:color w:val="auto"/>
              </w:rPr>
            </w:pPr>
          </w:p>
        </w:tc>
        <w:tc>
          <w:tcPr>
            <w:tcW w:w="3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Statements of Cash Flows for the Years Ended December 31, 2024 and 2023</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12"/>
        </w:trPr>
        <w:tc>
          <w:tcPr>
            <w:tcW w:w="5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3020" w:type="dxa"/>
            <w:vAlign w:val="bottom"/>
            <w:gridSpan w:val="3"/>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0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ArriVent BioPharma, Inc. (the Company) as of December 31, 2024 and 2023, the related statements of operations and comprehensive loss, convertible preferred stock and stockholders’ equity (deficit), and cash flows for the years then ended, and the related notes (collectively, the financial statements). In our opinion, the financial statements present fairly, in all material respects, the financial position of the Company as of December 31, 2024 and 2023, and the results of its operations and its cash flows for the years then ended, in conformity with U.S. generally accepted accounting principles.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150,000,000 shares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0 and 150,000,000 shares issued and outstanding at December 31, 2024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2023, respectively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147,619,034 shares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0 and 147,619,034 shares issued and outstanding at December 31, 2024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2023, respectively</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outstanding</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33,706,765 and</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2,745,480 shares issued and outstanding at December 31, 2024 and 2023,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5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Share information: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31,469,328</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2,140,951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600" w:type="dxa"/>
            <w:vAlign w:val="bottom"/>
            <w:gridSpan w:val="6"/>
          </w:tcPr>
          <w:p>
            <w:pPr>
              <w:ind w:left="54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620" w:type="dxa"/>
            <w:vAlign w:val="bottom"/>
            <w:tcBorders>
              <w:right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220" w:type="dxa"/>
            <w:vAlign w:val="bottom"/>
            <w:tcBorders>
              <w:right w:val="single" w:sz="8" w:color="auto"/>
            </w:tcBorders>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convertible preferred stock convertible preferred stock</w:t>
            </w:r>
          </w:p>
        </w:tc>
        <w:tc>
          <w:tcPr>
            <w:tcW w:w="60" w:type="dxa"/>
            <w:vAlign w:val="bottom"/>
          </w:tcPr>
          <w:p>
            <w:pPr>
              <w:spacing w:after="0"/>
              <w:rPr>
                <w:sz w:val="14"/>
                <w:szCs w:val="14"/>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Other Comprehensive</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2"/>
                <w:szCs w:val="12"/>
                <w:color w:val="auto"/>
              </w:rPr>
            </w:pPr>
          </w:p>
        </w:tc>
        <w:tc>
          <w:tcPr>
            <w:tcW w:w="7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132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128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Balance, January 1,</w:t>
            </w: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149,865</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104,761,894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109,706</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2,597,738</w:t>
            </w:r>
          </w:p>
        </w:tc>
        <w:tc>
          <w:tcPr>
            <w:tcW w:w="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(88,512)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(85,109)</w:t>
            </w:r>
          </w:p>
        </w:tc>
        <w:tc>
          <w:tcPr>
            <w:tcW w:w="0" w:type="dxa"/>
            <w:vAlign w:val="bottom"/>
          </w:tcPr>
          <w:p>
            <w:pPr>
              <w:spacing w:after="0"/>
              <w:rPr>
                <w:sz w:val="1"/>
                <w:szCs w:val="1"/>
                <w:color w:val="auto"/>
              </w:rPr>
            </w:pPr>
          </w:p>
        </w:tc>
      </w:tr>
      <w:tr>
        <w:trPr>
          <w:trHeight w:val="136"/>
        </w:trPr>
        <w:tc>
          <w:tcPr>
            <w:tcW w:w="1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Series B</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convertible preferred</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stock at $1.05 per</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share, net of issuance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costs of $81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42,857,140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44,919</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Repurchase of</w:t>
            </w: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(7,387)</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stock</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0" w:type="dxa"/>
            <w:vAlign w:val="bottom"/>
          </w:tcPr>
          <w:p>
            <w:pPr>
              <w:spacing w:after="0"/>
              <w:rPr>
                <w:sz w:val="1"/>
                <w:szCs w:val="1"/>
                <w:color w:val="auto"/>
              </w:rPr>
            </w:pPr>
          </w:p>
        </w:tc>
      </w:tr>
      <w:tr>
        <w:trPr>
          <w:trHeight w:val="136"/>
        </w:trPr>
        <w:tc>
          <w:tcPr>
            <w:tcW w:w="1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Stock-based</w:t>
            </w: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(69,333)</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(69,333)</w:t>
            </w:r>
          </w:p>
        </w:tc>
        <w:tc>
          <w:tcPr>
            <w:tcW w:w="0" w:type="dxa"/>
            <w:vAlign w:val="bottom"/>
          </w:tcPr>
          <w:p>
            <w:pPr>
              <w:spacing w:after="0"/>
              <w:rPr>
                <w:sz w:val="1"/>
                <w:szCs w:val="1"/>
                <w:color w:val="auto"/>
              </w:rPr>
            </w:pPr>
          </w:p>
        </w:tc>
      </w:tr>
      <w:tr>
        <w:trPr>
          <w:trHeight w:val="116"/>
        </w:trPr>
        <w:tc>
          <w:tcPr>
            <w:tcW w:w="1280" w:type="dxa"/>
            <w:vAlign w:val="bottom"/>
            <w:tcBorders>
              <w:top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Balance,</w:t>
            </w: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149,865</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147,619,034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154,625</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2,745,480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(157,845)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(153,193)</w:t>
            </w:r>
          </w:p>
        </w:tc>
        <w:tc>
          <w:tcPr>
            <w:tcW w:w="0" w:type="dxa"/>
            <w:vAlign w:val="bottom"/>
          </w:tcPr>
          <w:p>
            <w:pPr>
              <w:spacing w:after="0"/>
              <w:rPr>
                <w:sz w:val="1"/>
                <w:szCs w:val="1"/>
                <w:color w:val="auto"/>
              </w:rPr>
            </w:pPr>
          </w:p>
        </w:tc>
      </w:tr>
      <w:tr>
        <w:trPr>
          <w:trHeight w:val="116"/>
        </w:trPr>
        <w:tc>
          <w:tcPr>
            <w:tcW w:w="12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w:t>
            </w: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stock in initial public</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offering, net of</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 of</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$18,032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11,180,555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183,217</w:t>
            </w:r>
          </w:p>
        </w:tc>
        <w:tc>
          <w:tcPr>
            <w:tcW w:w="0" w:type="dxa"/>
            <w:vAlign w:val="bottom"/>
          </w:tcPr>
          <w:p>
            <w:pPr>
              <w:spacing w:after="0"/>
              <w:rPr>
                <w:sz w:val="1"/>
                <w:szCs w:val="1"/>
                <w:color w:val="auto"/>
              </w:rPr>
            </w:pPr>
          </w:p>
        </w:tc>
      </w:tr>
      <w:tr>
        <w:trPr>
          <w:trHeight w:val="136"/>
        </w:trPr>
        <w:tc>
          <w:tcPr>
            <w:tcW w:w="1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Conversion of</w:t>
            </w: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preferred</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into common</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(149,865)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(147,619,034)</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(154,625)</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19,567,306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304,490</w:t>
            </w:r>
          </w:p>
        </w:tc>
        <w:tc>
          <w:tcPr>
            <w:tcW w:w="0" w:type="dxa"/>
            <w:vAlign w:val="bottom"/>
          </w:tcPr>
          <w:p>
            <w:pPr>
              <w:spacing w:after="0"/>
              <w:rPr>
                <w:sz w:val="1"/>
                <w:szCs w:val="1"/>
                <w:color w:val="auto"/>
              </w:rPr>
            </w:pPr>
          </w:p>
        </w:tc>
      </w:tr>
      <w:tr>
        <w:trPr>
          <w:trHeight w:val="136"/>
        </w:trPr>
        <w:tc>
          <w:tcPr>
            <w:tcW w:w="1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Exercise of stock</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36"/>
        </w:trPr>
        <w:tc>
          <w:tcPr>
            <w:tcW w:w="1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Stock-based</w:t>
            </w: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0" w:type="dxa"/>
            <w:vAlign w:val="bottom"/>
          </w:tcPr>
          <w:p>
            <w:pPr>
              <w:spacing w:after="0"/>
              <w:rPr>
                <w:sz w:val="1"/>
                <w:szCs w:val="1"/>
                <w:color w:val="auto"/>
              </w:rPr>
            </w:pPr>
          </w:p>
        </w:tc>
      </w:tr>
      <w:tr>
        <w:trPr>
          <w:trHeight w:val="136"/>
        </w:trPr>
        <w:tc>
          <w:tcPr>
            <w:tcW w:w="1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Unrealized loss on</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(80,488)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(80,488)</w:t>
            </w:r>
          </w:p>
        </w:tc>
        <w:tc>
          <w:tcPr>
            <w:tcW w:w="0" w:type="dxa"/>
            <w:vAlign w:val="bottom"/>
          </w:tcPr>
          <w:p>
            <w:pPr>
              <w:spacing w:after="0"/>
              <w:rPr>
                <w:sz w:val="1"/>
                <w:szCs w:val="1"/>
                <w:color w:val="auto"/>
              </w:rPr>
            </w:pPr>
          </w:p>
        </w:tc>
      </w:tr>
      <w:tr>
        <w:trPr>
          <w:trHeight w:val="116"/>
        </w:trPr>
        <w:tc>
          <w:tcPr>
            <w:tcW w:w="12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Balance,</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33,706,765</w:t>
            </w:r>
          </w:p>
        </w:tc>
        <w:tc>
          <w:tcPr>
            <w:tcW w:w="40" w:type="dxa"/>
            <w:vAlign w:val="bottom"/>
          </w:tcPr>
          <w:p>
            <w:pPr>
              <w:spacing w:after="0"/>
              <w:rPr>
                <w:sz w:val="10"/>
                <w:szCs w:val="10"/>
                <w:color w:val="auto"/>
              </w:rPr>
            </w:pP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496,195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(211)</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(238,333)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257,654</w:t>
            </w:r>
          </w:p>
        </w:tc>
        <w:tc>
          <w:tcPr>
            <w:tcW w:w="0" w:type="dxa"/>
            <w:vAlign w:val="bottom"/>
          </w:tcPr>
          <w:p>
            <w:pPr>
              <w:spacing w:after="0"/>
              <w:rPr>
                <w:sz w:val="1"/>
                <w:szCs w:val="1"/>
                <w:color w:val="auto"/>
              </w:rPr>
            </w:pPr>
          </w:p>
        </w:tc>
      </w:tr>
      <w:tr>
        <w:trPr>
          <w:trHeight w:val="148"/>
        </w:trPr>
        <w:tc>
          <w:tcPr>
            <w:tcW w:w="12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December 31, 2024</w:t>
            </w:r>
          </w:p>
        </w:tc>
        <w:tc>
          <w:tcPr>
            <w:tcW w:w="82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in an initial public offering, net of issuance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the sale of Series B convertible preferred stock, net of issuance costs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offering costs transferred to additional paid-in-capital</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(See Note 11). The Company’s lead development candidate, firmonertinib, is a third-generation tyrosine kinase inhibitor currently being evaluated in multiple clinical trials across a range of epidermal growth factor receptor mutations in non-small cell lung cancer (“NSCLC”),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Development-Stage Risks and Liquidity</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$238.3 million as of December 31, 2024. The Company anticipates incurring additional losses until such time, if ever, that it can generate significant sales from its product candidates currently in development. Management believes that the aggregate balance of cash and cash equivalents, and short and long-term investments of $266.5 million as of December 31, 2024 are sufficient to sustain planned operations through at least twelve months from the issuance date of these financial statements.</w:t>
      </w:r>
    </w:p>
    <w:p>
      <w:pPr>
        <w:spacing w:after="0" w:line="18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center"/>
        <w:ind w:left="60" w:right="339"/>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76" w:lineRule="exact"/>
        <w:rPr>
          <w:sz w:val="20"/>
          <w:szCs w:val="20"/>
          <w:color w:val="auto"/>
        </w:rPr>
      </w:pPr>
    </w:p>
    <w:p>
      <w:pPr>
        <w:jc w:val="both"/>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Significant areas that require management’s estimates include the fair value of the Company’s common stock prior to its initial public offering, and accrued research and development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amounts of cash equivalents and accounts payable approximate fair value due to the short-term nature of those instruments.</w:t>
      </w:r>
    </w:p>
    <w:p>
      <w:pPr>
        <w:spacing w:after="0" w:line="162" w:lineRule="exact"/>
        <w:rPr>
          <w:sz w:val="20"/>
          <w:szCs w:val="20"/>
          <w:color w:val="auto"/>
        </w:rPr>
      </w:pPr>
    </w:p>
    <w:p>
      <w:pPr>
        <w:ind w:left="60" w:right="499" w:firstLine="441"/>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of assets or liabilities between Level 1, Level 2 or Level 3 during the years ended December 31,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Cash equivalents</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$69.3 million and $124.3 million at December 31,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Investments</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based upon its intent with regard to such investments. The Company classifies investments as short-term when their remaining contractual maturities are one year or less from the balance sheet date, and as long-term when the investment has a remaining contractual maturity of more than one year from the balance sheet date.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 Concentration of credit risk</w:t>
      </w:r>
    </w:p>
    <w:p>
      <w:pPr>
        <w:spacing w:after="0" w:line="22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short and long-term investments. The Company maintains its balances at high quality, accredited financial institutions and, accordingly, it believes such funds are subject to minimal credit risk. The Company has not experienced any losses in such accounts and believes it is not exposed to significant risk on these balances. The Company has no financial instruments with off-balance sheet risk of loss.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 Leases</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its classification, and its term at the lease commencement date. Leases with a term greater than one year will be recognized on the balance sheet as right-of-use (“ROU”) assets, current lease liabilities, and if applicable, long-term lease liabilities. The Company has elected certain practical expedients permitted under the transition guidance to not record short-term leases (terms less than 12 months). Lease liabilities and the corresponding ROU assets are recorded based on the present values of lease payments over the lease term. The interest rate implicit in lease contracts is typically not readily determinable. As such, the Company utilizes the appropriate incremental borrowing rates, which are the rates that would be incurred to borrow on a collateralized basis, over similar terms, amounts equal to the lease payments in a similar economic environment. Payments for non-lease components or that are variable in nature that do not depend on a rate or index are not included in the lease liability and are typically expensed as incurred. If significant events, changes in circumstances, or other events indicate that the lease term or other inputs have changed, the Company would reassess lease classification, remeasure the lease liability using revised inputs as of the reassessment date, and adjust the ROU assets. Lease expense is recognized on a straight-line basis over the expected lease term for operating-classified leases.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 Research and Development Costs</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recorded as expense as incurred and principally consist of contract research organization costs as well as personnel costs, and amounts paid to third parties for up-front and milestone payments made under license and collaboration agreements.</w:t>
      </w:r>
    </w:p>
    <w:p>
      <w:pPr>
        <w:spacing w:after="0" w:line="176" w:lineRule="exact"/>
        <w:rPr>
          <w:sz w:val="20"/>
          <w:szCs w:val="20"/>
          <w:color w:val="auto"/>
        </w:rPr>
      </w:pPr>
    </w:p>
    <w:p>
      <w:pPr>
        <w:ind w:left="60" w:right="259" w:firstLine="441"/>
        <w:spacing w:after="0" w:line="258" w:lineRule="auto"/>
        <w:rPr>
          <w:sz w:val="20"/>
          <w:szCs w:val="20"/>
          <w:color w:val="auto"/>
        </w:rPr>
      </w:pPr>
      <w:r>
        <w:rPr>
          <w:rFonts w:ascii="Times New Roman" w:cs="Times New Roman" w:eastAsia="Times New Roman" w:hAnsi="Times New Roman"/>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spacing w:after="0" w:line="179"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Stock-Based Compensation Expense</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including stock options, at their grant-date fair value and records compensation expense over the requisite service period, which is the vesting period of the awards. The Company accounts for forfeitures as they occur.</w:t>
      </w:r>
    </w:p>
    <w:p>
      <w:pPr>
        <w:spacing w:after="0" w:line="176"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Estimating the fair value of stock options requires the use of subjective assumptions, including the fair value of the Company’s common stock (prior to its initial public offering in January 2024), the expected term of the option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expected stock price volatility. The Company uses the Black-Scholes option-pricing model to value its stock option awards. The assumptions used in calculating the fair value of stock options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64"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fair value of the Company’s common stock, prior to its initial public offering, was estimated by the Company’s board of directors, with input from management considering the most recently available third-party valuation of the Company’s common stock. Subsequent to its initial public offering on January 26, 2024, the fair value of common stock is based on the closing market price of common stock on the date of grant. The expected term of stock options for employees is estimated using the “simplified method,” as the Company has limited historical information to develop reasonable expectations about future exercise patterns and post-vesting employment termination behavior for its stock option grants. The simplified method is the midpoint between the vesting date and the contractual term of the option. The contractual term is used as the expected term for stock options granted to non-employees. For stock price volatility, the Company uses comparable public companies as a basis for the expected volatility to calculate the fair value of option grants. The risk-free rate is based on the U.S. Treasury yield curve commensurate with the expected term of the option. The expected dividend yield is zero given the Company does not expect to pay dividends for the foreseeable future.</w:t>
      </w:r>
    </w:p>
    <w:p>
      <w:pPr>
        <w:spacing w:after="0" w:line="188"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Net Loss per Share</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8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per share, basic and diluted (in thousands, except share and per share data):</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31,469,328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Weighted-average shares of common stock subject to repurchase</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4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31,469,328</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2,140,951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F-10</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 (as converted to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9,861,923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 (as converted to common stock)</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9,705,383</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2,531,144</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1,683,156</w:t>
            </w:r>
          </w:p>
        </w:tc>
      </w:tr>
      <w:tr>
        <w:trPr>
          <w:trHeight w:val="210"/>
        </w:trPr>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2,531,144</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21,250,462</w:t>
            </w:r>
          </w:p>
        </w:tc>
      </w:tr>
      <w:tr>
        <w:trPr>
          <w:trHeight w:val="20"/>
        </w:trPr>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 Income Taxes</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will recognize interest and penalties related to uncertain tax positions as a component of income tax expense (benefit).</w:t>
      </w:r>
    </w:p>
    <w:p>
      <w:pPr>
        <w:spacing w:after="0" w:line="184"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Accounting Pronouncements Recently Adopted</w:t>
      </w:r>
    </w:p>
    <w:p>
      <w:pPr>
        <w:spacing w:after="0" w:line="227" w:lineRule="exact"/>
        <w:rPr>
          <w:sz w:val="20"/>
          <w:szCs w:val="20"/>
          <w:color w:val="auto"/>
        </w:rPr>
      </w:pPr>
    </w:p>
    <w:p>
      <w:pPr>
        <w:ind w:left="60" w:right="4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to improve reportable segment disclosure requirements through incremental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including for companies with a single reportable segment. This standard is effective for fiscal years beginning after December 15, 2023, and interim periods within fiscal years beginning after December 15, 2024, with retrospective application required. The Company adopted this standard in fiscal year 2024. See Note 12, Segment Information.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 Accounting Pronouncements Not Yet Adopted</w:t>
      </w:r>
    </w:p>
    <w:p>
      <w:pPr>
        <w:spacing w:after="0" w:line="227" w:lineRule="exact"/>
        <w:rPr>
          <w:sz w:val="20"/>
          <w:szCs w:val="20"/>
          <w:color w:val="auto"/>
        </w:rPr>
      </w:pPr>
    </w:p>
    <w:p>
      <w:pPr>
        <w:ind w:left="60" w:right="239" w:firstLine="324"/>
        <w:spacing w:after="0" w:line="275"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This standard includes the requirement that public business entities, on an annual basis, disclose specific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state, and foreign taxes and</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state, and foreign. Lastly, this standard eliminates the requirement for all entities to disclose the nature and estimate of the range of the reasonably possible change in the unrecognized tax benefits balance in the next 12 months or make a statement that an estimate of the range cannot be made. This standard is effective for the Company for the annual period beginning January 1, 2026 (or January 1, 2025 if the Company loses its status as an emerging growth company within 2025). Early adoption is permitted. This standard should be applied on a prospective basis. Retrospective application is permitted. The Company is currently evaluating the impact that this standard may have on its financial statements.</w:t>
      </w:r>
    </w:p>
    <w:p>
      <w:pPr>
        <w:spacing w:after="0" w:line="19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standard requires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to disclose on an annual and interim basis, disaggregated information about specific income statement expense categories.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This standard is effective for the Company for the annual period beginning January 1, 2027 and interim periods beginning January 1, 2028. Early adoption is permitted. This standard can be applied prospectively for reporting periods after the effective date or retrospectively to any or all prior periods presented in the financial statements. The Company is currently evaluating the impact that this standard may have on its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 Reverse Stock Split</w:t>
      </w:r>
    </w:p>
    <w:p>
      <w:pPr>
        <w:spacing w:after="0" w:line="229"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Articles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 License and Collaboration Agreements</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license and collaborative agreements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None of the license and collaboration agreements discussed in Note 11 represent transactions with customers.</w:t>
      </w:r>
    </w:p>
    <w:p>
      <w:pPr>
        <w:spacing w:after="0" w:line="192"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equivalents and available-for-sale securities’ carrying amounts, fair values, and fair value hierarchy as of December 31,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9"/>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49,031</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114,577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261,758</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$ 261,547</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$ 49,031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$ 212,516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2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$ 124,322</w:t>
            </w:r>
          </w:p>
        </w:tc>
        <w:tc>
          <w:tcPr>
            <w:tcW w:w="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$ 124,322</w:t>
            </w:r>
          </w:p>
        </w:tc>
        <w:tc>
          <w:tcPr>
            <w:tcW w:w="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8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124,322</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$ 124,322</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$ 124,322</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59" w:firstLine="324"/>
        <w:spacing w:after="0" w:line="289" w:lineRule="auto"/>
        <w:rPr>
          <w:sz w:val="20"/>
          <w:szCs w:val="20"/>
          <w:color w:val="auto"/>
        </w:rPr>
      </w:pPr>
      <w:r>
        <w:rPr>
          <w:rFonts w:ascii="Times New Roman" w:cs="Times New Roman" w:eastAsia="Times New Roman" w:hAnsi="Times New Roman"/>
          <w:sz w:val="17"/>
          <w:szCs w:val="17"/>
          <w:color w:val="auto"/>
        </w:rPr>
        <w:t>Cash balances were $5,000 and $26,067 at December 31, 2024 and 2023, respectively. Money market fund accounts are highly liquid investments. The pricing information on the Company’s money market fund account is based on quoted prices in active markets. This approach results in a classification of these securities as Level 1 of the fair value hierarchy.</w:t>
      </w:r>
    </w:p>
    <w:p>
      <w:pPr>
        <w:spacing w:after="0" w:line="158" w:lineRule="exact"/>
        <w:rPr>
          <w:sz w:val="20"/>
          <w:szCs w:val="20"/>
          <w:color w:val="auto"/>
        </w:rPr>
      </w:pPr>
    </w:p>
    <w:p>
      <w:pPr>
        <w:ind w:left="60" w:right="99" w:firstLine="441"/>
        <w:spacing w:after="0" w:line="255"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3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09"/>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3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gridSpan w:val="2"/>
          </w:tcPr>
          <w:p>
            <w:pPr>
              <w:jc w:val="right"/>
              <w:ind w:right="2296"/>
              <w:spacing w:after="0"/>
              <w:rPr>
                <w:sz w:val="20"/>
                <w:szCs w:val="20"/>
                <w:color w:val="auto"/>
              </w:rPr>
            </w:pPr>
            <w:r>
              <w:rPr>
                <w:rFonts w:ascii="Times New Roman" w:cs="Times New Roman" w:eastAsia="Times New Roman" w:hAnsi="Times New Roman"/>
                <w:sz w:val="18"/>
                <w:szCs w:val="18"/>
                <w:color w:val="auto"/>
              </w:rPr>
              <w:t>F-13</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470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r>
      <w:tr>
        <w:trPr>
          <w:trHeight w:val="20"/>
        </w:trPr>
        <w:tc>
          <w:tcPr>
            <w:tcW w:w="4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has two operating leases that it subleases for its office space in California, one of which commenced in January 2022 with an original lease term through January 2024 (which ended in January 2024) and one of which commenced in November 2023 with an original lease term through January 2026. The Company also leases other office space with an initial lease term of less than twelve months; therefore, it does not recognize this lease as an operating lease on the balance sheet.</w:t>
      </w:r>
    </w:p>
    <w:p>
      <w:pPr>
        <w:spacing w:after="0" w:line="183"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Operating lease expense was $0.2 million and $0.2 million for the years ended December 31, 2024 and 2023, respectively. The Company’s remaining lease term and discount rate for its operating lease as of December 31, 2024 are 1.08 years and 10.0%,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Future maturities of operating lease liabilities were as follows as of December 31, 2024 (in thousands):</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Cash paid for rent expense recorded during the years ended December 31, 2024 and 2023 was $0.2 million and $0.2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cancellable by the Company upon prior written notice although, purchase orders for clinical materials are generally non-cancellable. Payments due upon cancellation consist only of payments for services provided or expenses incurred, including non-cancellable obligations of the Company’s service providers, up to the date of cancellation or upon completion of a manufacturing run.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for employees. The 401(k) plan qualifies as a deferred salary arrangement under Section 401(k) of the Internal Revenue Code. Under the 401(k) plan, participating employees may defer a portion of their pre-tax earnings. The Company contributes 100% of employee salary deferral contributions up to 4% of pay for each payroll period. The Company contributions to the 401(k) plan during the years ended December 31, 2024 and 2023, were $0.5 million and $0.4 million,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of the assessment and/or remediation can be reasonably estimated.</w:t>
      </w:r>
    </w:p>
    <w:p>
      <w:pPr>
        <w:spacing w:after="0" w:line="172" w:lineRule="exact"/>
        <w:rPr>
          <w:sz w:val="20"/>
          <w:szCs w:val="20"/>
          <w:color w:val="auto"/>
        </w:rPr>
      </w:pPr>
    </w:p>
    <w:p>
      <w:pPr>
        <w:ind w:left="60" w:right="4899" w:hanging="10"/>
        <w:spacing w:after="0" w:line="503" w:lineRule="auto"/>
        <w:tabs>
          <w:tab w:leader="none" w:pos="38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 and Common Stock Convertible Preferred Stock</w:t>
      </w: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June 2021, the Company sold 90,000,000 shares of Series A convertible preferred stock (“Series A”) at an original issuance price of $1.00 per share. In February 2022, the Company sold 60,000,000 shares of Series A at an original issuance price of $1.00 per share. In December 2022, the Company sold 104,761,894 shares of Series B convertible preferred stock (“Series B”) at an original issuance price of $1.05 per share. In March 2023, the Company sold 42,857,140 shares of Series B at an original issuance price of $1.05 per share. The Series A and Series B stock were converted to common stock at the Company’s January 2024 initial public offering.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Convertible Preferred Stock</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Prior to their conversion into common stock, the Series A and Series B were classified outside of stockholders’ equity (deficit) because the holders of such shares had redemption rights in the event of a Deemed Liquidation Event that was not solely within the control of the Company. Because the occurrence of a Deemed Liquidation Event was never considered probable, the carrying values of the Convertible Preferred Stock were not accreted to their redemption values.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Unless required by law, there shall be no cumulative voting. In the event of any voluntary or involuntary liquidation, dissolution or winding up of the Company, after the payment of all preferential amounts required to be paid to any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left="60" w:right="239" w:firstLine="324"/>
        <w:spacing w:after="0" w:line="273" w:lineRule="auto"/>
        <w:rPr>
          <w:sz w:val="20"/>
          <w:szCs w:val="20"/>
          <w:color w:val="auto"/>
        </w:rPr>
      </w:pPr>
      <w:r>
        <w:rPr>
          <w:rFonts w:ascii="Times New Roman" w:cs="Times New Roman" w:eastAsia="Times New Roman" w:hAnsi="Times New Roman"/>
          <w:sz w:val="17"/>
          <w:szCs w:val="17"/>
          <w:color w:val="auto"/>
        </w:rPr>
        <w:t>In June 2021, the Company adopted the 2021 Employee, Director and Consultant Equity Incentive Plan (the “2021 Plan”), as amended,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December 31, 2024, there were 3,742,510 shares available to be granted. The Company’s stock options generally vest over four years. The Company recorded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 the following expense categories in its accompanying statements of operations and comprehensive loss (in thousands):</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7"/>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1,880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3,208</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1,683,156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2,531,144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50,352</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724,934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gridSpan w:val="2"/>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2,531,144</w:t>
            </w:r>
          </w:p>
        </w:tc>
        <w:tc>
          <w:tcPr>
            <w:tcW w:w="26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6.77</w:t>
            </w:r>
          </w:p>
        </w:tc>
        <w:tc>
          <w:tcPr>
            <w:tcW w:w="2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8.28</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50,252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2024 and 2023 were $7.52 and $3.57 per share, respectively. The fair value was estimated using the Black-Scholes option-pricing model based on the following assumptions:</w:t>
      </w: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- 4.66%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3.45% - 4.86%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- 98.6%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89.3% - 92.5%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 (a)</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5.85 - 24.58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2.71 - 4.86</w:t>
            </w:r>
          </w:p>
        </w:tc>
      </w:tr>
    </w:tbl>
    <w:p>
      <w:pPr>
        <w:spacing w:after="0" w:line="189" w:lineRule="exact"/>
        <w:rPr>
          <w:sz w:val="20"/>
          <w:szCs w:val="20"/>
          <w:color w:val="auto"/>
        </w:rPr>
      </w:pPr>
    </w:p>
    <w:p>
      <w:pPr>
        <w:ind w:left="380" w:right="79" w:hanging="330"/>
        <w:spacing w:after="0" w:line="298" w:lineRule="auto"/>
        <w:tabs>
          <w:tab w:leader="none" w:pos="3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initial public offering on January 26, 2024, the fair value of common stock is based on the closing market price of common stock on the date of grant.</w:t>
      </w:r>
    </w:p>
    <w:p>
      <w:pPr>
        <w:spacing w:after="0" w:line="160"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December 31, 2024 was $9.5 million and will be expensed over a weighted-average period of 2.5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380" w:hanging="330"/>
        <w:spacing w:after="0"/>
        <w:tabs>
          <w:tab w:leader="none" w:pos="3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incurred losses since inception and has not recorded current or deferred income taxes.</w:t>
      </w:r>
    </w:p>
    <w:p>
      <w:pPr>
        <w:spacing w:after="0" w:line="225"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income tax benefit at the statutory federal income tax rate and income taxes as reflected in the financial statements is as follows:</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U.S. federal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the financial statement carrying amounts and tax bases of assets and liabilities using enacted tax rates in effect for years in which differences are expected to reverse.</w:t>
      </w:r>
    </w:p>
    <w:p>
      <w:pPr>
        <w:spacing w:after="0" w:line="176" w:lineRule="exact"/>
        <w:rPr>
          <w:sz w:val="20"/>
          <w:szCs w:val="20"/>
          <w:color w:val="auto"/>
        </w:rPr>
      </w:pPr>
    </w:p>
    <w:p>
      <w:pPr>
        <w:ind w:left="60" w:right="759" w:firstLine="324"/>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for federal and state income taxes consisted of the following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2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200" w:type="dxa"/>
            <w:vAlign w:val="bottom"/>
          </w:tcPr>
          <w:p>
            <w:pPr>
              <w:spacing w:after="0"/>
              <w:rPr>
                <w:sz w:val="18"/>
                <w:szCs w:val="18"/>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20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records a valuation allowance against its net deferred tax asset when it is more likely than not that realization will not occur. The realization of deferred tax assets depends upon the Company’s ability to generate future taxable income or other tax planning strategies available in the relevant taxing jurisdiction. In evaluating the realizability of its deferred tax assets, Management must determine whether there will be sufficient taxable income to allow for the realization of deferred tax assets. Based upon the historical and anticipated future losses, Management has determined that the deferred tax assets do not meet the more-likely-than-not threshold for realizability. As a result, the Company recorded a valuation allowance against its net deferred tax assets as of December 31, 2024. The valuation allowance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increased by $24.7 million and $24.1 million during the years ended December 31, 2024 and 2023, respectively due to the current year pre-tax losses and research and development tax credits.</w:t>
      </w:r>
    </w:p>
    <w:p>
      <w:pPr>
        <w:spacing w:after="0" w:line="16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2024 and 2023, the Company had gross federal net operating loss (“NOL”) carryforwards of $67.4 million and $38.9 million, respectively, which will be carried forward indefinitely to offset future taxable income, subject to an 80 percent limitation of taxable income annually. The Company does not have any pre-2018 NOLs subject to expiration. As of December 31, 2024 and 2023, state NOLs exist of approximately $58.8 million and $25.5 million, respectively, subject to various carryforward periods with the first state NOLs beginning to expire in 2043. The Company also had research and development tax credit carryforwards of approximately $7.1 million and $3.5 million as of December 31, 2024 and 2023, respectively. The research credit carryforward will begin to expire in 2041. Under Sections 382 and 383 of the Internal Revenue Code of 1986, as amended, the Code, if a corporation undergoes an “ownership change,” the corporation’s ability to use its pre-change NOL carryforwards and credits to offset its post-change income and taxes may be limited. In general, an “ownership change” occurs if there is a cumulative change in ownership by one or more “5% shareholders” (as defined under U.S. income tax laws) that exceeds 50 percentage points over a rolling three-year period. Similar rules apply under state tax laws. The Company has not determined if it has experienced Section 382/383 ownership changes in the past and if a portion of the NOL and tax credit carryforwards are subject to an annual limitation under Section 382/383. In addition, the Company may experience ownership changes in the future as a result of subsequent shifts in stock ownership, some of which may be outside of its control.</w:t>
      </w:r>
    </w:p>
    <w:p>
      <w:pPr>
        <w:spacing w:after="0" w:line="19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no accrued interest or penalties related to uncertain tax positions and no amounts have been recognized in the Company’s financial statements. The Company is generally subject to three-year statute of limitations for federal and state; therefore, 2021 through the current year remain open for examination.</w:t>
      </w:r>
    </w:p>
    <w:p>
      <w:pPr>
        <w:spacing w:after="0" w:line="176" w:lineRule="exact"/>
        <w:rPr>
          <w:sz w:val="20"/>
          <w:szCs w:val="20"/>
          <w:color w:val="auto"/>
        </w:rPr>
      </w:pPr>
    </w:p>
    <w:p>
      <w:pPr>
        <w:ind w:left="380" w:right="5639" w:hanging="330"/>
        <w:spacing w:after="0" w:line="503" w:lineRule="auto"/>
        <w:tabs>
          <w:tab w:leader="none" w:pos="39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Collaboration Agreements </w:t>
      </w:r>
      <w:r>
        <w:rPr>
          <w:rFonts w:ascii="Times New Roman" w:cs="Times New Roman" w:eastAsia="Times New Roman" w:hAnsi="Times New Roman"/>
          <w:sz w:val="18"/>
          <w:szCs w:val="18"/>
          <w:i w:val="1"/>
          <w:iCs w:val="1"/>
          <w:color w:val="auto"/>
        </w:rPr>
        <w:t>Allist</w:t>
      </w: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spacing w:after="0" w:line="187"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Upon the achievement of certain clinical, regulatory and commercial milestones using the licensed technology, the Company is obligated to make future milestone payments to Allist of up to $105.0 million in clinical and regulatory milestones and up to $655.0 million in commercial milestones. Furthermore, royalties, ranging from high single digit to low mid-teen percentages will be payable to Allist on net sales of licensed products in licensed territories.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years ended December 31, 2024 and 2023, the Company incurred $0.9 million and $2.0 million, respectively, in cost reimbursements to Allist under the Clinical Collaboration which have been recorded as research and development expense. The Company also received cost reimbursements from Allist of $0.3 and $0.1 million for the years ended December 31, 2024 and 2023, respectively, which has been recorded as a reduction of research and development expenses. The Company paid $5.0 million in milestone payments to Allist during the year ended December 31, 2023. During the year ended December 31, 2024, no additional milestones were met or achieved, or were probable of achievement.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2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 (“Alphamab Agreement”).</w:t>
      </w:r>
    </w:p>
    <w:p>
      <w:pPr>
        <w:spacing w:after="0" w:line="176" w:lineRule="exact"/>
        <w:rPr>
          <w:sz w:val="20"/>
          <w:szCs w:val="20"/>
          <w:color w:val="auto"/>
        </w:rPr>
      </w:pPr>
    </w:p>
    <w:p>
      <w:pPr>
        <w:ind w:left="60" w:right="199" w:firstLine="324"/>
        <w:spacing w:after="0" w:line="281" w:lineRule="auto"/>
        <w:rPr>
          <w:sz w:val="20"/>
          <w:szCs w:val="20"/>
          <w:color w:val="auto"/>
        </w:rPr>
      </w:pPr>
      <w:r>
        <w:rPr>
          <w:rFonts w:ascii="Times New Roman" w:cs="Times New Roman" w:eastAsia="Times New Roman" w:hAnsi="Times New Roman"/>
          <w:sz w:val="17"/>
          <w:szCs w:val="17"/>
          <w:color w:val="auto"/>
        </w:rPr>
        <w:t>Under the Alphamab Agreement, both companies seek to leverage Alphamab’s proprietary linker-payload platform and glycan-conjugation technology to identify novel ADCs for oncology indications. The Alphamab Agreement gives the Company exclusive rights to develop and commercialize ADCs globally, except greater China, which includes mainland China, Hong Kong, Macau and Taiwan where Alphamab retains the right to develop and commercialize the ADCs.</w:t>
      </w:r>
    </w:p>
    <w:p>
      <w:pPr>
        <w:spacing w:after="0" w:line="164"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terms of the Alphamab Agreement include combined upfront and potential milestone payments to Alphamab of up to $615.5 million in aggregate, based on the achievement of certain regulatory, development, and commercial milestones. In addition, Alphamab is entitled to receive tiered sales royalties from the Company for net sales of each ADC product.</w:t>
      </w:r>
    </w:p>
    <w:p>
      <w:pPr>
        <w:spacing w:after="0" w:line="180"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upfront payment was recorded to research and development expense during the three-month period ended June 30, 2024. During the year ended December 31, 2024, the Company paid $0.2 million in cost reimbursements to Alphamab under the Alphamab Agreement which have also been recorded as research and development expense. No milestones have been met or achieved, or are probable of achievement, since the inception of the agreement.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2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After the completion of the SOWs, the Company has an exclusive option to license the Aarvik intellectual property, and the option to acquire certain of Aarvik’s intellectual property, after which it is the Company’s sole 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 to $80.0 million per product in commercial milestones. Additionally, the Company is obligated to pay Aarvik royalties in the mid-single digits based on net sales of licensed products.</w:t>
      </w:r>
    </w:p>
    <w:p>
      <w:pPr>
        <w:spacing w:after="0" w:line="194"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On August 9, 2024, the Company entered into an amendment and restatement of the Aarvik Collaboration Agreement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w:t>
      </w:r>
    </w:p>
    <w:p>
      <w:pPr>
        <w:spacing w:after="0" w:line="3" w:lineRule="exact"/>
        <w:rPr>
          <w:sz w:val="20"/>
          <w:szCs w:val="20"/>
          <w:color w:val="auto"/>
        </w:rPr>
      </w:pPr>
    </w:p>
    <w:p>
      <w:pPr>
        <w:ind w:left="60" w:right="99" w:hanging="10"/>
        <w:spacing w:after="0" w:line="252" w:lineRule="auto"/>
        <w:tabs>
          <w:tab w:leader="none" w:pos="2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agreed targets to which the compounds being developed under the collaboration bind, which is referred to as the Target Pair, and (ii) the acquisition of exclusive rights to certain intellectual property generated during the collaboration. The Company has not yet selected the indication or indications that it would pursue in the collaboration and anticipates doing so in connection with the identification of a lead candidate for IND-enabling activities. Under the Amended and Restated Aarvik Collaboration Agreement, the Company has paid Aarvik a collaboration initiation fee and research fees as provided in the SOWs in an aggregate amount of $4.9 million.</w:t>
      </w:r>
    </w:p>
    <w:p>
      <w:pPr>
        <w:spacing w:after="0" w:line="190"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$2.3 million and $1.7 million in research and development expenses related to the Aarvik SOWs during the years ended December 31, 2024 and 2023, respectively. With the exception of the option described above, no milestones have been met or achieved, or are probable of achievement, since the inception of the Aarvik Collaboration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spacing w:after="0" w:line="18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life science segment based on net loss, which is reported on the statement of operations and comprehensive loss. The measure of segment assets is reported on the balance sheet as total assets. All of the Company’s assets are located in the United States.</w:t>
      </w:r>
    </w:p>
    <w:p>
      <w:pPr>
        <w:spacing w:after="0" w:line="180"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spacing w:after="0" w:line="176"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Firmonertinib (excluding personnel-related and other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Firmonertinib</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Discovery-stage programs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Personnel-related and other internal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Personnel-related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Other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 (a)</w:t>
            </w:r>
          </w:p>
        </w:tc>
        <w:tc>
          <w:tcPr>
            <w:tcW w:w="2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4"/>
          <w:szCs w:val="14"/>
          <w:color w:val="auto"/>
        </w:rPr>
        <w:t>(a)</w:t>
        <w:tab/>
        <w:t>Other segment items is comprised of interest and investment income.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On January 21, 2025, the Company entered into an Exclusive License Agreement (the “Lepu Biopharma Agreement”) with Lepu Biopharma (“Lepu”), pursuant to which Lepu granted the Company a right to develop and commercialize ARR-217, an antibody drug conjugate for gastrointestinal cancers outside greater China, which is mainland China, Hong Kong, Macau and Taiwan (“Greater China”).</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Under the Lepu Biopharma Agreement, Lepu granted to the Company: (i) an exclusive, royalty-bearing, sublicensable license under certain intellectual property owned or controlled by Lepu, to develop, manufacture and commercialize any product containing ARR-217 for all uses in all countries and territories other than Greater China (the “ArriVent Territory”); and (ii) a non-exclusive license under certain intellectual property controlled by Lepu to develop, manufacture and commercialize any product containing ARR-217 for use in oncology in the ArriVent Territory. Under the Lepu Agreement, the Company paid Lepu a one-time upfront payment of $40 million, and Lepu is eligible to receive near-term milestone payments totaling another $7.0 million in cash. Finally, Lepu is eligible to receive up to $1.16 billion in development, regulatory and commercial milestones and tiered royalties in high single-digit to low-teen percentages on net sales in the ArriVent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8" w:lineRule="exact"/>
        <w:rPr>
          <w:sz w:val="20"/>
          <w:szCs w:val="20"/>
          <w:color w:val="auto"/>
        </w:rPr>
      </w:pPr>
    </w:p>
    <w:p>
      <w:pPr>
        <w:ind w:left="60" w:right="99" w:firstLine="324"/>
        <w:spacing w:after="0" w:line="293" w:lineRule="auto"/>
        <w:rPr>
          <w:sz w:val="20"/>
          <w:szCs w:val="20"/>
          <w:color w:val="auto"/>
        </w:rPr>
      </w:pPr>
      <w:r>
        <w:rPr>
          <w:rFonts w:ascii="Times New Roman" w:cs="Times New Roman" w:eastAsia="Times New Roman" w:hAnsi="Times New Roman"/>
          <w:sz w:val="17"/>
          <w:szCs w:val="17"/>
          <w:color w:val="auto"/>
        </w:rPr>
        <w:t>As of December 31, 2024, we conducted an evaluation, under the supervision and with the participation of our management, including our Chief Executive Officer and Chief Financial Officer, of our disclosure controls and procedures, as such term is defined under Rule 13a-15(e) and Rule 15d-15(e) promulgated under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ind w:left="60" w:right="79" w:firstLine="324"/>
        <w:spacing w:after="0" w:line="27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720" w:right="359" w:hanging="319"/>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9"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 in Internal Control over Financial Reporting</w:t>
      </w:r>
    </w:p>
    <w:p>
      <w:pPr>
        <w:spacing w:after="0" w:line="175" w:lineRule="exact"/>
        <w:rPr>
          <w:sz w:val="20"/>
          <w:szCs w:val="20"/>
          <w:color w:val="auto"/>
        </w:rPr>
      </w:pPr>
    </w:p>
    <w:p>
      <w:pPr>
        <w:ind w:left="60" w:right="159" w:firstLine="324"/>
        <w:spacing w:after="0" w:line="297" w:lineRule="auto"/>
        <w:rPr>
          <w:sz w:val="20"/>
          <w:szCs w:val="20"/>
          <w:color w:val="auto"/>
        </w:rPr>
      </w:pPr>
      <w:r>
        <w:rPr>
          <w:rFonts w:ascii="Times New Roman" w:cs="Times New Roman" w:eastAsia="Times New Roman" w:hAnsi="Times New Roman"/>
          <w:sz w:val="18"/>
          <w:szCs w:val="18"/>
          <w:color w:val="auto"/>
        </w:rPr>
        <w:t>During the year ended December 31, 2024, we completed the control enhancements and testing necessary to conclude that the previously noted material weaknesses were remediated.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 – Manual Journal Entries</w:t>
      </w:r>
    </w:p>
    <w:p>
      <w:pPr>
        <w:spacing w:after="0" w:line="173" w:lineRule="exact"/>
        <w:rPr>
          <w:sz w:val="20"/>
          <w:szCs w:val="20"/>
          <w:color w:val="auto"/>
        </w:rPr>
      </w:pPr>
    </w:p>
    <w:p>
      <w:pPr>
        <w:ind w:left="60" w:right="319" w:firstLine="324"/>
        <w:spacing w:after="0" w:line="281" w:lineRule="auto"/>
        <w:rPr>
          <w:sz w:val="20"/>
          <w:szCs w:val="20"/>
          <w:color w:val="auto"/>
        </w:rPr>
      </w:pPr>
      <w:r>
        <w:rPr>
          <w:rFonts w:ascii="Times New Roman" w:cs="Times New Roman" w:eastAsia="Times New Roman" w:hAnsi="Times New Roman"/>
          <w:sz w:val="18"/>
          <w:szCs w:val="18"/>
          <w:color w:val="auto"/>
        </w:rPr>
        <w:t>We have remediated the material weakness identified in our Annual Report on Form 10-K for the year ended December 31, 2023 concerning the review and approval of manual journal entries. In addressing this material weakness, we have undertaken actions in each of the steps identified below:</w:t>
      </w:r>
    </w:p>
    <w:p>
      <w:pPr>
        <w:spacing w:after="0" w:line="96" w:lineRule="exact"/>
        <w:rPr>
          <w:sz w:val="20"/>
          <w:szCs w:val="20"/>
          <w:color w:val="auto"/>
        </w:rPr>
      </w:pPr>
    </w:p>
    <w:p>
      <w:pPr>
        <w:ind w:left="1040" w:right="479" w:hanging="315"/>
        <w:spacing w:after="0" w:line="297"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developing, and retaining additional personnel with appropriate accounting and internal controls expertise;</w:t>
      </w:r>
    </w:p>
    <w:p>
      <w:pPr>
        <w:spacing w:after="0" w:line="95"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updating (as appropriate) our methodologies, policies, and procedures designed to ensure adequate internal control over financial reporting, including underlying information technology and business process controls; and</w:t>
      </w:r>
    </w:p>
    <w:p>
      <w:pPr>
        <w:spacing w:after="0" w:line="17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systems-level controls requiring the automated routing of manual journal entries for review by someone independent of the preparer before they are finalized in the Company’s books and records.</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 – Nonroutine Transactions</w:t>
      </w:r>
    </w:p>
    <w:p>
      <w:pPr>
        <w:spacing w:after="0" w:line="173"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We have remediated the material weakness identified in our Annual Report on Form 10-K for the year ended December 31, 2023 concerning the accounting for certain nonroutine transactions.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remediate the material weakness described above, we:</w:t>
      </w:r>
    </w:p>
    <w:p>
      <w:pPr>
        <w:spacing w:after="0" w:line="158" w:lineRule="exact"/>
        <w:rPr>
          <w:sz w:val="20"/>
          <w:szCs w:val="20"/>
          <w:color w:val="auto"/>
        </w:rPr>
      </w:pPr>
    </w:p>
    <w:p>
      <w:pPr>
        <w:ind w:left="1040" w:right="99" w:hanging="315"/>
        <w:spacing w:after="0" w:line="281"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temporary third-party resources with the appropriate level of technical knowledge and experience in accounting related to complex non-routine transactions and the related internal control activities to complement the existing corporate accounting resources;</w:t>
      </w:r>
    </w:p>
    <w:p>
      <w:pPr>
        <w:spacing w:after="0" w:line="109" w:lineRule="exact"/>
        <w:rPr>
          <w:rFonts w:ascii="Times New Roman" w:cs="Times New Roman" w:eastAsia="Times New Roman" w:hAnsi="Times New Roman"/>
          <w:sz w:val="18"/>
          <w:szCs w:val="18"/>
          <w:color w:val="auto"/>
        </w:rPr>
      </w:pPr>
    </w:p>
    <w:p>
      <w:pPr>
        <w:ind w:left="1040" w:right="619" w:hanging="315"/>
        <w:spacing w:after="0" w:line="297"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hire, develop and retain incremental full-time personnel with appropriate accounting and internal controls expertise; and,</w:t>
      </w:r>
    </w:p>
    <w:p>
      <w:pPr>
        <w:spacing w:after="0" w:line="95" w:lineRule="exact"/>
        <w:rPr>
          <w:rFonts w:ascii="Times New Roman" w:cs="Times New Roman" w:eastAsia="Times New Roman" w:hAnsi="Times New Roman"/>
          <w:sz w:val="18"/>
          <w:szCs w:val="18"/>
          <w:color w:val="auto"/>
        </w:rPr>
      </w:pPr>
    </w:p>
    <w:p>
      <w:pPr>
        <w:ind w:left="1040" w:right="339" w:hanging="315"/>
        <w:spacing w:after="0" w:line="274"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updated (as appropriate) our methodologies, policies and procedures designed to ensure we are able to more timely address our evaluation of complex non-routine transactions, including the related evidence of management’s review of the significant assumptions used in those evaluations</w:t>
      </w:r>
    </w:p>
    <w:p>
      <w:pPr>
        <w:spacing w:after="0" w:line="115" w:lineRule="exact"/>
        <w:rPr>
          <w:sz w:val="20"/>
          <w:szCs w:val="20"/>
          <w:color w:val="auto"/>
        </w:rPr>
      </w:pPr>
    </w:p>
    <w:p>
      <w:pPr>
        <w:ind w:left="60" w:right="359" w:firstLine="324"/>
        <w:spacing w:after="0" w:line="297" w:lineRule="auto"/>
        <w:rPr>
          <w:sz w:val="20"/>
          <w:szCs w:val="20"/>
          <w:color w:val="auto"/>
        </w:rPr>
      </w:pPr>
      <w:r>
        <w:rPr>
          <w:rFonts w:ascii="Times New Roman" w:cs="Times New Roman" w:eastAsia="Times New Roman" w:hAnsi="Times New Roman"/>
          <w:sz w:val="18"/>
          <w:szCs w:val="18"/>
          <w:color w:val="auto"/>
        </w:rPr>
        <w:t>Internal controls are a high priority for us. These remediation activities have strengthened our internal control over financial reporting and remediated these two material weaknesses.</w:t>
      </w:r>
    </w:p>
    <w:p>
      <w:pPr>
        <w:spacing w:after="0" w:line="95" w:lineRule="exact"/>
        <w:rPr>
          <w:sz w:val="20"/>
          <w:szCs w:val="20"/>
          <w:color w:val="auto"/>
        </w:rPr>
      </w:pPr>
    </w:p>
    <w:p>
      <w:pPr>
        <w:jc w:val="both"/>
        <w:ind w:left="60" w:right="79" w:firstLine="324"/>
        <w:spacing w:after="0" w:line="281" w:lineRule="auto"/>
        <w:rPr>
          <w:sz w:val="20"/>
          <w:szCs w:val="20"/>
          <w:color w:val="auto"/>
        </w:rPr>
      </w:pPr>
      <w:r>
        <w:rPr>
          <w:rFonts w:ascii="Times New Roman" w:cs="Times New Roman" w:eastAsia="Times New Roman" w:hAnsi="Times New Roman"/>
          <w:sz w:val="18"/>
          <w:szCs w:val="18"/>
          <w:color w:val="auto"/>
        </w:rPr>
        <w:t>We believe the consolidated financial statements included in the periods covered by this Annual Report on Form 10-K fairly present, in all material respects, our financial condition, results of operations and cash flows for the periods presented in conformity with U.S. GAAP.</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management assessed the effectiveness of the Company's internal control over financial reporting as of December 31, 2024, using the criteria set forth by the Committee of Sponsoring Organizations of the Treadway Commission in Internal Control - Integrated Framework (2013). We have evaluated the effectiveness of our internal control over financial reporting as of the end of the period covered by this Annual Report on Form 10-K, with the participation of our Chief Executive Officer and Chief Financial Officer, as well as other key members of our management. Based on this assessment, management concluded that, as of December 31, 2024, the Company's internal control over financial reporting was effective.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and is not required to include, an attestation report of our registered public accounting firm. Additionally, our independent registered public accounting firm will not be required to opine on our internal control over financial reporting until we are no longer an emerging growth company.</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Other than the items discussed above, there were no changes in our internal control over financial reporting during the fourth quarter of the year ended December 31, 2024 that have materially affected, or are reasonably likely to materially affect, our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25" w:lineRule="exact"/>
        <w:rPr>
          <w:sz w:val="20"/>
          <w:szCs w:val="20"/>
          <w:color w:val="auto"/>
        </w:rPr>
      </w:pPr>
    </w:p>
    <w:p>
      <w:pPr>
        <w:jc w:val="both"/>
        <w:ind w:left="60" w:right="119" w:firstLine="441"/>
        <w:spacing w:after="0" w:line="261" w:lineRule="auto"/>
        <w:rPr>
          <w:sz w:val="20"/>
          <w:szCs w:val="20"/>
          <w:color w:val="auto"/>
        </w:rPr>
      </w:pPr>
      <w:r>
        <w:rPr>
          <w:rFonts w:ascii="Times New Roman" w:cs="Times New Roman" w:eastAsia="Times New Roman" w:hAnsi="Times New Roman"/>
          <w:sz w:val="18"/>
          <w:szCs w:val="18"/>
          <w:color w:val="auto"/>
        </w:rPr>
        <w:t>During the fiscal quarter ended December 31,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“Corporate Code of Conduct” and “Insider Trading Policies” in our Proxy Statement for the 2025 Annual Meeting of Stockholders expected to be held on June 18, 2025.</w:t>
      </w:r>
    </w:p>
    <w:p>
      <w:pPr>
        <w:spacing w:after="0" w:line="1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in our Proxy Statement for the 2025 Annual Meeting of Stockholders expected to be held on June 18, 2025.</w:t>
      </w:r>
    </w:p>
    <w:p>
      <w:pPr>
        <w:spacing w:after="0" w:line="388" w:lineRule="exact"/>
        <w:rPr>
          <w:sz w:val="20"/>
          <w:szCs w:val="20"/>
          <w:color w:val="auto"/>
        </w:rPr>
      </w:pPr>
    </w:p>
    <w:p>
      <w:pPr>
        <w:jc w:val="center"/>
        <w:ind w:right="29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“Security Ownership of Certain Beneficial Owners and Management” in our Proxy Statement for the 2025 Annual Meeting of Stockholders expected to be held on June 18,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“Certain Relationships and Related Person Transactions” and “Management and Corporate Governance – Director Independence” in our Proxy Statement for the 2025 Annual Meeting of Stockholders expected to be held on June 18, 2025.</w:t>
      </w:r>
    </w:p>
    <w:p>
      <w:pPr>
        <w:spacing w:after="0" w:line="38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proposal entitled “Selection of Independent Registered Public Accounting Firm” in our Proxy Statement for the 2025 Annual Meeting of the Stockholders expected to be held on June18, 2025.</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400" w:right="119" w:hanging="350"/>
        <w:spacing w:after="0" w:line="266" w:lineRule="auto"/>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filed as part of this Annual Report are listed in the Index to Financial Statements. Certain schedules are omitted because they are not applicable, or not required, or because the required information is included in the financial statements or notes thereto. The Exhibits are listed in Item 15 (b) below.</w:t>
      </w:r>
    </w:p>
    <w:p>
      <w:pPr>
        <w:spacing w:after="0" w:line="175" w:lineRule="exact"/>
        <w:rPr>
          <w:rFonts w:ascii="Times New Roman" w:cs="Times New Roman" w:eastAsia="Times New Roman" w:hAnsi="Times New Roman"/>
          <w:sz w:val="18"/>
          <w:szCs w:val="18"/>
          <w:color w:val="auto"/>
        </w:rPr>
      </w:pPr>
    </w:p>
    <w:p>
      <w:pPr>
        <w:ind w:left="400" w:hanging="350"/>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760" w:type="dxa"/>
            <w:vAlign w:val="bottom"/>
            <w:gridSpan w:val="17"/>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76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vMerge w:val="continue"/>
          </w:tcPr>
          <w:p>
            <w:pPr>
              <w:spacing w:after="0"/>
              <w:rPr>
                <w:sz w:val="14"/>
                <w:szCs w:val="14"/>
                <w:color w:val="auto"/>
              </w:rPr>
            </w:pPr>
          </w:p>
        </w:tc>
        <w:tc>
          <w:tcPr>
            <w:tcW w:w="712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Amended and Restated Certificate of Incorporation (incorporated by reference to Exhibit 3.1 of the</w:t>
              </w:r>
            </w:hyperlink>
          </w:p>
        </w:tc>
        <w:tc>
          <w:tcPr>
            <w:tcW w:w="8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80" w:type="dxa"/>
            <w:vAlign w:val="bottom"/>
            <w:gridSpan w:val="18"/>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Registrant’s Current Report on Form 8-K (File No. 001-41929) filed with the SEC on January 30, 2024).</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1"/>
                <w:szCs w:val="21"/>
                <w:color w:val="auto"/>
              </w:rPr>
            </w:pPr>
          </w:p>
        </w:tc>
        <w:tc>
          <w:tcPr>
            <w:tcW w:w="7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Amended and Restated Bylaws (incorporated by reference to Exhibit 3.2 of the Registrant’s Current Report on</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80" w:type="dxa"/>
            <w:vAlign w:val="bottom"/>
            <w:gridSpan w:val="18"/>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Form 8-K (File No. 001-41929) filed with the SEC on January 30, 2024).</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1"/>
                <w:szCs w:val="21"/>
                <w:color w:val="auto"/>
              </w:rPr>
            </w:pPr>
          </w:p>
        </w:tc>
        <w:tc>
          <w:tcPr>
            <w:tcW w:w="7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Specimen Common Stock Certificate (incorporated by reference to Exhibit 4.1 of the Registrant’s Registration</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Statement on Form S-1 (File No. 333-276397) filed on January 5, 2024).</w:t>
              </w:r>
            </w:hyperlink>
          </w:p>
        </w:tc>
        <w:tc>
          <w:tcPr>
            <w:tcW w:w="27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1"/>
                <w:szCs w:val="21"/>
                <w:color w:val="auto"/>
              </w:rPr>
            </w:pPr>
          </w:p>
        </w:tc>
        <w:tc>
          <w:tcPr>
            <w:tcW w:w="7980" w:type="dxa"/>
            <w:vAlign w:val="bottom"/>
            <w:gridSpan w:val="18"/>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Amended and Restated Investors’ Rights Agreement, dated as of December 16, 2022 (incorporated by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reference to Exhibit 4.2 of the Registrant’s Registration Statement on Form S-1 (File No. 333-276397)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80" w:type="dxa"/>
            <w:vAlign w:val="bottom"/>
            <w:gridSpan w:val="18"/>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January 5, 2024).</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1"/>
                <w:szCs w:val="21"/>
                <w:color w:val="auto"/>
              </w:rPr>
            </w:pPr>
          </w:p>
        </w:tc>
        <w:tc>
          <w:tcPr>
            <w:tcW w:w="7980" w:type="dxa"/>
            <w:vAlign w:val="bottom"/>
            <w:gridSpan w:val="18"/>
          </w:tcPr>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Description of Securities (incorporated by reference to Exhibit 4.3 of the Registrant’s Annual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10-K (File No. 001-41929) filed on March 28, 2024).</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1"/>
                <w:szCs w:val="21"/>
                <w:color w:val="auto"/>
              </w:rPr>
            </w:pPr>
          </w:p>
        </w:tc>
        <w:tc>
          <w:tcPr>
            <w:tcW w:w="7980" w:type="dxa"/>
            <w:vAlign w:val="bottom"/>
            <w:gridSpan w:val="18"/>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Form of Indemnification Agreement (incorporated by reference to Exhibit 10.1 of the Registrant’s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Statement on Form S-1 (File No. 333-276397) filed on January 5, 2024).</w:t>
              </w:r>
            </w:hyperlink>
          </w:p>
        </w:tc>
        <w:tc>
          <w:tcPr>
            <w:tcW w:w="270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1"/>
                <w:szCs w:val="21"/>
                <w:color w:val="auto"/>
              </w:rPr>
            </w:pPr>
          </w:p>
        </w:tc>
        <w:tc>
          <w:tcPr>
            <w:tcW w:w="7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2021 Employee, Director and Consultant Equity Incentive Plan, as amended and form of stock option</w:t>
              </w:r>
            </w:hyperlink>
          </w:p>
        </w:tc>
        <w:tc>
          <w:tcPr>
            <w:tcW w:w="6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agreement thereunder (incorporated by reference to Exhibit 10.2 of the Registrant’s Registration Statement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80" w:type="dxa"/>
            <w:vAlign w:val="bottom"/>
            <w:gridSpan w:val="18"/>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Form S-1 (File No. 333-276397) filed on January 5, 2024)</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1"/>
                <w:szCs w:val="21"/>
                <w:color w:val="auto"/>
              </w:rPr>
            </w:pPr>
          </w:p>
        </w:tc>
        <w:tc>
          <w:tcPr>
            <w:tcW w:w="7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2024 Employee, Director and Consultant Equity Incentive Plan, form of stock option agreement and form of</w:t>
              </w:r>
            </w:hyperlink>
          </w:p>
        </w:tc>
        <w:tc>
          <w:tcPr>
            <w:tcW w:w="1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restricted stock agreement thereunder (incorporated by reference to Exhibit 10.3 of the Registrant’s</w:t>
              </w:r>
            </w:hyperlink>
          </w:p>
        </w:tc>
        <w:tc>
          <w:tcPr>
            <w:tcW w:w="8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Registration Statement on Form S-1/A (File No. 333-276397) filed on January 22, 2024).</w:t>
              </w:r>
            </w:hyperlink>
          </w:p>
        </w:tc>
        <w:tc>
          <w:tcPr>
            <w:tcW w:w="1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72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ArriVent BioPharma, Inc. Executive Severance Plan (incorporated by reference to Exhibit 10.4 of the</w:t>
              </w:r>
            </w:hyperlink>
          </w:p>
        </w:tc>
        <w:tc>
          <w:tcPr>
            <w:tcW w:w="7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80" w:type="dxa"/>
            <w:vAlign w:val="bottom"/>
            <w:gridSpan w:val="18"/>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Registrant’s Registration Statement on Form S-1 (File No. 333-276397) filed on January 5, 2024).</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140" w:type="dxa"/>
            <w:vAlign w:val="bottom"/>
            <w:gridSpan w:val="5"/>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1"/>
                <w:szCs w:val="21"/>
                <w:color w:val="auto"/>
              </w:rPr>
            </w:pPr>
          </w:p>
        </w:tc>
        <w:tc>
          <w:tcPr>
            <w:tcW w:w="7980" w:type="dxa"/>
            <w:vAlign w:val="bottom"/>
            <w:gridSpan w:val="18"/>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Non-Employee Director Compensation Policy (incorporated by reference to Exhibit 10.5 of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Registration Statement on Form S-1 (File No. 333-276397) filed on January 5, 2024).</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760" w:type="dxa"/>
            <w:vAlign w:val="bottom"/>
            <w:gridSpan w:val="31"/>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6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9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396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3960" w:type="dxa"/>
            <w:vAlign w:val="bottom"/>
            <w:tcBorders>
              <w:bottom w:val="single" w:sz="8" w:color="0000EE"/>
            </w:tcBorders>
            <w:gridSpan w:val="31"/>
          </w:tcPr>
          <w:p>
            <w:pPr>
              <w:spacing w:after="0" w:line="169"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Offer Letter Agreement, by and between the Registrant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7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and Zhengbin (Bing) Yao, Ph.D., dated May 5, 2021</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(incorporated by reference to Exhibit 10.7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20">
              <w:r>
                <w:rPr>
                  <w:rFonts w:ascii="Times New Roman" w:cs="Times New Roman" w:eastAsia="Times New Roman" w:hAnsi="Times New Roman"/>
                  <w:sz w:val="18"/>
                  <w:szCs w:val="18"/>
                  <w:color w:val="0000EE"/>
                  <w:w w:val="99"/>
                </w:rPr>
                <w:t>Registrant’s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No. 333-276397) filed on 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960" w:type="dxa"/>
            <w:vAlign w:val="bottom"/>
          </w:tcPr>
          <w:p>
            <w:pPr>
              <w:spacing w:after="0"/>
              <w:rPr>
                <w:sz w:val="21"/>
                <w:szCs w:val="21"/>
                <w:color w:val="auto"/>
              </w:rPr>
            </w:pPr>
          </w:p>
        </w:tc>
        <w:tc>
          <w:tcPr>
            <w:tcW w:w="39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Offer Letter Agreement, by and between the Registrant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7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and Stuart Lutzker, M.D., Ph.D., dated May 1, 2021</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(incorporated by reference to Exhibit 10.8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Registrant’s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No. 333-276397) filed on 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960" w:type="dxa"/>
            <w:vAlign w:val="bottom"/>
          </w:tcPr>
          <w:p>
            <w:pPr>
              <w:spacing w:after="0"/>
              <w:rPr>
                <w:sz w:val="21"/>
                <w:szCs w:val="21"/>
                <w:color w:val="auto"/>
              </w:rPr>
            </w:pPr>
          </w:p>
        </w:tc>
        <w:tc>
          <w:tcPr>
            <w:tcW w:w="39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Offer Letter Agreement, by and between the Registrant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and Robin LaChapelle, dated May 21, 2021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(incorporated by reference to Exhibit 10.9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Registrant’s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No. 333-276397) filed on 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3960" w:type="dxa"/>
            <w:vAlign w:val="bottom"/>
          </w:tcPr>
          <w:p>
            <w:pPr>
              <w:spacing w:after="0"/>
              <w:rPr>
                <w:sz w:val="21"/>
                <w:szCs w:val="21"/>
                <w:color w:val="auto"/>
              </w:rPr>
            </w:pPr>
          </w:p>
        </w:tc>
        <w:tc>
          <w:tcPr>
            <w:tcW w:w="39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Offer Letter Agreement, by and between the Registrant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and James Kastenmayer, J.D., Ph.D., dated August 11,</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2023 (incorporated by reference to Exhibit 10.10 of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Registrant’s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No. 333-276397) filed on 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3960" w:type="dxa"/>
            <w:vAlign w:val="bottom"/>
          </w:tcPr>
          <w:p>
            <w:pPr>
              <w:spacing w:after="0"/>
              <w:rPr>
                <w:sz w:val="21"/>
                <w:szCs w:val="21"/>
                <w:color w:val="auto"/>
              </w:rPr>
            </w:pPr>
          </w:p>
        </w:tc>
        <w:tc>
          <w:tcPr>
            <w:tcW w:w="39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Offer Letter Agreement, by and between the Registrant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and Winston Kung, MBA, dated January 3, 2024</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(incorporated by reference to Exhibit 10.11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Registrant’s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No. 333-276397) filed on 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3960" w:type="dxa"/>
            <w:vAlign w:val="bottom"/>
          </w:tcPr>
          <w:p>
            <w:pPr>
              <w:spacing w:after="0"/>
              <w:rPr>
                <w:sz w:val="21"/>
                <w:szCs w:val="21"/>
                <w:color w:val="auto"/>
              </w:rPr>
            </w:pPr>
          </w:p>
        </w:tc>
        <w:tc>
          <w:tcPr>
            <w:tcW w:w="39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License Agreement, by and between the Registrant and</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5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Shanghai Allist Pharmaceuticals Co., Ltd., dated</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June 29, 2021, as amended by Amendment No. 1,</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dated November 6, 2023 (incorporated by reference to</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Exhibit 10.12 of the Registrant’s Registration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Statement on Form S-1 (File No. 333-276397) filed 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3960" w:type="dxa"/>
            <w:vAlign w:val="bottom"/>
          </w:tcPr>
          <w:p>
            <w:pPr>
              <w:spacing w:after="0"/>
              <w:rPr>
                <w:sz w:val="21"/>
                <w:szCs w:val="21"/>
                <w:color w:val="auto"/>
              </w:rPr>
            </w:pPr>
          </w:p>
        </w:tc>
        <w:tc>
          <w:tcPr>
            <w:tcW w:w="3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Joint Clinical Collaboration Agreement, by and</w:t>
              </w:r>
            </w:hyperlink>
          </w:p>
        </w:tc>
        <w:tc>
          <w:tcPr>
            <w:tcW w:w="5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between the Registrant and Shanghai Allist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Pharmaceuticals Co., Ltd., dated December 24, 2021</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5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(incorporated by reference to Exhibit 10.13 of the</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Registrant’s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No. 333-276397) filed on January 5, 2024).</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3960" w:type="dxa"/>
            <w:vAlign w:val="bottom"/>
          </w:tcPr>
          <w:p>
            <w:pPr>
              <w:spacing w:after="0"/>
              <w:rPr>
                <w:sz w:val="21"/>
                <w:szCs w:val="21"/>
                <w:color w:val="auto"/>
              </w:rPr>
            </w:pPr>
          </w:p>
        </w:tc>
        <w:tc>
          <w:tcPr>
            <w:tcW w:w="4000" w:type="dxa"/>
            <w:vAlign w:val="bottom"/>
            <w:gridSpan w:val="33"/>
          </w:tcPr>
          <w:p>
            <w:pPr>
              <w:spacing w:after="0"/>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Amended and Restated Research Collaboration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Agreement, by and between the Registrant and Aarvik</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Therapeutics, Inc., dated August 9, 2024 (incorporated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by reference to Exhibit 10.1 of the Registrant’s</w:t>
              </w:r>
            </w:hyperlink>
          </w:p>
        </w:tc>
        <w:tc>
          <w:tcPr>
            <w:tcW w:w="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Quarterly Report on Form 10-Q (File No. 001-41929)</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filed on November 14, 2024).</w:t>
              </w:r>
            </w:hyperlink>
          </w:p>
        </w:tc>
        <w:tc>
          <w:tcPr>
            <w:tcW w:w="18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3960" w:type="dxa"/>
            <w:vAlign w:val="bottom"/>
          </w:tcPr>
          <w:p>
            <w:pPr>
              <w:spacing w:after="0"/>
              <w:rPr>
                <w:sz w:val="21"/>
                <w:szCs w:val="21"/>
                <w:color w:val="auto"/>
              </w:rPr>
            </w:pPr>
          </w:p>
        </w:tc>
        <w:tc>
          <w:tcPr>
            <w:tcW w:w="4000" w:type="dxa"/>
            <w:vAlign w:val="bottom"/>
            <w:gridSpan w:val="33"/>
          </w:tcPr>
          <w:p>
            <w:pPr>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Clinical Collaboration Agreement, by and between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9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Registrant and Beijing InnoCare Pharma</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Tech Co., Ltd., dated June 23, 2023 (incorporated by</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reference to Exhibit 10.15 of the Registrant’s</w:t>
              </w:r>
            </w:hyperlink>
          </w:p>
        </w:tc>
        <w:tc>
          <w:tcPr>
            <w:tcW w:w="7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Registration Statement on Form S-1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276397) filed on January 5, 2024).</w:t>
              </w:r>
            </w:hyperlink>
          </w:p>
        </w:tc>
        <w:tc>
          <w:tcPr>
            <w:tcW w:w="1160" w:type="dxa"/>
            <w:vAlign w:val="bottom"/>
            <w:tcBorders>
              <w:top w:val="single" w:sz="8" w:color="0000EE"/>
            </w:tcBorders>
            <w:gridSpan w:val="15"/>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3960" w:type="dxa"/>
            <w:vAlign w:val="bottom"/>
          </w:tcPr>
          <w:p>
            <w:pPr>
              <w:spacing w:after="0"/>
              <w:rPr>
                <w:sz w:val="21"/>
                <w:szCs w:val="21"/>
                <w:color w:val="auto"/>
              </w:rPr>
            </w:pPr>
          </w:p>
        </w:tc>
        <w:tc>
          <w:tcPr>
            <w:tcW w:w="3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Research and Collaboration Agreement, by and</w:t>
              </w:r>
            </w:hyperlink>
          </w:p>
        </w:tc>
        <w:tc>
          <w:tcPr>
            <w:tcW w:w="5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between the Registrant and Jiangsu Alphamab</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Biopharmaceuticals Co., Ltd, dated June 2, 2024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(incorporated by reference to Exhibit 10.1 of the</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Registrant's Quarterly Report on Form 10-Q (File No.</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001-41929) filed on August 14, 2024).</w:t>
              </w:r>
            </w:hyperlink>
          </w:p>
        </w:tc>
        <w:tc>
          <w:tcPr>
            <w:tcW w:w="12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w:t>
            </w:r>
          </w:p>
        </w:tc>
        <w:tc>
          <w:tcPr>
            <w:tcW w:w="3960" w:type="dxa"/>
            <w:vAlign w:val="bottom"/>
          </w:tcPr>
          <w:p>
            <w:pPr>
              <w:spacing w:after="0"/>
              <w:rPr>
                <w:sz w:val="21"/>
                <w:szCs w:val="21"/>
                <w:color w:val="auto"/>
              </w:rPr>
            </w:pPr>
          </w:p>
        </w:tc>
        <w:tc>
          <w:tcPr>
            <w:tcW w:w="40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960" w:type="dxa"/>
            <w:vAlign w:val="bottom"/>
          </w:tcPr>
          <w:p>
            <w:pPr>
              <w:spacing w:after="0"/>
              <w:rPr>
                <w:sz w:val="21"/>
                <w:szCs w:val="21"/>
                <w:color w:val="auto"/>
              </w:rPr>
            </w:pPr>
          </w:p>
        </w:tc>
        <w:tc>
          <w:tcPr>
            <w:tcW w:w="3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Subsidiaries of the Registrant (incorporated by</w:t>
              </w:r>
            </w:hyperlink>
          </w:p>
        </w:tc>
        <w:tc>
          <w:tcPr>
            <w:tcW w:w="64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reference to Exhibit 21.1 of the Registrant’s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6"/>
          </w:tcPr>
          <w:p>
            <w:pPr>
              <w:spacing w:after="0" w:line="20" w:lineRule="exact"/>
              <w:rPr>
                <w:sz w:val="1"/>
                <w:szCs w:val="1"/>
                <w:color w:val="auto"/>
              </w:rPr>
            </w:pPr>
          </w:p>
        </w:tc>
        <w:tc>
          <w:tcPr>
            <w:tcW w:w="5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000" w:type="dxa"/>
            <w:vAlign w:val="bottom"/>
            <w:gridSpan w:val="33"/>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Registration Statement on Form S-1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6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276397) filed on January 5, 2024).</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960" w:type="dxa"/>
            <w:vAlign w:val="bottom"/>
          </w:tcPr>
          <w:p>
            <w:pPr>
              <w:spacing w:after="0"/>
              <w:rPr>
                <w:sz w:val="21"/>
                <w:szCs w:val="21"/>
                <w:color w:val="auto"/>
              </w:rPr>
            </w:pPr>
          </w:p>
        </w:tc>
        <w:tc>
          <w:tcPr>
            <w:tcW w:w="1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Consent of KPMG LLP.</w:t>
            </w:r>
          </w:p>
        </w:tc>
        <w:tc>
          <w:tcPr>
            <w:tcW w:w="740" w:type="dxa"/>
            <w:vAlign w:val="bottom"/>
            <w:tcBorders>
              <w:top w:val="single" w:sz="8" w:color="0000EE"/>
            </w:tcBorders>
            <w:gridSpan w:val="2"/>
          </w:tcPr>
          <w:p>
            <w:pPr>
              <w:spacing w:after="0"/>
              <w:rPr>
                <w:sz w:val="21"/>
                <w:szCs w:val="21"/>
                <w:color w:val="auto"/>
              </w:rPr>
            </w:pPr>
          </w:p>
        </w:tc>
        <w:tc>
          <w:tcPr>
            <w:tcW w:w="1520" w:type="dxa"/>
            <w:vAlign w:val="bottom"/>
            <w:gridSpan w:val="2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960" w:type="dxa"/>
            <w:vAlign w:val="bottom"/>
          </w:tcPr>
          <w:p>
            <w:pPr>
              <w:spacing w:after="0"/>
              <w:rPr>
                <w:sz w:val="21"/>
                <w:szCs w:val="21"/>
                <w:color w:val="auto"/>
              </w:rPr>
            </w:pPr>
          </w:p>
        </w:tc>
        <w:tc>
          <w:tcPr>
            <w:tcW w:w="34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signature page).</w:t>
            </w:r>
          </w:p>
        </w:tc>
        <w:tc>
          <w:tcPr>
            <w:tcW w:w="5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0" w:gutter="0" w:footer="0" w:header="0"/>
        </w:sectPr>
      </w:pPr>
    </w:p>
    <w:bookmarkStart w:id="172" w:name="page173"/>
    <w:bookmarkEnd w:id="17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980" w:type="dxa"/>
            <w:vAlign w:val="bottom"/>
          </w:tcPr>
          <w:p>
            <w:pPr>
              <w:spacing w:after="0"/>
              <w:rPr>
                <w:sz w:val="17"/>
                <w:szCs w:val="17"/>
                <w:color w:val="auto"/>
              </w:rPr>
            </w:pPr>
          </w:p>
        </w:tc>
        <w:tc>
          <w:tcPr>
            <w:tcW w:w="3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w:t>
            </w:r>
          </w:p>
        </w:tc>
        <w:tc>
          <w:tcPr>
            <w:tcW w:w="26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13a-15(e) or Rule 15d-15(e) under the Securities</w:t>
            </w:r>
          </w:p>
        </w:tc>
        <w:tc>
          <w:tcPr>
            <w:tcW w:w="100" w:type="dxa"/>
            <w:vAlign w:val="bottom"/>
            <w:gridSpan w:val="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9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w:t>
            </w:r>
          </w:p>
        </w:tc>
        <w:tc>
          <w:tcPr>
            <w:tcW w:w="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980" w:type="dxa"/>
            <w:vAlign w:val="bottom"/>
          </w:tcPr>
          <w:p>
            <w:pPr>
              <w:spacing w:after="0"/>
              <w:rPr>
                <w:sz w:val="21"/>
                <w:szCs w:val="21"/>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w:t>
            </w: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13a-15(e) or Rule 15d-15(e) under the Securities</w:t>
            </w:r>
          </w:p>
        </w:tc>
        <w:tc>
          <w:tcPr>
            <w:tcW w:w="100" w:type="dxa"/>
            <w:vAlign w:val="bottom"/>
            <w:gridSpan w:val="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9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w:t>
            </w:r>
          </w:p>
        </w:tc>
        <w:tc>
          <w:tcPr>
            <w:tcW w:w="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980" w:type="dxa"/>
            <w:vAlign w:val="bottom"/>
          </w:tcPr>
          <w:p>
            <w:pPr>
              <w:spacing w:after="0"/>
              <w:rPr>
                <w:sz w:val="21"/>
                <w:szCs w:val="21"/>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 Chief</w:t>
            </w: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of Periodic Report Pursuant to 18</w:t>
            </w: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w:t>
            </w:r>
          </w:p>
        </w:tc>
        <w:tc>
          <w:tcPr>
            <w:tcW w:w="18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980" w:type="dxa"/>
            <w:vAlign w:val="bottom"/>
          </w:tcPr>
          <w:p>
            <w:pPr>
              <w:spacing w:after="0"/>
              <w:rPr>
                <w:sz w:val="21"/>
                <w:szCs w:val="21"/>
                <w:color w:val="auto"/>
              </w:rPr>
            </w:pPr>
          </w:p>
        </w:tc>
        <w:tc>
          <w:tcPr>
            <w:tcW w:w="31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ArriVent BioPharma, Inc. Clawback Policy</w:t>
              </w:r>
            </w:hyperlink>
          </w:p>
        </w:tc>
        <w:tc>
          <w:tcPr>
            <w:tcW w:w="880" w:type="dxa"/>
            <w:vAlign w:val="bottom"/>
            <w:gridSpan w:val="8"/>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00" w:type="dxa"/>
            <w:vAlign w:val="bottom"/>
            <w:gridSpan w:val="10"/>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(incorporated by reference to Exhibit 10.6 of the</w:t>
              </w:r>
            </w:hyperlink>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00" w:type="dxa"/>
            <w:vAlign w:val="bottom"/>
            <w:gridSpan w:val="10"/>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Registrant’s Registration Statement on Form S-1 (File</w:t>
              </w:r>
            </w:hyperlink>
          </w:p>
        </w:tc>
      </w:tr>
      <w:tr>
        <w:trPr>
          <w:trHeight w:val="196"/>
        </w:trPr>
        <w:tc>
          <w:tcPr>
            <w:tcW w:w="9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8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No. 333-276397) filed on January 5, 2024).</w:t>
              </w:r>
            </w:hyperlink>
          </w:p>
        </w:tc>
        <w:tc>
          <w:tcPr>
            <w:tcW w:w="120" w:type="dxa"/>
            <w:vAlign w:val="bottom"/>
            <w:gridSpan w:val="3"/>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r>
      <w:tr>
        <w:trPr>
          <w:trHeight w:val="272"/>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98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w:t>
            </w:r>
          </w:p>
        </w:tc>
      </w:tr>
      <w:tr>
        <w:trPr>
          <w:trHeight w:val="234"/>
        </w:trPr>
        <w:tc>
          <w:tcPr>
            <w:tcW w:w="940" w:type="dxa"/>
            <w:vAlign w:val="bottom"/>
          </w:tcPr>
          <w:p>
            <w:pPr>
              <w:spacing w:after="0"/>
              <w:rPr>
                <w:sz w:val="20"/>
                <w:szCs w:val="20"/>
                <w:color w:val="auto"/>
              </w:rPr>
            </w:pPr>
          </w:p>
        </w:tc>
        <w:tc>
          <w:tcPr>
            <w:tcW w:w="798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r>
      <w:tr>
        <w:trPr>
          <w:trHeight w:val="27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8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702"/>
        </w:trPr>
        <w:tc>
          <w:tcPr>
            <w:tcW w:w="940" w:type="dxa"/>
            <w:vAlign w:val="bottom"/>
          </w:tcPr>
          <w:p>
            <w:pPr>
              <w:spacing w:after="0"/>
              <w:rPr>
                <w:sz w:val="24"/>
                <w:szCs w:val="24"/>
                <w:color w:val="auto"/>
              </w:rPr>
            </w:pPr>
          </w:p>
        </w:tc>
        <w:tc>
          <w:tcPr>
            <w:tcW w:w="3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152</w:t>
            </w: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0"/>
        </w:trPr>
        <w:tc>
          <w:tcPr>
            <w:tcW w:w="9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260" w:type="dxa"/>
            <w:vAlign w:val="bottom"/>
          </w:tcPr>
          <w:p>
            <w:pPr>
              <w:jc w:val="center"/>
              <w:ind w:right="266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120" w:type="dxa"/>
            <w:vAlign w:val="bottom"/>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3260" w:type="dxa"/>
            <w:vAlign w:val="bottom"/>
          </w:tcPr>
          <w:p>
            <w:pPr>
              <w:jc w:val="center"/>
              <w:ind w:right="26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260" w:right="779" w:hanging="1204"/>
        <w:spacing w:after="0" w:line="282" w:lineRule="auto"/>
        <w:tabs>
          <w:tab w:leader="none" w:pos="12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Annual Report on Form 10-K.</w:t>
      </w:r>
    </w:p>
    <w:p>
      <w:pPr>
        <w:spacing w:after="0" w:line="95" w:lineRule="exact"/>
        <w:rPr>
          <w:rFonts w:ascii="Times New Roman" w:cs="Times New Roman" w:eastAsia="Times New Roman" w:hAnsi="Times New Roman"/>
          <w:sz w:val="18"/>
          <w:szCs w:val="18"/>
          <w:color w:val="auto"/>
        </w:rPr>
      </w:pPr>
    </w:p>
    <w:p>
      <w:pPr>
        <w:ind w:left="380" w:right="199" w:hanging="330"/>
        <w:spacing w:after="0" w:line="236" w:lineRule="auto"/>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 that accompany this Annual Report on Form 10-K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-995680</wp:posOffset>
            </wp:positionV>
            <wp:extent cx="25374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-995680</wp:posOffset>
            </wp:positionV>
            <wp:extent cx="7626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9" w:lineRule="exact"/>
        <w:rPr>
          <w:sz w:val="20"/>
          <w:szCs w:val="20"/>
          <w:color w:val="auto"/>
        </w:rPr>
      </w:pPr>
    </w:p>
    <w:p>
      <w:pPr>
        <w:ind w:left="380" w:right="619" w:hanging="330"/>
        <w:spacing w:after="0" w:line="261" w:lineRule="auto"/>
        <w:tabs>
          <w:tab w:leader="none" w:pos="3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122" w:lineRule="exact"/>
        <w:rPr>
          <w:sz w:val="20"/>
          <w:szCs w:val="20"/>
          <w:color w:val="auto"/>
        </w:rPr>
      </w:pPr>
    </w:p>
    <w:p>
      <w:pPr>
        <w:ind w:left="380" w:hanging="330"/>
        <w:spacing w:after="0"/>
        <w:tabs>
          <w:tab w:leader="none" w:pos="3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compensation plan or contract.</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60"/>
        <w:spacing w:after="0"/>
        <w:tabs>
          <w:tab w:leader="none" w:pos="4560" w:val="left"/>
          <w:tab w:leader="none" w:pos="580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Zhengbin (Bing)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17145</wp:posOffset>
            </wp:positionV>
            <wp:extent cx="25546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Zhengbin (Bing) Yao, Ph.D.</w:t>
      </w:r>
    </w:p>
    <w:p>
      <w:pPr>
        <w:spacing w:after="0" w:line="2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Zhengbin (Bing) Yao, Ph.D. and Winston Kung, MBA, and each of them, with full power of substitution and resubstitution and full power to act without the other, as their respective true and lawful attorney-in-fact and agent to act in their respective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8"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5"/>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Chairman, Chief Executive Officer and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189"/>
        </w:trPr>
        <w:tc>
          <w:tcPr>
            <w:tcW w:w="2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Zhengbin (Bing) Yao, Ph.D.</w:t>
            </w:r>
          </w:p>
        </w:tc>
        <w:tc>
          <w:tcPr>
            <w:tcW w:w="160" w:type="dxa"/>
            <w:vAlign w:val="bottom"/>
          </w:tcPr>
          <w:p>
            <w:pPr>
              <w:spacing w:after="0"/>
              <w:rPr>
                <w:sz w:val="16"/>
                <w:szCs w:val="16"/>
                <w:color w:val="auto"/>
              </w:rPr>
            </w:pPr>
          </w:p>
        </w:tc>
        <w:tc>
          <w:tcPr>
            <w:tcW w:w="37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 MBA</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189"/>
        </w:trPr>
        <w:tc>
          <w:tcPr>
            <w:tcW w:w="2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Winston Kung, MBA</w:t>
            </w:r>
          </w:p>
        </w:tc>
        <w:tc>
          <w:tcPr>
            <w:tcW w:w="160" w:type="dxa"/>
            <w:vAlign w:val="bottom"/>
          </w:tcPr>
          <w:p>
            <w:pPr>
              <w:spacing w:after="0"/>
              <w:rPr>
                <w:sz w:val="16"/>
                <w:szCs w:val="16"/>
                <w:color w:val="auto"/>
              </w:rPr>
            </w:pPr>
          </w:p>
        </w:tc>
        <w:tc>
          <w:tcPr>
            <w:tcW w:w="374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(Principal Accounting Officer and</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 L. Gordon, Ph.D., CFA</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 L. Gordon, Ph.D., CFA</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Healy, M.D., Ph.D.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Healy, M.D.,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Hohneker, M.D.</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Hohneker,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Stuart Lutzker, M.D., Ph.D.</w:t>
            </w:r>
          </w:p>
        </w:tc>
        <w:tc>
          <w:tcPr>
            <w:tcW w:w="160" w:type="dxa"/>
            <w:vAlign w:val="bottom"/>
          </w:tcPr>
          <w:p>
            <w:pPr>
              <w:spacing w:after="0"/>
              <w:rPr>
                <w:sz w:val="24"/>
                <w:szCs w:val="24"/>
                <w:color w:val="auto"/>
              </w:rPr>
            </w:pPr>
          </w:p>
        </w:tc>
        <w:tc>
          <w:tcPr>
            <w:tcW w:w="3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President of Research and Development</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21"/>
        </w:trPr>
        <w:tc>
          <w:tcPr>
            <w:tcW w:w="2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Stuart Lutzker, M.D., Ph.D.</w:t>
            </w:r>
          </w:p>
        </w:tc>
        <w:tc>
          <w:tcPr>
            <w:tcW w:w="160" w:type="dxa"/>
            <w:vAlign w:val="bottom"/>
          </w:tcPr>
          <w:p>
            <w:pPr>
              <w:spacing w:after="0"/>
              <w:rPr>
                <w:sz w:val="19"/>
                <w:szCs w:val="19"/>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and Director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Chris W. Nolet</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 W. Nolet</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160" w:type="dxa"/>
            <w:vAlign w:val="bottom"/>
          </w:tcPr>
          <w:p>
            <w:pPr>
              <w:spacing w:after="0"/>
              <w:rPr>
                <w:sz w:val="24"/>
                <w:szCs w:val="24"/>
                <w:color w:val="auto"/>
              </w:rPr>
            </w:pPr>
          </w:p>
        </w:tc>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c>
          <w:tcPr>
            <w:tcW w:w="0" w:type="dxa"/>
            <w:vAlign w:val="bottom"/>
          </w:tcPr>
          <w:p>
            <w:pPr>
              <w:spacing w:after="0"/>
              <w:rPr>
                <w:sz w:val="1"/>
                <w:szCs w:val="1"/>
                <w:color w:val="auto"/>
              </w:rPr>
            </w:pPr>
          </w:p>
        </w:tc>
      </w:tr>
      <w:tr>
        <w:trPr>
          <w:trHeight w:val="228"/>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5" w:name="page176"/>
    <w:bookmarkEnd w:id="175"/>
    <w:tbl>
      <w:tblPr>
        <w:tblLayout w:type="fixed"/>
        <w:tblInd w:w="220" w:type="dxa"/>
        <w:tblCellMar>
          <w:top w:w="0" w:type="dxa"/>
          <w:left w:w="0" w:type="dxa"/>
          <w:bottom w:w="0" w:type="dxa"/>
          <w:right w:w="0" w:type="dxa"/>
        </w:tblCellMar>
      </w:tblPr>
      <w:tr>
        <w:trPr>
          <w:trHeight w:val="262"/>
        </w:trPr>
        <w:tc>
          <w:tcPr>
            <w:tcW w:w="480" w:type="dxa"/>
            <w:vAlign w:val="bottom"/>
          </w:tcPr>
          <w:p>
            <w:pPr>
              <w:spacing w:after="0"/>
              <w:rPr>
                <w:sz w:val="20"/>
                <w:szCs w:val="20"/>
                <w:color w:val="auto"/>
              </w:rPr>
            </w:pPr>
            <w:r>
              <w:rPr>
                <w:rFonts w:ascii="Arial" w:cs="Arial" w:eastAsia="Arial" w:hAnsi="Arial"/>
                <w:sz w:val="20"/>
                <w:szCs w:val="20"/>
                <w:color w:val="auto"/>
              </w:rPr>
              <w:t>‌</w:t>
            </w:r>
          </w:p>
        </w:tc>
        <w:tc>
          <w:tcPr>
            <w:tcW w:w="26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940" w:type="dxa"/>
            <w:vAlign w:val="bottom"/>
            <w:gridSpan w:val="3"/>
          </w:tcPr>
          <w:p>
            <w:pPr>
              <w:jc w:val="right"/>
              <w:spacing w:after="0"/>
              <w:rPr>
                <w:sz w:val="20"/>
                <w:szCs w:val="20"/>
                <w:color w:val="auto"/>
              </w:rPr>
            </w:pPr>
            <w:r>
              <w:rPr>
                <w:rFonts w:ascii="Arial" w:cs="Arial" w:eastAsia="Arial" w:hAnsi="Arial"/>
                <w:sz w:val="20"/>
                <w:szCs w:val="20"/>
                <w:color w:val="auto"/>
              </w:rPr>
              <w:t>Exhibit 19</w:t>
            </w:r>
          </w:p>
        </w:tc>
      </w:tr>
      <w:tr>
        <w:trPr>
          <w:trHeight w:val="494"/>
        </w:trPr>
        <w:tc>
          <w:tcPr>
            <w:tcW w:w="6640" w:type="dxa"/>
            <w:vAlign w:val="bottom"/>
            <w:gridSpan w:val="4"/>
          </w:tcPr>
          <w:p>
            <w:pPr>
              <w:spacing w:after="0"/>
              <w:rPr>
                <w:sz w:val="20"/>
                <w:szCs w:val="20"/>
                <w:color w:val="auto"/>
              </w:rPr>
            </w:pPr>
            <w:r>
              <w:rPr>
                <w:rFonts w:ascii="Arial" w:cs="Arial" w:eastAsia="Arial" w:hAnsi="Arial"/>
                <w:sz w:val="18"/>
                <w:szCs w:val="18"/>
                <w:color w:val="auto"/>
              </w:rPr>
              <w:t>Page 1 of 17</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95"/>
        </w:trPr>
        <w:tc>
          <w:tcPr>
            <w:tcW w:w="480" w:type="dxa"/>
            <w:vAlign w:val="bottom"/>
          </w:tcPr>
          <w:p>
            <w:pPr>
              <w:spacing w:after="0"/>
              <w:rPr>
                <w:sz w:val="24"/>
                <w:szCs w:val="24"/>
                <w:color w:val="auto"/>
              </w:rPr>
            </w:pPr>
          </w:p>
        </w:tc>
        <w:tc>
          <w:tcPr>
            <w:tcW w:w="6160" w:type="dxa"/>
            <w:vAlign w:val="bottom"/>
            <w:gridSpan w:val="3"/>
          </w:tcPr>
          <w:p>
            <w:pPr>
              <w:ind w:left="2500"/>
              <w:spacing w:after="0"/>
              <w:rPr>
                <w:sz w:val="20"/>
                <w:szCs w:val="20"/>
                <w:color w:val="auto"/>
              </w:rPr>
            </w:pPr>
            <w:r>
              <w:rPr>
                <w:rFonts w:ascii="Calibri" w:cs="Calibri" w:eastAsia="Calibri" w:hAnsi="Calibri"/>
                <w:sz w:val="22"/>
                <w:szCs w:val="22"/>
                <w:b w:val="1"/>
                <w:bCs w:val="1"/>
                <w:color w:val="auto"/>
              </w:rPr>
              <w:t>ARRIVENT BIOPHARMA, INC.</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94"/>
        </w:trPr>
        <w:tc>
          <w:tcPr>
            <w:tcW w:w="480" w:type="dxa"/>
            <w:vAlign w:val="bottom"/>
          </w:tcPr>
          <w:p>
            <w:pPr>
              <w:spacing w:after="0"/>
              <w:rPr>
                <w:sz w:val="24"/>
                <w:szCs w:val="24"/>
                <w:color w:val="auto"/>
              </w:rPr>
            </w:pPr>
          </w:p>
        </w:tc>
        <w:tc>
          <w:tcPr>
            <w:tcW w:w="6160" w:type="dxa"/>
            <w:vAlign w:val="bottom"/>
            <w:gridSpan w:val="3"/>
          </w:tcPr>
          <w:p>
            <w:pPr>
              <w:ind w:left="2660"/>
              <w:spacing w:after="0"/>
              <w:rPr>
                <w:sz w:val="20"/>
                <w:szCs w:val="20"/>
                <w:color w:val="auto"/>
              </w:rPr>
            </w:pPr>
            <w:r>
              <w:rPr>
                <w:rFonts w:ascii="Calibri" w:cs="Calibri" w:eastAsia="Calibri" w:hAnsi="Calibri"/>
                <w:sz w:val="22"/>
                <w:szCs w:val="22"/>
                <w:b w:val="1"/>
                <w:bCs w:val="1"/>
                <w:color w:val="auto"/>
              </w:rPr>
              <w:t>INSIDER TRADING POLICY</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1"/>
        </w:trPr>
        <w:tc>
          <w:tcPr>
            <w:tcW w:w="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80" w:type="dxa"/>
            <w:vAlign w:val="bottom"/>
            <w:tcBorders>
              <w:top w:val="single" w:sz="8" w:color="auto"/>
            </w:tcBorders>
          </w:tcPr>
          <w:p>
            <w:pPr>
              <w:ind w:left="300"/>
              <w:spacing w:after="0"/>
              <w:rPr>
                <w:sz w:val="20"/>
                <w:szCs w:val="20"/>
                <w:color w:val="auto"/>
              </w:rPr>
            </w:pPr>
            <w:r>
              <w:rPr>
                <w:rFonts w:ascii="Calibri" w:cs="Calibri" w:eastAsia="Calibri" w:hAnsi="Calibri"/>
                <w:sz w:val="22"/>
                <w:szCs w:val="22"/>
                <w:color w:val="auto"/>
              </w:rPr>
              <w:t>TABLE OF CONTENTS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9"/>
        </w:trPr>
        <w:tc>
          <w:tcPr>
            <w:tcW w:w="4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40" w:type="dxa"/>
            <w:vAlign w:val="bottom"/>
            <w:gridSpan w:val="3"/>
          </w:tcPr>
          <w:p>
            <w:pPr>
              <w:jc w:val="right"/>
              <w:ind w:right="212"/>
              <w:spacing w:after="0" w:line="230" w:lineRule="exact"/>
              <w:rPr>
                <w:sz w:val="20"/>
                <w:szCs w:val="20"/>
                <w:color w:val="auto"/>
              </w:rPr>
            </w:pPr>
            <w:r>
              <w:rPr>
                <w:rFonts w:ascii="Calibri" w:cs="Calibri" w:eastAsia="Calibri" w:hAnsi="Calibri"/>
                <w:sz w:val="22"/>
                <w:szCs w:val="22"/>
                <w:color w:val="auto"/>
              </w:rPr>
              <w:t>Page</w:t>
            </w:r>
          </w:p>
        </w:tc>
      </w:tr>
      <w:tr>
        <w:trPr>
          <w:trHeight w:val="561"/>
        </w:trPr>
        <w:tc>
          <w:tcPr>
            <w:tcW w:w="480" w:type="dxa"/>
            <w:vAlign w:val="bottom"/>
          </w:tcPr>
          <w:p>
            <w:pPr>
              <w:spacing w:after="0"/>
              <w:rPr>
                <w:sz w:val="20"/>
                <w:szCs w:val="20"/>
                <w:color w:val="auto"/>
              </w:rPr>
            </w:pPr>
            <w:r>
              <w:rPr>
                <w:rFonts w:ascii="Calibri" w:cs="Calibri" w:eastAsia="Calibri" w:hAnsi="Calibri"/>
                <w:sz w:val="22"/>
                <w:szCs w:val="22"/>
                <w:color w:val="auto"/>
              </w:rPr>
              <w:t>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The Need for an Insider Trading Policy</w:t>
            </w:r>
          </w:p>
        </w:tc>
        <w:tc>
          <w:tcPr>
            <w:tcW w:w="1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Pr>
          <w:p>
            <w:pPr>
              <w:jc w:val="right"/>
              <w:spacing w:after="0"/>
              <w:rPr>
                <w:sz w:val="20"/>
                <w:szCs w:val="20"/>
                <w:color w:val="auto"/>
              </w:rPr>
            </w:pPr>
            <w:r>
              <w:rPr>
                <w:rFonts w:ascii="Calibri" w:cs="Calibri" w:eastAsia="Calibri" w:hAnsi="Calibri"/>
                <w:sz w:val="22"/>
                <w:szCs w:val="22"/>
                <w:color w:val="auto"/>
              </w:rPr>
              <w:t>2</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What is Material Non-Public Informaton?</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3</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III.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The Consequences of Insider Trading</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4</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IV.</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Our Policy</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5</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V.</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Individual Responsibility</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10</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VI.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Additonal Prohibited Transactons</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11</w:t>
            </w:r>
          </w:p>
        </w:tc>
      </w:tr>
      <w:tr>
        <w:trPr>
          <w:trHeight w:val="268"/>
        </w:trPr>
        <w:tc>
          <w:tcPr>
            <w:tcW w:w="480" w:type="dxa"/>
            <w:vAlign w:val="bottom"/>
          </w:tcPr>
          <w:p>
            <w:pPr>
              <w:spacing w:after="0"/>
              <w:rPr>
                <w:sz w:val="20"/>
                <w:szCs w:val="20"/>
                <w:color w:val="auto"/>
              </w:rPr>
            </w:pPr>
            <w:r>
              <w:rPr>
                <w:rFonts w:ascii="Calibri" w:cs="Calibri" w:eastAsia="Calibri" w:hAnsi="Calibri"/>
                <w:sz w:val="22"/>
                <w:szCs w:val="22"/>
                <w:color w:val="auto"/>
                <w:highlight w:val="white"/>
              </w:rPr>
              <w:t>VII.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highlight w:val="white"/>
              </w:rPr>
              <w:t>Post-Terminaton Transactons</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12</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highlight w:val="white"/>
              </w:rPr>
              <w:t>VIII.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highlight w:val="white"/>
              </w:rPr>
              <w:t>Company Assistance</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12</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IX.</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Certfcatons</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12</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PLAN ESTABLISHMENT</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15</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PLAN AMENDMENTS</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16</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III.</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PLAN TERMINATION</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16</w:t>
            </w:r>
          </w:p>
        </w:tc>
      </w:tr>
      <w:tr>
        <w:trPr>
          <w:trHeight w:val="270"/>
        </w:trPr>
        <w:tc>
          <w:tcPr>
            <w:tcW w:w="480" w:type="dxa"/>
            <w:vAlign w:val="bottom"/>
          </w:tcPr>
          <w:p>
            <w:pPr>
              <w:spacing w:after="0"/>
              <w:rPr>
                <w:sz w:val="20"/>
                <w:szCs w:val="20"/>
                <w:color w:val="auto"/>
              </w:rPr>
            </w:pPr>
            <w:r>
              <w:rPr>
                <w:rFonts w:ascii="Calibri" w:cs="Calibri" w:eastAsia="Calibri" w:hAnsi="Calibri"/>
                <w:sz w:val="22"/>
                <w:szCs w:val="22"/>
                <w:color w:val="auto"/>
              </w:rPr>
              <w:t>IV.</w:t>
            </w:r>
          </w:p>
        </w:tc>
        <w:tc>
          <w:tcPr>
            <w:tcW w:w="6160" w:type="dxa"/>
            <w:vAlign w:val="bottom"/>
            <w:gridSpan w:val="3"/>
          </w:tcPr>
          <w:p>
            <w:pPr>
              <w:ind w:left="160"/>
              <w:spacing w:after="0"/>
              <w:rPr>
                <w:sz w:val="20"/>
                <w:szCs w:val="20"/>
                <w:color w:val="auto"/>
              </w:rPr>
            </w:pPr>
            <w:r>
              <w:rPr>
                <w:rFonts w:ascii="Calibri" w:cs="Calibri" w:eastAsia="Calibri" w:hAnsi="Calibri"/>
                <w:sz w:val="22"/>
                <w:szCs w:val="22"/>
                <w:color w:val="auto"/>
              </w:rPr>
              <w:t>MISCELLANEOUS</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16</w:t>
            </w:r>
          </w:p>
        </w:tc>
      </w:tr>
      <w:tr>
        <w:trPr>
          <w:trHeight w:val="270"/>
        </w:trPr>
        <w:tc>
          <w:tcPr>
            <w:tcW w:w="6640" w:type="dxa"/>
            <w:vAlign w:val="bottom"/>
            <w:gridSpan w:val="4"/>
          </w:tcPr>
          <w:p>
            <w:pPr>
              <w:spacing w:after="0"/>
              <w:rPr>
                <w:sz w:val="20"/>
                <w:szCs w:val="20"/>
                <w:color w:val="auto"/>
              </w:rPr>
            </w:pPr>
            <w:r>
              <w:rPr>
                <w:rFonts w:ascii="Calibri" w:cs="Calibri" w:eastAsia="Calibri" w:hAnsi="Calibri"/>
                <w:sz w:val="22"/>
                <w:szCs w:val="22"/>
                <w:color w:val="auto"/>
                <w:highlight w:val="white"/>
              </w:rPr>
              <w:t>Revision History (Change Control):</w:t>
            </w:r>
          </w:p>
        </w:tc>
        <w:tc>
          <w:tcPr>
            <w:tcW w:w="1940" w:type="dxa"/>
            <w:vAlign w:val="bottom"/>
            <w:gridSpan w:val="3"/>
          </w:tcPr>
          <w:p>
            <w:pPr>
              <w:jc w:val="right"/>
              <w:spacing w:after="0"/>
              <w:rPr>
                <w:sz w:val="20"/>
                <w:szCs w:val="20"/>
                <w:color w:val="auto"/>
              </w:rPr>
            </w:pPr>
            <w:r>
              <w:rPr>
                <w:rFonts w:ascii="Calibri" w:cs="Calibri" w:eastAsia="Calibri" w:hAnsi="Calibri"/>
                <w:sz w:val="22"/>
                <w:szCs w:val="22"/>
                <w:color w:val="auto"/>
              </w:rPr>
              <w:t>17</w:t>
            </w:r>
          </w:p>
        </w:tc>
      </w:tr>
      <w:tr>
        <w:trPr>
          <w:trHeight w:val="2088"/>
        </w:trPr>
        <w:tc>
          <w:tcPr>
            <w:tcW w:w="4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-5323205</wp:posOffset>
            </wp:positionV>
            <wp:extent cx="89154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891540" cy="16319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-5005705</wp:posOffset>
            </wp:positionV>
            <wp:extent cx="5349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-3719830</wp:posOffset>
            </wp:positionV>
            <wp:extent cx="5452110" cy="2400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5452110" cy="24003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6" w:name="page177"/>
    <w:bookmarkEnd w:id="176"/>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6" w:lineRule="exact"/>
        <w:rPr>
          <w:sz w:val="20"/>
          <w:szCs w:val="20"/>
          <w:color w:val="auto"/>
        </w:rPr>
      </w:pPr>
    </w:p>
    <w:p>
      <w:pPr>
        <w:jc w:val="both"/>
        <w:ind w:left="200" w:right="99" w:firstLine="648"/>
        <w:spacing w:after="0" w:line="239" w:lineRule="auto"/>
        <w:rPr>
          <w:sz w:val="20"/>
          <w:szCs w:val="20"/>
          <w:color w:val="auto"/>
        </w:rPr>
      </w:pPr>
      <w:r>
        <w:rPr>
          <w:rFonts w:ascii="Calibri" w:cs="Calibri" w:eastAsia="Calibri" w:hAnsi="Calibri"/>
          <w:sz w:val="22"/>
          <w:szCs w:val="22"/>
          <w:color w:val="auto"/>
        </w:rPr>
        <w:t>ArriVent BioPharma, Inc.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has adopted the following policy regarding trading by Company personnel in the Company’s securites (the “</w:t>
      </w:r>
      <w:r>
        <w:rPr>
          <w:rFonts w:ascii="Calibri" w:cs="Calibri" w:eastAsia="Calibri" w:hAnsi="Calibri"/>
          <w:sz w:val="22"/>
          <w:szCs w:val="22"/>
          <w:u w:val="single" w:color="auto"/>
          <w:color w:val="auto"/>
        </w:rPr>
        <w:t>Insider Trading Policy</w:t>
      </w:r>
      <w:r>
        <w:rPr>
          <w:rFonts w:ascii="Calibri" w:cs="Calibri" w:eastAsia="Calibri" w:hAnsi="Calibri"/>
          <w:sz w:val="22"/>
          <w:szCs w:val="22"/>
          <w:color w:val="auto"/>
        </w:rPr>
        <w:t>,” or this “</w:t>
      </w:r>
      <w:r>
        <w:rPr>
          <w:rFonts w:ascii="Calibri" w:cs="Calibri" w:eastAsia="Calibri" w:hAnsi="Calibri"/>
          <w:sz w:val="22"/>
          <w:szCs w:val="22"/>
          <w:u w:val="single" w:color="auto"/>
          <w:color w:val="auto"/>
        </w:rPr>
        <w:t>Policy</w:t>
      </w:r>
      <w:r>
        <w:rPr>
          <w:rFonts w:ascii="Calibri" w:cs="Calibri" w:eastAsia="Calibri" w:hAnsi="Calibri"/>
          <w:sz w:val="22"/>
          <w:szCs w:val="22"/>
          <w:color w:val="auto"/>
        </w:rPr>
        <w:t xml:space="preserve">”). This Policy applies to </w:t>
      </w:r>
      <w:r>
        <w:rPr>
          <w:rFonts w:ascii="Calibri" w:cs="Calibri" w:eastAsia="Calibri" w:hAnsi="Calibri"/>
          <w:sz w:val="22"/>
          <w:szCs w:val="22"/>
          <w:u w:val="single" w:color="auto"/>
          <w:color w:val="auto"/>
        </w:rPr>
        <w:t>all</w:t>
      </w:r>
      <w:r>
        <w:rPr>
          <w:rFonts w:ascii="Calibri" w:cs="Calibri" w:eastAsia="Calibri" w:hAnsi="Calibri"/>
          <w:sz w:val="22"/>
          <w:szCs w:val="22"/>
          <w:color w:val="auto"/>
        </w:rPr>
        <w:t xml:space="preserve"> Company personnel, including directors, ofcers, employees and consultants of the Company and its subsidiaries. This Policy also applies to certain family members, other members of a person’s household and enttes controlled by Company personnel, as described in </w:t>
      </w:r>
      <w:r>
        <w:rPr>
          <w:rFonts w:ascii="Calibri" w:cs="Calibri" w:eastAsia="Calibri" w:hAnsi="Calibri"/>
          <w:sz w:val="22"/>
          <w:szCs w:val="22"/>
          <w:u w:val="single" w:color="auto"/>
          <w:color w:val="auto"/>
        </w:rPr>
        <w:t>Secton IV</w:t>
      </w:r>
      <w:r>
        <w:rPr>
          <w:rFonts w:ascii="Calibri" w:cs="Calibri" w:eastAsia="Calibri" w:hAnsi="Calibri"/>
          <w:sz w:val="22"/>
          <w:szCs w:val="22"/>
          <w:color w:val="auto"/>
        </w:rPr>
        <w:t xml:space="preserve"> below.</w:t>
      </w:r>
    </w:p>
    <w:p>
      <w:pPr>
        <w:spacing w:after="0" w:line="200" w:lineRule="exact"/>
        <w:rPr>
          <w:sz w:val="20"/>
          <w:szCs w:val="20"/>
          <w:color w:val="auto"/>
        </w:rPr>
      </w:pPr>
    </w:p>
    <w:p>
      <w:pPr>
        <w:spacing w:after="0" w:line="247" w:lineRule="exact"/>
        <w:rPr>
          <w:sz w:val="20"/>
          <w:szCs w:val="20"/>
          <w:color w:val="auto"/>
        </w:rPr>
      </w:pPr>
    </w:p>
    <w:p>
      <w:pPr>
        <w:ind w:left="860" w:right="4779" w:hanging="651"/>
        <w:spacing w:after="0" w:line="442" w:lineRule="auto"/>
        <w:tabs>
          <w:tab w:leader="none" w:pos="860" w:val="left"/>
        </w:tabs>
        <w:numPr>
          <w:ilvl w:val="0"/>
          <w:numId w:val="88"/>
        </w:numPr>
        <w:rPr>
          <w:rFonts w:ascii="Calibri" w:cs="Calibri" w:eastAsia="Calibri" w:hAnsi="Calibri"/>
          <w:sz w:val="21"/>
          <w:szCs w:val="21"/>
          <w:b w:val="1"/>
          <w:bCs w:val="1"/>
          <w:color w:val="auto"/>
        </w:rPr>
      </w:pPr>
      <w:r>
        <w:rPr>
          <w:rFonts w:ascii="Calibri" w:cs="Calibri" w:eastAsia="Calibri" w:hAnsi="Calibri"/>
          <w:sz w:val="21"/>
          <w:szCs w:val="21"/>
          <w:b w:val="1"/>
          <w:bCs w:val="1"/>
          <w:u w:val="single" w:color="auto"/>
          <w:color w:val="auto"/>
        </w:rPr>
        <w:t xml:space="preserve">The Need for an Insider Trading Policy </w:t>
      </w:r>
      <w:r>
        <w:rPr>
          <w:rFonts w:ascii="Calibri" w:cs="Calibri" w:eastAsia="Calibri" w:hAnsi="Calibri"/>
          <w:sz w:val="21"/>
          <w:szCs w:val="21"/>
          <w:color w:val="auto"/>
        </w:rPr>
        <w:t>This Policy has been developed:</w:t>
      </w:r>
    </w:p>
    <w:p>
      <w:pPr>
        <w:spacing w:after="0" w:line="14" w:lineRule="exact"/>
        <w:rPr>
          <w:rFonts w:ascii="Calibri" w:cs="Calibri" w:eastAsia="Calibri" w:hAnsi="Calibri"/>
          <w:sz w:val="21"/>
          <w:szCs w:val="21"/>
          <w:b w:val="1"/>
          <w:bCs w:val="1"/>
          <w:color w:val="auto"/>
        </w:rPr>
      </w:pPr>
    </w:p>
    <w:p>
      <w:pPr>
        <w:jc w:val="both"/>
        <w:ind w:left="1180" w:right="239" w:hanging="323"/>
        <w:spacing w:after="0" w:line="237" w:lineRule="auto"/>
        <w:tabs>
          <w:tab w:leader="none" w:pos="1180" w:val="left"/>
        </w:tabs>
        <w:numPr>
          <w:ilvl w:val="1"/>
          <w:numId w:val="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to educate all Company personnel as to the federal securites laws and the rules of the Securites and Exchange Commission (the “</w:t>
      </w:r>
      <w:r>
        <w:rPr>
          <w:rFonts w:ascii="Calibri" w:cs="Calibri" w:eastAsia="Calibri" w:hAnsi="Calibri"/>
          <w:sz w:val="22"/>
          <w:szCs w:val="22"/>
          <w:u w:val="single" w:color="auto"/>
          <w:color w:val="auto"/>
        </w:rPr>
        <w:t>SEC</w:t>
      </w:r>
      <w:r>
        <w:rPr>
          <w:rFonts w:ascii="Calibri" w:cs="Calibri" w:eastAsia="Calibri" w:hAnsi="Calibri"/>
          <w:sz w:val="22"/>
          <w:szCs w:val="22"/>
          <w:color w:val="auto"/>
        </w:rPr>
        <w:t>”) on insider trading in public company securites;</w:t>
      </w:r>
    </w:p>
    <w:p>
      <w:pPr>
        <w:spacing w:after="0" w:line="230" w:lineRule="exact"/>
        <w:rPr>
          <w:rFonts w:ascii="Times New Roman" w:cs="Times New Roman" w:eastAsia="Times New Roman" w:hAnsi="Times New Roman"/>
          <w:sz w:val="22"/>
          <w:szCs w:val="22"/>
          <w:color w:val="auto"/>
        </w:rPr>
      </w:pPr>
    </w:p>
    <w:p>
      <w:pPr>
        <w:ind w:left="1180" w:right="239" w:hanging="323"/>
        <w:spacing w:after="0" w:line="235" w:lineRule="auto"/>
        <w:tabs>
          <w:tab w:leader="none" w:pos="1180" w:val="left"/>
        </w:tabs>
        <w:numPr>
          <w:ilvl w:val="1"/>
          <w:numId w:val="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to set forth requirements that apply to Company personnel and other persons covered by this Policy who seek to trade in the Company’s securites;</w:t>
      </w:r>
    </w:p>
    <w:p>
      <w:pPr>
        <w:spacing w:after="0" w:line="219"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1"/>
          <w:numId w:val="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to protect the Company and its personnel from legal liability; and</w:t>
      </w:r>
    </w:p>
    <w:p>
      <w:pPr>
        <w:spacing w:after="0" w:line="227" w:lineRule="exact"/>
        <w:rPr>
          <w:rFonts w:ascii="Times New Roman" w:cs="Times New Roman" w:eastAsia="Times New Roman" w:hAnsi="Times New Roman"/>
          <w:sz w:val="22"/>
          <w:szCs w:val="22"/>
          <w:color w:val="auto"/>
        </w:rPr>
      </w:pPr>
    </w:p>
    <w:p>
      <w:pPr>
        <w:ind w:left="1180" w:right="239" w:hanging="323"/>
        <w:spacing w:after="0" w:line="235" w:lineRule="auto"/>
        <w:tabs>
          <w:tab w:leader="none" w:pos="1180" w:val="left"/>
        </w:tabs>
        <w:numPr>
          <w:ilvl w:val="1"/>
          <w:numId w:val="88"/>
        </w:numPr>
        <w:rPr>
          <w:rFonts w:ascii="Times New Roman" w:cs="Times New Roman" w:eastAsia="Times New Roman" w:hAnsi="Times New Roman"/>
          <w:sz w:val="22"/>
          <w:szCs w:val="22"/>
          <w:color w:val="auto"/>
        </w:rPr>
      </w:pPr>
      <w:r>
        <w:rPr>
          <w:rFonts w:ascii="Calibri" w:cs="Calibri" w:eastAsia="Calibri" w:hAnsi="Calibri"/>
          <w:sz w:val="22"/>
          <w:szCs w:val="22"/>
          <w:color w:val="auto"/>
        </w:rPr>
        <w:t>to preserve the reputaton of the Company and its personnel for integrity and ethical conduct.</w:t>
      </w:r>
    </w:p>
    <w:p>
      <w:pPr>
        <w:spacing w:after="0" w:line="230" w:lineRule="exact"/>
        <w:rPr>
          <w:sz w:val="20"/>
          <w:szCs w:val="20"/>
          <w:color w:val="auto"/>
        </w:rPr>
      </w:pPr>
    </w:p>
    <w:p>
      <w:pPr>
        <w:jc w:val="both"/>
        <w:ind w:left="200" w:right="219" w:firstLine="648"/>
        <w:spacing w:after="0" w:line="226" w:lineRule="auto"/>
        <w:rPr>
          <w:sz w:val="20"/>
          <w:szCs w:val="20"/>
          <w:color w:val="auto"/>
        </w:rPr>
      </w:pPr>
      <w:r>
        <w:rPr>
          <w:rFonts w:ascii="Calibri" w:cs="Calibri" w:eastAsia="Calibri" w:hAnsi="Calibri"/>
          <w:sz w:val="22"/>
          <w:szCs w:val="22"/>
          <w:color w:val="auto"/>
        </w:rPr>
        <w:t xml:space="preserve">Because the Company is a public company, transactons in the Company’s securites are subject to the federal securites laws and regulatons adopted by the SEC. These laws and regulatons make it illegal for an individual to buy or sell securites of the Company while aware of </w:t>
      </w:r>
      <w:r>
        <w:rPr>
          <w:rFonts w:ascii="Calibri" w:cs="Calibri" w:eastAsia="Calibri" w:hAnsi="Calibri"/>
          <w:sz w:val="22"/>
          <w:szCs w:val="22"/>
          <w:u w:val="single" w:color="auto"/>
          <w:color w:val="auto"/>
        </w:rPr>
        <w:t>material non-public informaton</w:t>
      </w:r>
      <w:r>
        <w:rPr>
          <w:rFonts w:ascii="Calibri" w:cs="Calibri" w:eastAsia="Calibri" w:hAnsi="Calibri"/>
          <w:sz w:val="22"/>
          <w:szCs w:val="22"/>
          <w:color w:val="auto"/>
        </w:rPr>
        <w:t>.</w:t>
      </w:r>
      <w:r>
        <w:rPr>
          <w:rFonts w:ascii="Calibri" w:cs="Calibri" w:eastAsia="Calibri" w:hAnsi="Calibri"/>
          <w:sz w:val="32"/>
          <w:szCs w:val="32"/>
          <w:u w:val="single" w:color="auto"/>
          <w:color w:val="0000EE"/>
          <w:vertAlign w:val="superscript"/>
        </w:rPr>
        <w:t>1</w:t>
      </w:r>
      <w:r>
        <w:rPr>
          <w:rFonts w:ascii="Calibri" w:cs="Calibri" w:eastAsia="Calibri" w:hAnsi="Calibri"/>
          <w:sz w:val="22"/>
          <w:szCs w:val="22"/>
          <w:color w:val="auto"/>
        </w:rPr>
        <w:t xml:space="preserve"> The SEC takes insider trading very seriously and devotes signifcant resources to uncovering the actvity and to prosecutng ofenders. Liability may extend not only to the individuals who trade while in possession of material non-public informaton but also to their “tppers,” people who leak material non-public informaton to individuals who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192405</wp:posOffset>
            </wp:positionV>
            <wp:extent cx="13627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55" w:lineRule="exact"/>
        <w:rPr>
          <w:sz w:val="20"/>
          <w:szCs w:val="20"/>
          <w:color w:val="auto"/>
        </w:rPr>
      </w:pPr>
    </w:p>
    <w:p>
      <w:pPr>
        <w:jc w:val="both"/>
        <w:ind w:left="200" w:right="219"/>
        <w:spacing w:after="0" w:line="224" w:lineRule="auto"/>
        <w:rPr>
          <w:sz w:val="20"/>
          <w:szCs w:val="20"/>
          <w:color w:val="auto"/>
        </w:rPr>
      </w:pPr>
      <w:r>
        <w:rPr>
          <w:rFonts w:ascii="Times New Roman" w:cs="Times New Roman" w:eastAsia="Times New Roman" w:hAnsi="Times New Roman"/>
          <w:sz w:val="26"/>
          <w:szCs w:val="26"/>
          <w:color w:val="auto"/>
          <w:vertAlign w:val="superscript"/>
        </w:rPr>
        <w:t>1</w:t>
      </w:r>
      <w:r>
        <w:rPr>
          <w:rFonts w:ascii="Calibri" w:cs="Calibri" w:eastAsia="Calibri" w:hAnsi="Calibri"/>
          <w:sz w:val="18"/>
          <w:szCs w:val="18"/>
          <w:color w:val="auto"/>
        </w:rPr>
        <w:t xml:space="preserve">Courts have rendered a series of decisions supportng the view that a person must “use” the material non-public informaton in order to be held liable under the securites laws. </w:t>
      </w:r>
      <w:r>
        <w:rPr>
          <w:rFonts w:ascii="Calibri" w:cs="Calibri" w:eastAsia="Calibri" w:hAnsi="Calibri"/>
          <w:sz w:val="18"/>
          <w:szCs w:val="18"/>
          <w:i w:val="1"/>
          <w:iCs w:val="1"/>
          <w:color w:val="auto"/>
        </w:rPr>
        <w:t>See United States v. Smith</w:t>
      </w:r>
      <w:r>
        <w:rPr>
          <w:rFonts w:ascii="Calibri" w:cs="Calibri" w:eastAsia="Calibri" w:hAnsi="Calibri"/>
          <w:sz w:val="18"/>
          <w:szCs w:val="18"/>
          <w:color w:val="auto"/>
        </w:rPr>
        <w:t>, 155 F.3d 1051, 1069 and n. 27 (9</w:t>
      </w:r>
      <w:r>
        <w:rPr>
          <w:rFonts w:ascii="Calibri" w:cs="Calibri" w:eastAsia="Calibri" w:hAnsi="Calibri"/>
          <w:sz w:val="13"/>
          <w:szCs w:val="13"/>
          <w:color w:val="auto"/>
        </w:rPr>
        <w:t>th</w:t>
      </w:r>
      <w:r>
        <w:rPr>
          <w:rFonts w:ascii="Calibri" w:cs="Calibri" w:eastAsia="Calibri" w:hAnsi="Calibri"/>
          <w:sz w:val="18"/>
          <w:szCs w:val="18"/>
          <w:color w:val="auto"/>
        </w:rPr>
        <w:t xml:space="preserve"> Cir. 1998), </w:t>
      </w:r>
      <w:r>
        <w:rPr>
          <w:rFonts w:ascii="Calibri" w:cs="Calibri" w:eastAsia="Calibri" w:hAnsi="Calibri"/>
          <w:sz w:val="18"/>
          <w:szCs w:val="18"/>
          <w:i w:val="1"/>
          <w:iCs w:val="1"/>
          <w:color w:val="auto"/>
        </w:rPr>
        <w:t>cert. denied</w:t>
      </w:r>
      <w:r>
        <w:rPr>
          <w:rFonts w:ascii="Calibri" w:cs="Calibri" w:eastAsia="Calibri" w:hAnsi="Calibri"/>
          <w:sz w:val="18"/>
          <w:szCs w:val="18"/>
          <w:color w:val="auto"/>
        </w:rPr>
        <w:t xml:space="preserve">, 525 U.S. 1071 (1999) and </w:t>
      </w:r>
      <w:r>
        <w:rPr>
          <w:rFonts w:ascii="Calibri" w:cs="Calibri" w:eastAsia="Calibri" w:hAnsi="Calibri"/>
          <w:sz w:val="18"/>
          <w:szCs w:val="18"/>
          <w:i w:val="1"/>
          <w:iCs w:val="1"/>
          <w:color w:val="auto"/>
        </w:rPr>
        <w:t>SEC v. Adler</w:t>
      </w:r>
      <w:r>
        <w:rPr>
          <w:rFonts w:ascii="Calibri" w:cs="Calibri" w:eastAsia="Calibri" w:hAnsi="Calibri"/>
          <w:sz w:val="18"/>
          <w:szCs w:val="18"/>
          <w:color w:val="auto"/>
        </w:rPr>
        <w:t>, 137 F.3d 1325, 1337 (11</w:t>
      </w:r>
      <w:r>
        <w:rPr>
          <w:rFonts w:ascii="Calibri" w:cs="Calibri" w:eastAsia="Calibri" w:hAnsi="Calibri"/>
          <w:sz w:val="13"/>
          <w:szCs w:val="13"/>
          <w:color w:val="auto"/>
        </w:rPr>
        <w:t>th</w:t>
      </w:r>
      <w:r>
        <w:rPr>
          <w:rFonts w:ascii="Calibri" w:cs="Calibri" w:eastAsia="Calibri" w:hAnsi="Calibri"/>
          <w:sz w:val="18"/>
          <w:szCs w:val="18"/>
          <w:color w:val="auto"/>
        </w:rPr>
        <w:t xml:space="preserve"> Cir. 1998). Nonetheless, the SEC takes the positon previously adopted in the Second Circuit that mere “knowing possession” -- codifed as an “awareness” standard under Rule 10b5-1 -- is sufcient. SEC Release Nos. 33-7881, 34-43154, IC-24599 (“Adoptng Release”), § III.A.2., citng </w:t>
      </w:r>
      <w:r>
        <w:rPr>
          <w:rFonts w:ascii="Calibri" w:cs="Calibri" w:eastAsia="Calibri" w:hAnsi="Calibri"/>
          <w:sz w:val="18"/>
          <w:szCs w:val="18"/>
          <w:i w:val="1"/>
          <w:iCs w:val="1"/>
          <w:color w:val="auto"/>
        </w:rPr>
        <w:t>United States v. Teicher</w:t>
      </w:r>
      <w:r>
        <w:rPr>
          <w:rFonts w:ascii="Calibri" w:cs="Calibri" w:eastAsia="Calibri" w:hAnsi="Calibri"/>
          <w:sz w:val="18"/>
          <w:szCs w:val="18"/>
          <w:color w:val="auto"/>
        </w:rPr>
        <w:t xml:space="preserve">, 987 F.2d 112, 120-21 (2d Cir.), </w:t>
      </w:r>
      <w:r>
        <w:rPr>
          <w:rFonts w:ascii="Calibri" w:cs="Calibri" w:eastAsia="Calibri" w:hAnsi="Calibri"/>
          <w:sz w:val="18"/>
          <w:szCs w:val="18"/>
          <w:i w:val="1"/>
          <w:iCs w:val="1"/>
          <w:color w:val="auto"/>
        </w:rPr>
        <w:t>cert. denied,</w:t>
      </w:r>
      <w:r>
        <w:rPr>
          <w:rFonts w:ascii="Calibri" w:cs="Calibri" w:eastAsia="Calibri" w:hAnsi="Calibri"/>
          <w:sz w:val="18"/>
          <w:szCs w:val="18"/>
          <w:color w:val="auto"/>
        </w:rPr>
        <w:t xml:space="preserve"> 510 U.S. 976 (1993). In so doing, the SEC has expressed disagreement with those commentators who stated that the “awareness” standard was an unclear term that may be interpreted to mean something less than “knowing possession.” In its view, “aware” is a term meaning “having knowledge; conscious; cognizant.” </w:t>
      </w:r>
      <w:r>
        <w:rPr>
          <w:rFonts w:ascii="Calibri" w:cs="Calibri" w:eastAsia="Calibri" w:hAnsi="Calibri"/>
          <w:sz w:val="18"/>
          <w:szCs w:val="18"/>
          <w:i w:val="1"/>
          <w:iCs w:val="1"/>
          <w:color w:val="auto"/>
        </w:rPr>
        <w:t>Id.</w:t>
      </w:r>
      <w:r>
        <w:rPr>
          <w:rFonts w:ascii="Calibri" w:cs="Calibri" w:eastAsia="Calibri" w:hAnsi="Calibri"/>
          <w:sz w:val="18"/>
          <w:szCs w:val="18"/>
          <w:color w:val="auto"/>
        </w:rPr>
        <w:t>, n.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77" w:name="page178"/>
    <w:bookmarkEnd w:id="177"/>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2" w:lineRule="exact"/>
        <w:rPr>
          <w:sz w:val="20"/>
          <w:szCs w:val="20"/>
          <w:color w:val="auto"/>
        </w:rPr>
      </w:pPr>
    </w:p>
    <w:p>
      <w:pPr>
        <w:ind w:left="200" w:right="219"/>
        <w:spacing w:after="0" w:line="202" w:lineRule="auto"/>
        <w:rPr>
          <w:sz w:val="20"/>
          <w:szCs w:val="20"/>
          <w:color w:val="auto"/>
        </w:rPr>
      </w:pPr>
      <w:r>
        <w:rPr>
          <w:rFonts w:ascii="Calibri" w:cs="Calibri" w:eastAsia="Calibri" w:hAnsi="Calibri"/>
          <w:sz w:val="22"/>
          <w:szCs w:val="22"/>
          <w:color w:val="auto"/>
        </w:rPr>
        <w:t>trade based on that informaton.</w:t>
      </w:r>
      <w:r>
        <w:rPr>
          <w:rFonts w:ascii="Calibri" w:cs="Calibri" w:eastAsia="Calibri" w:hAnsi="Calibri"/>
          <w:sz w:val="32"/>
          <w:szCs w:val="32"/>
          <w:u w:val="single" w:color="auto"/>
          <w:color w:val="0000EE"/>
          <w:vertAlign w:val="superscript"/>
        </w:rPr>
        <w:t>2</w:t>
      </w:r>
      <w:r>
        <w:rPr>
          <w:rFonts w:ascii="Calibri" w:cs="Calibri" w:eastAsia="Calibri" w:hAnsi="Calibri"/>
          <w:sz w:val="22"/>
          <w:szCs w:val="22"/>
          <w:color w:val="auto"/>
        </w:rPr>
        <w:t xml:space="preserve"> The Company and “controlling persons” of the Company may also be liable for violatons by Company employees.</w:t>
      </w:r>
      <w:r>
        <w:rPr>
          <w:rFonts w:ascii="Calibri" w:cs="Calibri" w:eastAsia="Calibri" w:hAnsi="Calibri"/>
          <w:sz w:val="32"/>
          <w:szCs w:val="32"/>
          <w:u w:val="single" w:color="auto"/>
          <w:color w:val="0000EE"/>
          <w:vertAlign w:val="superscript"/>
        </w:rPr>
        <w:t>3</w:t>
      </w:r>
    </w:p>
    <w:p>
      <w:pPr>
        <w:spacing w:after="0" w:line="345" w:lineRule="exact"/>
        <w:rPr>
          <w:sz w:val="20"/>
          <w:szCs w:val="20"/>
          <w:color w:val="auto"/>
        </w:rPr>
      </w:pPr>
    </w:p>
    <w:p>
      <w:pPr>
        <w:ind w:left="860" w:right="4419" w:hanging="651"/>
        <w:spacing w:after="0" w:line="423" w:lineRule="auto"/>
        <w:tabs>
          <w:tab w:leader="none" w:pos="860"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 xml:space="preserve">What is Material Non-Public Informaton? </w:t>
      </w:r>
      <w:r>
        <w:rPr>
          <w:rFonts w:ascii="Calibri" w:cs="Calibri" w:eastAsia="Calibri" w:hAnsi="Calibri"/>
          <w:sz w:val="22"/>
          <w:szCs w:val="22"/>
          <w:u w:val="single" w:color="auto"/>
          <w:color w:val="auto"/>
        </w:rPr>
        <w:t>Defniton</w:t>
      </w:r>
      <w:r>
        <w:rPr>
          <w:rFonts w:ascii="Calibri" w:cs="Calibri" w:eastAsia="Calibri" w:hAnsi="Calibri"/>
          <w:sz w:val="22"/>
          <w:szCs w:val="22"/>
          <w:b w:val="1"/>
          <w:bCs w:val="1"/>
          <w:i w:val="1"/>
          <w:iCs w:val="1"/>
          <w:color w:val="auto"/>
        </w:rPr>
        <w:t>.</w:t>
      </w:r>
    </w:p>
    <w:p>
      <w:pPr>
        <w:spacing w:after="0" w:line="12" w:lineRule="exact"/>
        <w:rPr>
          <w:rFonts w:ascii="Calibri" w:cs="Calibri" w:eastAsia="Calibri" w:hAnsi="Calibri"/>
          <w:sz w:val="22"/>
          <w:szCs w:val="22"/>
          <w:b w:val="1"/>
          <w:bCs w:val="1"/>
          <w:color w:val="auto"/>
        </w:rPr>
      </w:pPr>
    </w:p>
    <w:p>
      <w:pPr>
        <w:ind w:left="860"/>
        <w:spacing w:after="0"/>
        <w:rPr>
          <w:rFonts w:ascii="Calibri" w:cs="Calibri" w:eastAsia="Calibri" w:hAnsi="Calibri"/>
          <w:sz w:val="22"/>
          <w:szCs w:val="22"/>
          <w:b w:val="1"/>
          <w:bCs w:val="1"/>
          <w:color w:val="auto"/>
        </w:rPr>
      </w:pPr>
      <w:r>
        <w:rPr>
          <w:rFonts w:ascii="Calibri" w:cs="Calibri" w:eastAsia="Calibri" w:hAnsi="Calibri"/>
          <w:sz w:val="22"/>
          <w:szCs w:val="22"/>
          <w:color w:val="auto"/>
        </w:rPr>
        <w:t>Material non-public informaton is any informaton (positve or negatve) that:</w:t>
      </w:r>
    </w:p>
    <w:p>
      <w:pPr>
        <w:spacing w:after="0" w:line="219" w:lineRule="exact"/>
        <w:rPr>
          <w:rFonts w:ascii="Calibri" w:cs="Calibri" w:eastAsia="Calibri" w:hAnsi="Calibri"/>
          <w:sz w:val="22"/>
          <w:szCs w:val="22"/>
          <w:b w:val="1"/>
          <w:bCs w:val="1"/>
          <w:color w:val="auto"/>
        </w:rPr>
      </w:pPr>
    </w:p>
    <w:p>
      <w:pPr>
        <w:ind w:left="1180" w:hanging="323"/>
        <w:spacing w:after="0"/>
        <w:tabs>
          <w:tab w:leader="none" w:pos="1180" w:val="left"/>
        </w:tabs>
        <w:numPr>
          <w:ilvl w:val="1"/>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is not generally known to the public, and</w:t>
      </w:r>
    </w:p>
    <w:p>
      <w:pPr>
        <w:spacing w:after="0" w:line="228" w:lineRule="exact"/>
        <w:rPr>
          <w:rFonts w:ascii="Times New Roman" w:cs="Times New Roman" w:eastAsia="Times New Roman" w:hAnsi="Times New Roman"/>
          <w:sz w:val="22"/>
          <w:szCs w:val="22"/>
          <w:color w:val="auto"/>
        </w:rPr>
      </w:pPr>
    </w:p>
    <w:p>
      <w:pPr>
        <w:ind w:left="1180" w:right="239" w:hanging="323"/>
        <w:spacing w:after="0" w:line="235" w:lineRule="auto"/>
        <w:tabs>
          <w:tab w:leader="none" w:pos="1180" w:val="left"/>
        </w:tabs>
        <w:numPr>
          <w:ilvl w:val="1"/>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which, if publicly known, would likely afect either the market price of the Company’s securites or a person’s decision to buy, sell or hold the Company’s securites.</w:t>
      </w:r>
    </w:p>
    <w:p>
      <w:pPr>
        <w:spacing w:after="0" w:line="230" w:lineRule="exact"/>
        <w:rPr>
          <w:sz w:val="20"/>
          <w:szCs w:val="20"/>
          <w:color w:val="auto"/>
        </w:rPr>
      </w:pPr>
    </w:p>
    <w:p>
      <w:pPr>
        <w:ind w:left="200" w:right="219" w:firstLine="648"/>
        <w:spacing w:after="0" w:line="235" w:lineRule="auto"/>
        <w:rPr>
          <w:sz w:val="20"/>
          <w:szCs w:val="20"/>
          <w:color w:val="auto"/>
        </w:rPr>
      </w:pPr>
      <w:r>
        <w:rPr>
          <w:rFonts w:ascii="Calibri" w:cs="Calibri" w:eastAsia="Calibri" w:hAnsi="Calibri"/>
          <w:sz w:val="22"/>
          <w:szCs w:val="22"/>
          <w:u w:val="single" w:color="auto"/>
          <w:color w:val="auto"/>
        </w:rPr>
        <w:t>Examples</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Common examples of informaton that will frequently be regarded as material include, but are not limited to:</w:t>
      </w:r>
    </w:p>
    <w:p>
      <w:pPr>
        <w:spacing w:after="0" w:line="220" w:lineRule="exact"/>
        <w:rPr>
          <w:sz w:val="20"/>
          <w:szCs w:val="20"/>
          <w:color w:val="auto"/>
        </w:rPr>
      </w:pPr>
    </w:p>
    <w:p>
      <w:pPr>
        <w:ind w:left="1500" w:hanging="319"/>
        <w:spacing w:after="0"/>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quarterly or annual earnings results;</w:t>
      </w:r>
    </w:p>
    <w:p>
      <w:pPr>
        <w:spacing w:after="0" w:line="11"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clinical trial results or other meaningful clinical/scientfc data;</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projectons of future fnancial results;</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news of a pending or proposed merger, acquisiton or tender ofer;</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news of a pending or proposed acquisiton or dispositon of a signifcant asset;</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news of a pending or proposed joint venture;</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company restructuring;</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transactons with ofcers, directors or greater than 5% stockholders;</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fnancing transactons;</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declaraton of a stock split or the ofering of additonal securites;</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establishment of a stock repurchase program;</w:t>
      </w:r>
    </w:p>
    <w:p>
      <w:pPr>
        <w:spacing w:after="0" w:line="12" w:lineRule="exact"/>
        <w:rPr>
          <w:rFonts w:ascii="Times New Roman" w:cs="Times New Roman" w:eastAsia="Times New Roman" w:hAnsi="Times New Roman"/>
          <w:sz w:val="22"/>
          <w:szCs w:val="22"/>
          <w:color w:val="auto"/>
        </w:rPr>
      </w:pPr>
    </w:p>
    <w:p>
      <w:pPr>
        <w:ind w:left="1500" w:hanging="319"/>
        <w:spacing w:after="0" w:line="230"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in management;</w:t>
      </w:r>
    </w:p>
    <w:p>
      <w:pPr>
        <w:spacing w:after="0" w:line="12" w:lineRule="exact"/>
        <w:rPr>
          <w:rFonts w:ascii="Times New Roman" w:cs="Times New Roman" w:eastAsia="Times New Roman" w:hAnsi="Times New Roman"/>
          <w:sz w:val="22"/>
          <w:szCs w:val="22"/>
          <w:color w:val="auto"/>
        </w:rPr>
      </w:pPr>
    </w:p>
    <w:p>
      <w:pPr>
        <w:ind w:left="1500" w:right="239" w:hanging="319"/>
        <w:spacing w:after="0" w:line="235"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in auditors, or a notfcaton that the auditor’s reports may no longer be relied upon;</w:t>
      </w:r>
    </w:p>
    <w:p>
      <w:pPr>
        <w:spacing w:after="0" w:line="1"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pending or threatened signifcant litgaton, or the resoluton of such litgaton;</w:t>
      </w:r>
    </w:p>
    <w:p>
      <w:pPr>
        <w:spacing w:after="0" w:line="13"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impending bankruptcy or fnancial liquidity problems;</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gain or loss of a signifcant contract, license, registraton or collaboraton;</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earnings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190500</wp:posOffset>
            </wp:positionV>
            <wp:extent cx="13627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52" w:lineRule="exact"/>
        <w:rPr>
          <w:sz w:val="20"/>
          <w:szCs w:val="20"/>
          <w:color w:val="auto"/>
        </w:rPr>
      </w:pPr>
    </w:p>
    <w:p>
      <w:pPr>
        <w:jc w:val="both"/>
        <w:ind w:left="200" w:right="219"/>
        <w:spacing w:after="0" w:line="249" w:lineRule="auto"/>
        <w:rPr>
          <w:sz w:val="20"/>
          <w:szCs w:val="20"/>
          <w:color w:val="auto"/>
        </w:rPr>
      </w:pPr>
      <w:r>
        <w:rPr>
          <w:rFonts w:ascii="Calibri" w:cs="Calibri" w:eastAsia="Calibri" w:hAnsi="Calibri"/>
          <w:sz w:val="13"/>
          <w:szCs w:val="13"/>
          <w:color w:val="auto"/>
        </w:rPr>
        <w:t>2</w:t>
      </w:r>
      <w:r>
        <w:rPr>
          <w:rFonts w:ascii="Calibri" w:cs="Calibri" w:eastAsia="Calibri" w:hAnsi="Calibri"/>
          <w:sz w:val="17"/>
          <w:szCs w:val="17"/>
          <w:color w:val="auto"/>
        </w:rPr>
        <w:t>In order to incur liability for “tpping,” the tpper must (1) know or have reason to know that the informaton may be</w:t>
      </w:r>
      <w:r>
        <w:rPr>
          <w:rFonts w:ascii="Calibri" w:cs="Calibri" w:eastAsia="Calibri" w:hAnsi="Calibri"/>
          <w:sz w:val="13"/>
          <w:szCs w:val="13"/>
          <w:color w:val="auto"/>
        </w:rPr>
        <w:t xml:space="preserve"> </w:t>
      </w:r>
      <w:r>
        <w:rPr>
          <w:rFonts w:ascii="Calibri" w:cs="Calibri" w:eastAsia="Calibri" w:hAnsi="Calibri"/>
          <w:sz w:val="17"/>
          <w:szCs w:val="17"/>
          <w:color w:val="auto"/>
        </w:rPr>
        <w:t xml:space="preserve">used in order to trade, and (2) derive some beneft from providing the informaton to the tppee. In order to incur liability for trading on a tp, the tppee must know or have reason to know that the informaton was provided in violaton of a duty of trust or confdence. </w:t>
      </w:r>
      <w:r>
        <w:rPr>
          <w:rFonts w:ascii="Calibri" w:cs="Calibri" w:eastAsia="Calibri" w:hAnsi="Calibri"/>
          <w:sz w:val="17"/>
          <w:szCs w:val="17"/>
          <w:i w:val="1"/>
          <w:iCs w:val="1"/>
          <w:color w:val="auto"/>
        </w:rPr>
        <w:t>See, e.g., SEC v. Musella</w:t>
      </w:r>
      <w:r>
        <w:rPr>
          <w:rFonts w:ascii="Calibri" w:cs="Calibri" w:eastAsia="Calibri" w:hAnsi="Calibri"/>
          <w:sz w:val="17"/>
          <w:szCs w:val="17"/>
          <w:color w:val="auto"/>
        </w:rPr>
        <w:t>, 678 F. Supp. 1060, 1063 (S.D.N.Y. 1988).</w:t>
      </w:r>
    </w:p>
    <w:p>
      <w:pPr>
        <w:spacing w:after="0" w:line="3" w:lineRule="exact"/>
        <w:rPr>
          <w:sz w:val="20"/>
          <w:szCs w:val="20"/>
          <w:color w:val="auto"/>
        </w:rPr>
      </w:pPr>
    </w:p>
    <w:p>
      <w:pPr>
        <w:jc w:val="both"/>
        <w:ind w:left="200" w:right="219"/>
        <w:spacing w:after="0" w:line="254" w:lineRule="auto"/>
        <w:rPr>
          <w:sz w:val="20"/>
          <w:szCs w:val="20"/>
          <w:color w:val="auto"/>
        </w:rPr>
      </w:pPr>
      <w:r>
        <w:rPr>
          <w:rFonts w:ascii="Calibri" w:cs="Calibri" w:eastAsia="Calibri" w:hAnsi="Calibri"/>
          <w:sz w:val="13"/>
          <w:szCs w:val="13"/>
          <w:color w:val="auto"/>
        </w:rPr>
        <w:t>3</w:t>
      </w:r>
      <w:r>
        <w:rPr>
          <w:rFonts w:ascii="Calibri" w:cs="Calibri" w:eastAsia="Calibri" w:hAnsi="Calibri"/>
          <w:sz w:val="17"/>
          <w:szCs w:val="17"/>
          <w:color w:val="auto"/>
        </w:rPr>
        <w:t>“Control person” liability extends to the company and to ofcers and directors who are part of a “control group” with</w:t>
      </w:r>
      <w:r>
        <w:rPr>
          <w:rFonts w:ascii="Calibri" w:cs="Calibri" w:eastAsia="Calibri" w:hAnsi="Calibri"/>
          <w:sz w:val="13"/>
          <w:szCs w:val="13"/>
          <w:color w:val="auto"/>
        </w:rPr>
        <w:t xml:space="preserve"> </w:t>
      </w:r>
      <w:r>
        <w:rPr>
          <w:rFonts w:ascii="Calibri" w:cs="Calibri" w:eastAsia="Calibri" w:hAnsi="Calibri"/>
          <w:sz w:val="17"/>
          <w:szCs w:val="17"/>
          <w:color w:val="auto"/>
        </w:rPr>
        <w:t xml:space="preserve">regard to (1) the company itself or (2) an employee who engages in insider trading, and who “in some meaningful sense are culpable partcipants in the fraud.” </w:t>
      </w:r>
      <w:r>
        <w:rPr>
          <w:rFonts w:ascii="Calibri" w:cs="Calibri" w:eastAsia="Calibri" w:hAnsi="Calibri"/>
          <w:sz w:val="17"/>
          <w:szCs w:val="17"/>
          <w:i w:val="1"/>
          <w:iCs w:val="1"/>
          <w:color w:val="auto"/>
        </w:rPr>
        <w:t>Lanza v. Drexel &amp; Co.</w:t>
      </w:r>
      <w:r>
        <w:rPr>
          <w:rFonts w:ascii="Calibri" w:cs="Calibri" w:eastAsia="Calibri" w:hAnsi="Calibri"/>
          <w:sz w:val="17"/>
          <w:szCs w:val="17"/>
          <w:color w:val="auto"/>
        </w:rPr>
        <w:t>, 479 F.2d 1277, 1299 (2d Cir. 1973).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350520</wp:posOffset>
            </wp:positionV>
            <wp:extent cx="545211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78" w:name="page179"/>
    <w:bookmarkEnd w:id="178"/>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3" w:lineRule="exact"/>
        <w:rPr>
          <w:sz w:val="20"/>
          <w:szCs w:val="20"/>
          <w:color w:val="auto"/>
        </w:rPr>
      </w:pPr>
    </w:p>
    <w:p>
      <w:pPr>
        <w:ind w:left="1500" w:hanging="319"/>
        <w:spacing w:after="0"/>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in dividend policies;</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in pricing or cost structure of Company products or services;</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new products or discoveries</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clinical or regulatory developments;</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internal fnancial informaton which departs from what the market expects;</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entry into, amendment or terminaton of a material contract; or</w:t>
      </w:r>
    </w:p>
    <w:p>
      <w:pPr>
        <w:spacing w:after="0" w:line="14" w:lineRule="exact"/>
        <w:rPr>
          <w:rFonts w:ascii="Times New Roman" w:cs="Times New Roman" w:eastAsia="Times New Roman" w:hAnsi="Times New Roman"/>
          <w:sz w:val="22"/>
          <w:szCs w:val="22"/>
          <w:color w:val="auto"/>
        </w:rPr>
      </w:pPr>
    </w:p>
    <w:p>
      <w:pPr>
        <w:ind w:left="1500" w:hanging="319"/>
        <w:spacing w:after="0" w:line="228" w:lineRule="auto"/>
        <w:tabs>
          <w:tab w:leader="none" w:pos="1500" w:val="left"/>
        </w:tabs>
        <w:numPr>
          <w:ilvl w:val="0"/>
          <w:numId w:val="91"/>
        </w:numPr>
        <w:rPr>
          <w:rFonts w:ascii="Times New Roman" w:cs="Times New Roman" w:eastAsia="Times New Roman" w:hAnsi="Times New Roman"/>
          <w:sz w:val="22"/>
          <w:szCs w:val="22"/>
          <w:color w:val="auto"/>
        </w:rPr>
      </w:pPr>
      <w:r>
        <w:rPr>
          <w:rFonts w:ascii="Calibri" w:cs="Calibri" w:eastAsia="Calibri" w:hAnsi="Calibri"/>
          <w:sz w:val="22"/>
          <w:szCs w:val="22"/>
          <w:color w:val="auto"/>
        </w:rPr>
        <w:t>other items that require the fling of a Current Report on Form 8-K with the SEC.</w:t>
      </w:r>
    </w:p>
    <w:p>
      <w:pPr>
        <w:spacing w:after="0" w:line="285"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u w:val="single" w:color="auto"/>
          <w:color w:val="auto"/>
        </w:rPr>
        <w:t>Twenty-Twenty Hindsight</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In determining whether informaton is material, the SEC and other regulators will view the informaton afer-the-fact with the beneft of hindsight. As a result, in determining whether any informaton is material, we will, and you should, carefully consider whether regulators and others might view the informaton as being material in hindsight, with the beneft of all relevant informaton that later becomes available. For example, if there is a signifcant change in the Company’s stock price following release of certain informaton, that informaton will likely be determined to have been material when viewed with the beneft of hindsight.</w:t>
      </w:r>
    </w:p>
    <w:p>
      <w:pPr>
        <w:spacing w:after="0" w:line="237" w:lineRule="exact"/>
        <w:rPr>
          <w:sz w:val="20"/>
          <w:szCs w:val="20"/>
          <w:color w:val="auto"/>
        </w:rPr>
      </w:pPr>
    </w:p>
    <w:p>
      <w:pPr>
        <w:jc w:val="both"/>
        <w:ind w:left="200" w:right="219" w:firstLine="648"/>
        <w:spacing w:after="0" w:line="238" w:lineRule="auto"/>
        <w:rPr>
          <w:sz w:val="20"/>
          <w:szCs w:val="20"/>
          <w:color w:val="auto"/>
        </w:rPr>
      </w:pPr>
      <w:r>
        <w:rPr>
          <w:rFonts w:ascii="Calibri" w:cs="Calibri" w:eastAsia="Calibri" w:hAnsi="Calibri"/>
          <w:sz w:val="22"/>
          <w:szCs w:val="22"/>
          <w:color w:val="auto"/>
        </w:rPr>
        <w:t>In additon to addressing the relevant statutes and regulatons in this area, we are adoptng this Policy to avoid even the appearance of improper conduct on the part of anyone employed by or associated with the Company and certain related persons, not just members of senior management.</w:t>
      </w:r>
    </w:p>
    <w:p>
      <w:pPr>
        <w:spacing w:after="0" w:line="200" w:lineRule="exact"/>
        <w:rPr>
          <w:sz w:val="20"/>
          <w:szCs w:val="20"/>
          <w:color w:val="auto"/>
        </w:rPr>
      </w:pPr>
    </w:p>
    <w:p>
      <w:pPr>
        <w:spacing w:after="0" w:line="236" w:lineRule="exact"/>
        <w:rPr>
          <w:sz w:val="20"/>
          <w:szCs w:val="20"/>
          <w:color w:val="auto"/>
        </w:rPr>
      </w:pPr>
    </w:p>
    <w:p>
      <w:pPr>
        <w:ind w:left="860" w:hanging="651"/>
        <w:spacing w:after="0"/>
        <w:tabs>
          <w:tab w:leader="none" w:pos="860" w:val="left"/>
        </w:tabs>
        <w:numPr>
          <w:ilvl w:val="0"/>
          <w:numId w:val="92"/>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The Consequences of Insider Trading</w:t>
      </w:r>
    </w:p>
    <w:p>
      <w:pPr>
        <w:spacing w:after="0" w:line="215" w:lineRule="exact"/>
        <w:rPr>
          <w:rFonts w:ascii="Calibri" w:cs="Calibri" w:eastAsia="Calibri" w:hAnsi="Calibri"/>
          <w:sz w:val="22"/>
          <w:szCs w:val="22"/>
          <w:b w:val="1"/>
          <w:bCs w:val="1"/>
          <w:color w:val="auto"/>
        </w:rPr>
      </w:pPr>
    </w:p>
    <w:p>
      <w:pPr>
        <w:ind w:left="860"/>
        <w:spacing w:after="0"/>
        <w:rPr>
          <w:rFonts w:ascii="Calibri" w:cs="Calibri" w:eastAsia="Calibri" w:hAnsi="Calibri"/>
          <w:sz w:val="22"/>
          <w:szCs w:val="22"/>
          <w:b w:val="1"/>
          <w:bCs w:val="1"/>
          <w:color w:val="auto"/>
        </w:rPr>
      </w:pPr>
      <w:r>
        <w:rPr>
          <w:rFonts w:ascii="Calibri" w:cs="Calibri" w:eastAsia="Calibri" w:hAnsi="Calibri"/>
          <w:sz w:val="22"/>
          <w:szCs w:val="22"/>
          <w:color w:val="auto"/>
        </w:rPr>
        <w:t>The consequences of insider trading violatons can be severe:</w:t>
      </w:r>
    </w:p>
    <w:p>
      <w:pPr>
        <w:spacing w:after="0" w:line="230" w:lineRule="exact"/>
        <w:rPr>
          <w:sz w:val="20"/>
          <w:szCs w:val="20"/>
          <w:color w:val="auto"/>
        </w:rPr>
      </w:pPr>
    </w:p>
    <w:p>
      <w:pPr>
        <w:ind w:left="200" w:right="219" w:firstLine="648"/>
        <w:spacing w:after="0" w:line="235" w:lineRule="auto"/>
        <w:rPr>
          <w:sz w:val="20"/>
          <w:szCs w:val="20"/>
          <w:color w:val="auto"/>
        </w:rPr>
      </w:pPr>
      <w:r>
        <w:rPr>
          <w:rFonts w:ascii="Calibri" w:cs="Calibri" w:eastAsia="Calibri" w:hAnsi="Calibri"/>
          <w:sz w:val="22"/>
          <w:szCs w:val="22"/>
          <w:u w:val="single" w:color="auto"/>
          <w:color w:val="auto"/>
        </w:rPr>
        <w:t>For individuals</w:t>
      </w:r>
      <w:r>
        <w:rPr>
          <w:rFonts w:ascii="Calibri" w:cs="Calibri" w:eastAsia="Calibri" w:hAnsi="Calibri"/>
          <w:sz w:val="22"/>
          <w:szCs w:val="22"/>
          <w:color w:val="auto"/>
        </w:rPr>
        <w:t xml:space="preserve"> who trade while in possession of material non-public informaton (or tp informaton to others):</w:t>
      </w:r>
    </w:p>
    <w:p>
      <w:pPr>
        <w:spacing w:after="0" w:line="220" w:lineRule="exact"/>
        <w:rPr>
          <w:sz w:val="20"/>
          <w:szCs w:val="20"/>
          <w:color w:val="auto"/>
        </w:rPr>
      </w:pPr>
    </w:p>
    <w:p>
      <w:pPr>
        <w:ind w:left="1180" w:hanging="323"/>
        <w:spacing w:after="0"/>
        <w:tabs>
          <w:tab w:leader="none" w:pos="1180" w:val="left"/>
        </w:tabs>
        <w:numPr>
          <w:ilvl w:val="0"/>
          <w:numId w:val="93"/>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civil penalty of up to three tmes the proft gained or loss avoided;</w:t>
      </w:r>
    </w:p>
    <w:p>
      <w:pPr>
        <w:spacing w:after="0" w:line="215"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93"/>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criminal fne (no mater how small the proft) of up to $5 million; and</w:t>
      </w:r>
    </w:p>
    <w:p>
      <w:pPr>
        <w:spacing w:after="0" w:line="219"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93"/>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jail term of up to 20 years.</w:t>
      </w:r>
    </w:p>
    <w:p>
      <w:pPr>
        <w:spacing w:after="0" w:line="228"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color w:val="auto"/>
        </w:rPr>
        <w:t>These penaltes can apply even if the individual is not a member of the Board of Directors or an ofcer of the Company. Moreover, if an employee violates this Policy, he or she may also be subject to Company-imposed sanctons, including terminaton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79" w:name="page180"/>
    <w:bookmarkEnd w:id="179"/>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6" w:lineRule="exact"/>
        <w:rPr>
          <w:sz w:val="20"/>
          <w:szCs w:val="20"/>
          <w:color w:val="auto"/>
        </w:rPr>
      </w:pPr>
    </w:p>
    <w:p>
      <w:pPr>
        <w:ind w:left="200" w:right="239" w:firstLine="648"/>
        <w:spacing w:after="0" w:line="235" w:lineRule="auto"/>
        <w:rPr>
          <w:sz w:val="20"/>
          <w:szCs w:val="20"/>
          <w:color w:val="auto"/>
        </w:rPr>
      </w:pPr>
      <w:r>
        <w:rPr>
          <w:rFonts w:ascii="Calibri" w:cs="Calibri" w:eastAsia="Calibri" w:hAnsi="Calibri"/>
          <w:sz w:val="22"/>
          <w:szCs w:val="22"/>
          <w:u w:val="single" w:color="auto"/>
          <w:color w:val="auto"/>
        </w:rPr>
        <w:t>For a Company</w:t>
      </w:r>
      <w:r>
        <w:rPr>
          <w:rFonts w:ascii="Calibri" w:cs="Calibri" w:eastAsia="Calibri" w:hAnsi="Calibri"/>
          <w:sz w:val="22"/>
          <w:szCs w:val="22"/>
          <w:color w:val="auto"/>
        </w:rPr>
        <w:t xml:space="preserve"> (as well as possibly any supervisory person) that fails to take appropriate steps to prevent illegal trading:</w:t>
      </w:r>
    </w:p>
    <w:p>
      <w:pPr>
        <w:spacing w:after="0" w:line="230" w:lineRule="exact"/>
        <w:rPr>
          <w:sz w:val="20"/>
          <w:szCs w:val="20"/>
          <w:color w:val="auto"/>
        </w:rPr>
      </w:pPr>
    </w:p>
    <w:p>
      <w:pPr>
        <w:ind w:left="1180" w:right="219" w:hanging="323"/>
        <w:spacing w:after="0" w:line="235" w:lineRule="auto"/>
        <w:tabs>
          <w:tab w:leader="none" w:pos="1180" w:val="left"/>
        </w:tabs>
        <w:numPr>
          <w:ilvl w:val="0"/>
          <w:numId w:val="9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civil penalty of the greater of $1 million or three tmes the proft gained or loss avoided as a result of the employee’s violaton; and</w:t>
      </w:r>
    </w:p>
    <w:p>
      <w:pPr>
        <w:spacing w:after="0" w:line="219"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94"/>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criminal penalty of up to $25 million.</w:t>
      </w:r>
    </w:p>
    <w:p>
      <w:pPr>
        <w:spacing w:after="0" w:line="228"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color w:val="auto"/>
        </w:rPr>
        <w:t>Any of the above consequences, including an SEC investgaton that does not result in prosecuton, can tarnish the Company’s or an individual’s reputaton and irreparably damage a career.</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u w:val="single" w:color="auto"/>
          <w:color w:val="auto"/>
        </w:rPr>
        <w:t>Our Policy</w:t>
      </w:r>
    </w:p>
    <w:p>
      <w:pPr>
        <w:spacing w:after="0" w:line="228"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u w:val="single" w:color="auto"/>
          <w:color w:val="auto"/>
        </w:rPr>
        <w:t>General Prohibiton on Trading</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Company personnel and Related Persons (as defned below in this </w:t>
      </w:r>
      <w:r>
        <w:rPr>
          <w:rFonts w:ascii="Calibri" w:cs="Calibri" w:eastAsia="Calibri" w:hAnsi="Calibri"/>
          <w:sz w:val="22"/>
          <w:szCs w:val="22"/>
          <w:u w:val="single" w:color="auto"/>
          <w:color w:val="auto"/>
        </w:rPr>
        <w:t>Secton IV</w:t>
      </w:r>
      <w:r>
        <w:rPr>
          <w:rFonts w:ascii="Calibri" w:cs="Calibri" w:eastAsia="Calibri" w:hAnsi="Calibri"/>
          <w:sz w:val="22"/>
          <w:szCs w:val="22"/>
          <w:color w:val="auto"/>
        </w:rPr>
        <w:t xml:space="preserve">) may not buy or sell securites of the Company while in possession of material non-public informaton or engage in any other acton to take advantage of, or pass on to others, that informaton, subject to the specifc exceptons noted below in this </w:t>
      </w:r>
      <w:r>
        <w:rPr>
          <w:rFonts w:ascii="Calibri" w:cs="Calibri" w:eastAsia="Calibri" w:hAnsi="Calibri"/>
          <w:sz w:val="22"/>
          <w:szCs w:val="22"/>
          <w:u w:val="single" w:color="auto"/>
          <w:color w:val="auto"/>
        </w:rPr>
        <w:t>Secton IV</w:t>
      </w:r>
      <w:r>
        <w:rPr>
          <w:rFonts w:ascii="Calibri" w:cs="Calibri" w:eastAsia="Calibri" w:hAnsi="Calibri"/>
          <w:sz w:val="22"/>
          <w:szCs w:val="22"/>
          <w:color w:val="auto"/>
        </w:rPr>
        <w:t xml:space="preserve"> under the capton “</w:t>
      </w:r>
      <w:r>
        <w:rPr>
          <w:rFonts w:ascii="Calibri" w:cs="Calibri" w:eastAsia="Calibri" w:hAnsi="Calibri"/>
          <w:sz w:val="22"/>
          <w:szCs w:val="22"/>
          <w:u w:val="single" w:color="auto"/>
          <w:color w:val="auto"/>
        </w:rPr>
        <w:t>Exceptons for Certain Transactons</w:t>
      </w:r>
      <w:r>
        <w:rPr>
          <w:rFonts w:ascii="Calibri" w:cs="Calibri" w:eastAsia="Calibri" w:hAnsi="Calibri"/>
          <w:sz w:val="22"/>
          <w:szCs w:val="22"/>
          <w:color w:val="auto"/>
        </w:rPr>
        <w:t>.”</w:t>
      </w:r>
    </w:p>
    <w:p>
      <w:pPr>
        <w:spacing w:after="0" w:line="229"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u w:val="single" w:color="auto"/>
          <w:color w:val="auto"/>
        </w:rPr>
        <w:t>Transactons by Family Members, Others in Your Household and Enttes You Control</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The restrictons in this Policy also apply to (1) immediate family members who reside with you, (2) others living in your household (whether or not related to you), (3) family members who do not live in your household but whose transactons in the Company’s securites are directed by you or are subject to your infuence or control (e.g., parents or children who consult with you before they trade in the Company’s securites) and (4) any enttes that you infuence or control, including any corporatons, limited liability companies, partnerships or trusts (each person or entty identfed in clauses (1) – (4), a “</w:t>
      </w:r>
      <w:r>
        <w:rPr>
          <w:rFonts w:ascii="Calibri" w:cs="Calibri" w:eastAsia="Calibri" w:hAnsi="Calibri"/>
          <w:sz w:val="22"/>
          <w:szCs w:val="22"/>
          <w:u w:val="single" w:color="auto"/>
          <w:color w:val="auto"/>
        </w:rPr>
        <w:t>Related Person</w:t>
      </w:r>
      <w:r>
        <w:rPr>
          <w:rFonts w:ascii="Calibri" w:cs="Calibri" w:eastAsia="Calibri" w:hAnsi="Calibri"/>
          <w:sz w:val="22"/>
          <w:szCs w:val="22"/>
          <w:color w:val="auto"/>
        </w:rPr>
        <w:t>”). SEC regulatons specifcally provide that any material non-public informaton about the Company communicated to any spouse, parent, child or sibling is considered to have been communicated under a duty of trust or confdence; and that any trading in the Company’s securites by such family members while they are aware of such informaton may, therefore, violate insider trading laws and regulatons. Company personnel are expected to be responsible for the compliance of all Related Persons with this Policy. This means that, to the extent such Related Persons of Company personnel intend to trade in the Company’s securites, the Related Persons need to comply with the black-out periods and all other restrictons in this Policy. Furthermore, you should not partcipate in any investment club (i.e., groups of people who pool their money to make investments) that may invest in the Company’s securites.</w:t>
      </w:r>
    </w:p>
    <w:p>
      <w:pPr>
        <w:spacing w:after="0" w:line="242" w:lineRule="exact"/>
        <w:rPr>
          <w:sz w:val="20"/>
          <w:szCs w:val="20"/>
          <w:color w:val="auto"/>
        </w:rPr>
      </w:pPr>
    </w:p>
    <w:p>
      <w:pPr>
        <w:jc w:val="both"/>
        <w:ind w:left="200" w:right="219" w:firstLine="648"/>
        <w:spacing w:after="0" w:line="238" w:lineRule="auto"/>
        <w:rPr>
          <w:sz w:val="20"/>
          <w:szCs w:val="20"/>
          <w:color w:val="auto"/>
        </w:rPr>
      </w:pPr>
      <w:r>
        <w:rPr>
          <w:rFonts w:ascii="Calibri" w:cs="Calibri" w:eastAsia="Calibri" w:hAnsi="Calibri"/>
          <w:sz w:val="22"/>
          <w:szCs w:val="22"/>
          <w:u w:val="single" w:color="auto"/>
          <w:color w:val="auto"/>
        </w:rPr>
        <w:t>Other Companies’ Non-public Informaton</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This Policy also applies with equal force to informaton relatng to any other company, including our collaborators, customers or suppliers, obtained by Company personnel during the course of their service to or employment by the Company. Specifcally, no Company personnel who, in the course of work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0" w:name="page181"/>
    <w:bookmarkEnd w:id="180"/>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6" w:lineRule="exact"/>
        <w:rPr>
          <w:sz w:val="20"/>
          <w:szCs w:val="20"/>
          <w:color w:val="auto"/>
        </w:rPr>
      </w:pPr>
    </w:p>
    <w:p>
      <w:pPr>
        <w:jc w:val="both"/>
        <w:ind w:left="200" w:right="219"/>
        <w:spacing w:after="0" w:line="237" w:lineRule="auto"/>
        <w:rPr>
          <w:sz w:val="20"/>
          <w:szCs w:val="20"/>
          <w:color w:val="auto"/>
        </w:rPr>
      </w:pPr>
      <w:r>
        <w:rPr>
          <w:rFonts w:ascii="Calibri" w:cs="Calibri" w:eastAsia="Calibri" w:hAnsi="Calibri"/>
          <w:sz w:val="22"/>
          <w:szCs w:val="22"/>
          <w:color w:val="auto"/>
        </w:rPr>
        <w:t>Company, learns of material non-public informaton about a company with which the Company does business may trade in the other company’s securites untl the informaton becomes public or is no longer material.</w:t>
      </w:r>
    </w:p>
    <w:p>
      <w:pPr>
        <w:spacing w:after="0" w:line="217" w:lineRule="exact"/>
        <w:rPr>
          <w:sz w:val="20"/>
          <w:szCs w:val="20"/>
          <w:color w:val="auto"/>
        </w:rPr>
      </w:pPr>
    </w:p>
    <w:p>
      <w:pPr>
        <w:jc w:val="both"/>
        <w:ind w:left="200" w:right="219" w:firstLine="648"/>
        <w:spacing w:after="0" w:line="229" w:lineRule="auto"/>
        <w:rPr>
          <w:sz w:val="20"/>
          <w:szCs w:val="20"/>
          <w:color w:val="auto"/>
        </w:rPr>
      </w:pPr>
      <w:r>
        <w:rPr>
          <w:rFonts w:ascii="Calibri" w:cs="Calibri" w:eastAsia="Calibri" w:hAnsi="Calibri"/>
          <w:sz w:val="22"/>
          <w:szCs w:val="22"/>
          <w:u w:val="single" w:color="auto"/>
          <w:color w:val="auto"/>
        </w:rPr>
        <w:t>Personal or Independent Reasons Are Not Exceptons</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Transactons in the Company’s securites that may be necessary or justfable for independent reasons (such as the need to raise money for an emergency expenditure) are no excepton. Even the appearance of an improper transacton must be avoided to preserve our reputaton for adhering to the highest standards of conduct.</w:t>
      </w:r>
    </w:p>
    <w:p>
      <w:pPr>
        <w:spacing w:after="0" w:line="231"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u w:val="single" w:color="auto"/>
          <w:color w:val="auto"/>
        </w:rPr>
        <w:t>Policy Administrator</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This Policy shall be administered by the “</w:t>
      </w:r>
      <w:r>
        <w:rPr>
          <w:rFonts w:ascii="Calibri" w:cs="Calibri" w:eastAsia="Calibri" w:hAnsi="Calibri"/>
          <w:sz w:val="22"/>
          <w:szCs w:val="22"/>
          <w:u w:val="single" w:color="auto"/>
          <w:color w:val="auto"/>
        </w:rPr>
        <w:t>Policy Administrator</w:t>
      </w:r>
      <w:r>
        <w:rPr>
          <w:rFonts w:ascii="Calibri" w:cs="Calibri" w:eastAsia="Calibri" w:hAnsi="Calibri"/>
          <w:sz w:val="22"/>
          <w:szCs w:val="22"/>
          <w:color w:val="auto"/>
        </w:rPr>
        <w:t>,” who shall initally be the Company’s General Counsel, and if such person is not available, then the Company’s Chief Operatng Ofcer, shall serve as the alternate Policy Administrator. The Policy Administrator may, however, change from tme to tme; to confrm the name of the then-current Policy Administrator, please contact the General Counsel.</w:t>
      </w:r>
    </w:p>
    <w:p>
      <w:pPr>
        <w:spacing w:after="0" w:line="229"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u w:val="single" w:color="auto"/>
          <w:color w:val="auto"/>
        </w:rPr>
        <w:t>When Informaton Becomes Public</w:t>
      </w:r>
      <w:r>
        <w:rPr>
          <w:rFonts w:ascii="Calibri" w:cs="Calibri" w:eastAsia="Calibri" w:hAnsi="Calibri"/>
          <w:sz w:val="22"/>
          <w:szCs w:val="22"/>
          <w:color w:val="auto"/>
        </w:rPr>
        <w:t xml:space="preserve">. This Policy applies to material </w:t>
      </w:r>
      <w:r>
        <w:rPr>
          <w:rFonts w:ascii="Calibri" w:cs="Calibri" w:eastAsia="Calibri" w:hAnsi="Calibri"/>
          <w:sz w:val="22"/>
          <w:szCs w:val="22"/>
          <w:u w:val="single" w:color="auto"/>
          <w:color w:val="auto"/>
        </w:rPr>
        <w:t>non-public</w:t>
      </w:r>
      <w:r>
        <w:rPr>
          <w:rFonts w:ascii="Calibri" w:cs="Calibri" w:eastAsia="Calibri" w:hAnsi="Calibri"/>
          <w:sz w:val="22"/>
          <w:szCs w:val="22"/>
          <w:color w:val="auto"/>
        </w:rPr>
        <w:t xml:space="preserve"> informaton about the Company, which means that trading is permited once the informaton becomes known to the public (unless some other Company policy or legal obligaton restricts trading at that tme). Because the Company’s stockholders and the investng public should be aforded tme to receive and absorb informaton, as a general rule you should not engage in any transactons untl the beginning of the second business day afer the day on which the material informaton has been released. Thus, if an announcement is made at any tme on a Monday (e.g., before or afer the market opens), Wednesday generally would be the frst day on which you may trade. If an announcement is made at any tme on a Friday, Tuesday generally would be the frst day on which you may trade. However, if the informaton released is complex, such as a major fnancing or other signifcant transacton, it may be necessary to allow additonal tme for the informaton to be absorbed by the investng public. In such circumstances, you will be notfed by the Policy Administrator regarding a suitable waitng period before trading. In additon, we have established specifed black-out periods, as described below.</w:t>
      </w:r>
    </w:p>
    <w:p>
      <w:pPr>
        <w:spacing w:after="0" w:line="236"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u w:val="single" w:color="auto"/>
          <w:color w:val="auto"/>
        </w:rPr>
        <w:t>Prohibited Trading Periods</w:t>
      </w:r>
      <w:r>
        <w:rPr>
          <w:rFonts w:ascii="Calibri" w:cs="Calibri" w:eastAsia="Calibri" w:hAnsi="Calibri"/>
          <w:sz w:val="22"/>
          <w:szCs w:val="22"/>
          <w:b w:val="1"/>
          <w:bCs w:val="1"/>
          <w:color w:val="auto"/>
        </w:rPr>
        <w:t>.</w:t>
      </w:r>
      <w:r>
        <w:rPr>
          <w:rFonts w:ascii="Calibri" w:cs="Calibri" w:eastAsia="Calibri" w:hAnsi="Calibri"/>
          <w:sz w:val="22"/>
          <w:szCs w:val="22"/>
          <w:color w:val="auto"/>
        </w:rPr>
        <w:t xml:space="preserve"> While it is never permissible to trade based on material non-public informaton, we are implementng the following procedures to help prevent inadvertent violatons of this Policy and avoid even the appearance of an improper transacton (which could result, for example, where Company personnel engage in a trade while unaware of a pending major development</w:t>
      </w:r>
      <w:r>
        <w:rPr>
          <w:rFonts w:ascii="Calibri" w:cs="Calibri" w:eastAsia="Calibri" w:hAnsi="Calibri"/>
          <w:sz w:val="22"/>
          <w:szCs w:val="22"/>
          <w:i w:val="1"/>
          <w:iCs w:val="1"/>
          <w:color w:val="auto"/>
        </w:rPr>
        <w:t>).</w:t>
      </w:r>
    </w:p>
    <w:p>
      <w:pPr>
        <w:spacing w:after="0" w:line="229" w:lineRule="exact"/>
        <w:rPr>
          <w:sz w:val="20"/>
          <w:szCs w:val="20"/>
          <w:color w:val="auto"/>
        </w:rPr>
      </w:pPr>
    </w:p>
    <w:p>
      <w:pPr>
        <w:jc w:val="both"/>
        <w:ind w:left="200" w:right="219" w:firstLine="657"/>
        <w:spacing w:after="0" w:line="237" w:lineRule="auto"/>
        <w:tabs>
          <w:tab w:leader="none" w:pos="1496" w:val="left"/>
        </w:tabs>
        <w:numPr>
          <w:ilvl w:val="0"/>
          <w:numId w:val="95"/>
        </w:numPr>
        <w:rPr>
          <w:rFonts w:ascii="Calibri" w:cs="Calibri" w:eastAsia="Calibri" w:hAnsi="Calibri"/>
          <w:sz w:val="22"/>
          <w:szCs w:val="22"/>
          <w:color w:val="auto"/>
        </w:rPr>
      </w:pPr>
      <w:r>
        <w:rPr>
          <w:rFonts w:ascii="Calibri" w:cs="Calibri" w:eastAsia="Calibri" w:hAnsi="Calibri"/>
          <w:sz w:val="22"/>
          <w:szCs w:val="22"/>
          <w:u w:val="single" w:color="auto"/>
          <w:color w:val="auto"/>
        </w:rPr>
        <w:t>Company Wide Black-Out Periods Applicable to All Company Personnel</w:t>
      </w:r>
      <w:r>
        <w:rPr>
          <w:rFonts w:ascii="Calibri" w:cs="Calibri" w:eastAsia="Calibri" w:hAnsi="Calibri"/>
          <w:sz w:val="22"/>
          <w:szCs w:val="22"/>
          <w:color w:val="auto"/>
        </w:rPr>
        <w:t>. All Company personnel and Related Persons are prohibited from trading in any of the Company’s securites during the following periods:</w:t>
      </w:r>
    </w:p>
    <w:p>
      <w:pPr>
        <w:spacing w:after="0" w:line="230" w:lineRule="exact"/>
        <w:rPr>
          <w:sz w:val="20"/>
          <w:szCs w:val="20"/>
          <w:color w:val="auto"/>
        </w:rPr>
      </w:pPr>
    </w:p>
    <w:p>
      <w:pPr>
        <w:jc w:val="both"/>
        <w:ind w:left="1180" w:right="239" w:hanging="323"/>
        <w:spacing w:after="0" w:line="237" w:lineRule="auto"/>
        <w:tabs>
          <w:tab w:leader="none" w:pos="1180" w:val="left"/>
        </w:tabs>
        <w:numPr>
          <w:ilvl w:val="0"/>
          <w:numId w:val="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from the tme each such individual becomes aware of the material informaton (the black-out start tmes ofen vary), untl the beginning of the second business day afer the day the Company has made a public announcement of material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1" w:name="page182"/>
    <w:bookmarkEnd w:id="181"/>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6" w:lineRule="exact"/>
        <w:rPr>
          <w:sz w:val="20"/>
          <w:szCs w:val="20"/>
          <w:color w:val="auto"/>
        </w:rPr>
      </w:pPr>
    </w:p>
    <w:p>
      <w:pPr>
        <w:jc w:val="both"/>
        <w:ind w:left="1180" w:right="219"/>
        <w:spacing w:after="0" w:line="237" w:lineRule="auto"/>
        <w:rPr>
          <w:sz w:val="20"/>
          <w:szCs w:val="20"/>
          <w:color w:val="auto"/>
        </w:rPr>
      </w:pPr>
      <w:r>
        <w:rPr>
          <w:rFonts w:ascii="Calibri" w:cs="Calibri" w:eastAsia="Calibri" w:hAnsi="Calibri"/>
          <w:sz w:val="22"/>
          <w:szCs w:val="22"/>
          <w:color w:val="auto"/>
        </w:rPr>
        <w:t>including earnings releases, unless the informaton released is complex, in which case it may be necessary to extend this period and the Policy Administrator will notfy you of any such extension of the black-out period; and</w:t>
      </w:r>
    </w:p>
    <w:p>
      <w:pPr>
        <w:spacing w:after="0" w:line="230" w:lineRule="exact"/>
        <w:rPr>
          <w:sz w:val="20"/>
          <w:szCs w:val="20"/>
          <w:color w:val="auto"/>
        </w:rPr>
      </w:pPr>
    </w:p>
    <w:p>
      <w:pPr>
        <w:ind w:left="1180" w:right="239" w:hanging="323"/>
        <w:spacing w:after="0" w:line="235" w:lineRule="auto"/>
        <w:tabs>
          <w:tab w:leader="none" w:pos="1180" w:val="left"/>
        </w:tabs>
        <w:numPr>
          <w:ilvl w:val="0"/>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during other specifed periods when signifcant developments or announcements are antcipated, as notfed by the Policy Administrator.</w:t>
      </w:r>
    </w:p>
    <w:p>
      <w:pPr>
        <w:spacing w:after="0" w:line="230"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color w:val="auto"/>
        </w:rPr>
        <w:t xml:space="preserve">You will be notfed by e-mail when you may not trade in the Company’s securites during periods when signifcant developments or announcements are antcipated, in which event you will also be notfed when trading restrictons are lifed. </w:t>
      </w:r>
      <w:r>
        <w:rPr>
          <w:rFonts w:ascii="Calibri" w:cs="Calibri" w:eastAsia="Calibri" w:hAnsi="Calibri"/>
          <w:sz w:val="22"/>
          <w:szCs w:val="22"/>
          <w:i w:val="1"/>
          <w:iCs w:val="1"/>
          <w:color w:val="auto"/>
        </w:rPr>
        <w:t>Of course, even during periods when</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trading is permited, no one, including persons or enttes who do not fall within the defniton of Related Persons, should trade in the Company’s securites if he or she possesses material non-public informaton.</w:t>
      </w:r>
    </w:p>
    <w:p>
      <w:pPr>
        <w:spacing w:after="0" w:line="231" w:lineRule="exact"/>
        <w:rPr>
          <w:sz w:val="20"/>
          <w:szCs w:val="20"/>
          <w:color w:val="auto"/>
        </w:rPr>
      </w:pPr>
    </w:p>
    <w:p>
      <w:pPr>
        <w:jc w:val="both"/>
        <w:ind w:left="200" w:right="219" w:firstLine="657"/>
        <w:spacing w:after="0" w:line="239" w:lineRule="auto"/>
        <w:tabs>
          <w:tab w:leader="none" w:pos="1496" w:val="left"/>
        </w:tabs>
        <w:numPr>
          <w:ilvl w:val="0"/>
          <w:numId w:val="98"/>
        </w:numPr>
        <w:rPr>
          <w:rFonts w:ascii="Calibri" w:cs="Calibri" w:eastAsia="Calibri" w:hAnsi="Calibri"/>
          <w:sz w:val="22"/>
          <w:szCs w:val="22"/>
          <w:color w:val="auto"/>
        </w:rPr>
      </w:pPr>
      <w:r>
        <w:rPr>
          <w:rFonts w:ascii="Calibri" w:cs="Calibri" w:eastAsia="Calibri" w:hAnsi="Calibri"/>
          <w:sz w:val="22"/>
          <w:szCs w:val="22"/>
          <w:u w:val="single" w:color="auto"/>
          <w:color w:val="auto"/>
        </w:rPr>
        <w:t>Additonal Black-Out Periods Applicable to the Board of Directors, Senior Management, Financial Team Members and Designated Employees</w:t>
      </w:r>
      <w:r>
        <w:rPr>
          <w:rFonts w:ascii="Calibri" w:cs="Calibri" w:eastAsia="Calibri" w:hAnsi="Calibri"/>
          <w:sz w:val="22"/>
          <w:szCs w:val="22"/>
          <w:color w:val="auto"/>
        </w:rPr>
        <w:t>. In additon to being subject to the trading procedures applicable to all Company personnel (above), members of the Company’s Board of Directors, Senior Management, Financial Team Members, Designated Employees (each as defned below) and Related Persons of such individuals, are also subject to additonal trading procedures and restrictons during the following periods:</w:t>
      </w:r>
    </w:p>
    <w:p>
      <w:pPr>
        <w:spacing w:after="0" w:line="231" w:lineRule="exact"/>
        <w:rPr>
          <w:sz w:val="20"/>
          <w:szCs w:val="20"/>
          <w:color w:val="auto"/>
        </w:rPr>
      </w:pPr>
    </w:p>
    <w:p>
      <w:pPr>
        <w:jc w:val="both"/>
        <w:ind w:left="1180" w:right="219" w:hanging="323"/>
        <w:spacing w:after="0" w:line="237" w:lineRule="auto"/>
        <w:tabs>
          <w:tab w:leader="none" w:pos="1180" w:val="left"/>
        </w:tabs>
        <w:numPr>
          <w:ilvl w:val="0"/>
          <w:numId w:val="99"/>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periods beginning the frst day of each fscal quarter untl the beginning of the second business day afer the release of the Company’s fnancial results for each quarter and, in the case of the fourth quarter, fnancial results for the year end; and</w:t>
      </w:r>
    </w:p>
    <w:p>
      <w:pPr>
        <w:spacing w:after="0" w:line="219"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99"/>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other periods as determined by the Company.</w:t>
      </w:r>
    </w:p>
    <w:p>
      <w:pPr>
        <w:spacing w:after="0" w:line="228"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color w:val="auto"/>
        </w:rPr>
        <w:t>The following members of management consttute the “</w:t>
      </w:r>
      <w:r>
        <w:rPr>
          <w:rFonts w:ascii="Calibri" w:cs="Calibri" w:eastAsia="Calibri" w:hAnsi="Calibri"/>
          <w:sz w:val="22"/>
          <w:szCs w:val="22"/>
          <w:u w:val="single" w:color="auto"/>
          <w:color w:val="auto"/>
        </w:rPr>
        <w:t>Senior Management</w:t>
      </w:r>
      <w:r>
        <w:rPr>
          <w:rFonts w:ascii="Calibri" w:cs="Calibri" w:eastAsia="Calibri" w:hAnsi="Calibri"/>
          <w:sz w:val="22"/>
          <w:szCs w:val="22"/>
          <w:color w:val="auto"/>
        </w:rPr>
        <w:t xml:space="preserve">” of the Company: all Executve (Secton 16) Ofcers, as listed on </w:t>
      </w:r>
      <w:r>
        <w:rPr>
          <w:rFonts w:ascii="Calibri" w:cs="Calibri" w:eastAsia="Calibri" w:hAnsi="Calibri"/>
          <w:sz w:val="22"/>
          <w:szCs w:val="22"/>
          <w:u w:val="single" w:color="auto"/>
          <w:color w:val="auto"/>
        </w:rPr>
        <w:t>Exhibit A</w:t>
      </w:r>
      <w:r>
        <w:rPr>
          <w:rFonts w:ascii="Calibri" w:cs="Calibri" w:eastAsia="Calibri" w:hAnsi="Calibri"/>
          <w:sz w:val="22"/>
          <w:szCs w:val="22"/>
          <w:color w:val="auto"/>
        </w:rPr>
        <w:t xml:space="preserve"> hereto, which list shall be amended from tme to tme to refect the then-current group of such individuals.</w:t>
      </w:r>
    </w:p>
    <w:p>
      <w:pPr>
        <w:spacing w:after="0" w:line="230"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color w:val="auto"/>
        </w:rPr>
        <w:t>The following individuals consttute the “</w:t>
      </w:r>
      <w:r>
        <w:rPr>
          <w:rFonts w:ascii="Calibri" w:cs="Calibri" w:eastAsia="Calibri" w:hAnsi="Calibri"/>
          <w:sz w:val="22"/>
          <w:szCs w:val="22"/>
          <w:u w:val="single" w:color="auto"/>
          <w:color w:val="auto"/>
        </w:rPr>
        <w:t>Financial Team Members</w:t>
      </w:r>
      <w:r>
        <w:rPr>
          <w:rFonts w:ascii="Calibri" w:cs="Calibri" w:eastAsia="Calibri" w:hAnsi="Calibri"/>
          <w:sz w:val="22"/>
          <w:szCs w:val="22"/>
          <w:color w:val="auto"/>
        </w:rPr>
        <w:t xml:space="preserve">” of the Company: all members of the Company’s fnancial team, as listed on </w:t>
      </w:r>
      <w:r>
        <w:rPr>
          <w:rFonts w:ascii="Calibri" w:cs="Calibri" w:eastAsia="Calibri" w:hAnsi="Calibri"/>
          <w:sz w:val="22"/>
          <w:szCs w:val="22"/>
          <w:u w:val="single" w:color="auto"/>
          <w:color w:val="auto"/>
        </w:rPr>
        <w:t>Exhibit B</w:t>
      </w:r>
      <w:r>
        <w:rPr>
          <w:rFonts w:ascii="Calibri" w:cs="Calibri" w:eastAsia="Calibri" w:hAnsi="Calibri"/>
          <w:sz w:val="22"/>
          <w:szCs w:val="22"/>
          <w:color w:val="auto"/>
        </w:rPr>
        <w:t xml:space="preserve"> hereto, which list shall be amended from tme to tme to refect the then-current group of such individuals.</w:t>
      </w:r>
    </w:p>
    <w:p>
      <w:pPr>
        <w:spacing w:after="0" w:line="230"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color w:val="auto"/>
        </w:rPr>
        <w:t>The following individuals consttute other “</w:t>
      </w:r>
      <w:r>
        <w:rPr>
          <w:rFonts w:ascii="Calibri" w:cs="Calibri" w:eastAsia="Calibri" w:hAnsi="Calibri"/>
          <w:sz w:val="22"/>
          <w:szCs w:val="22"/>
          <w:u w:val="single" w:color="auto"/>
          <w:color w:val="auto"/>
        </w:rPr>
        <w:t>Designated Employees</w:t>
      </w:r>
      <w:r>
        <w:rPr>
          <w:rFonts w:ascii="Calibri" w:cs="Calibri" w:eastAsia="Calibri" w:hAnsi="Calibri"/>
          <w:sz w:val="22"/>
          <w:szCs w:val="22"/>
          <w:color w:val="auto"/>
        </w:rPr>
        <w:t xml:space="preserve">” of the Company: additonal members of Company personnel, as listed on </w:t>
      </w:r>
      <w:r>
        <w:rPr>
          <w:rFonts w:ascii="Calibri" w:cs="Calibri" w:eastAsia="Calibri" w:hAnsi="Calibri"/>
          <w:sz w:val="22"/>
          <w:szCs w:val="22"/>
          <w:u w:val="single" w:color="auto"/>
          <w:color w:val="auto"/>
        </w:rPr>
        <w:t>Exhibit C</w:t>
      </w:r>
      <w:r>
        <w:rPr>
          <w:rFonts w:ascii="Calibri" w:cs="Calibri" w:eastAsia="Calibri" w:hAnsi="Calibri"/>
          <w:sz w:val="22"/>
          <w:szCs w:val="22"/>
          <w:color w:val="auto"/>
        </w:rPr>
        <w:t xml:space="preserve"> hereto, which list shall be amended from tme to tme to refect the then-current group of such individuals.</w:t>
      </w:r>
    </w:p>
    <w:p>
      <w:pPr>
        <w:spacing w:after="0" w:line="230"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color w:val="auto"/>
        </w:rPr>
        <w:t>The Policy Administrator may, from tme to tme, amend the list of and/or designate other employees as Senior Management, Financial Team Members or Designated Employees, in which case the Policy Administrator shall notfy the afected individuals.</w:t>
      </w:r>
    </w:p>
    <w:p>
      <w:pPr>
        <w:spacing w:after="0" w:line="218" w:lineRule="exact"/>
        <w:rPr>
          <w:sz w:val="20"/>
          <w:szCs w:val="20"/>
          <w:color w:val="auto"/>
        </w:rPr>
      </w:pPr>
    </w:p>
    <w:p>
      <w:pPr>
        <w:ind w:left="860"/>
        <w:spacing w:after="0"/>
        <w:rPr>
          <w:sz w:val="20"/>
          <w:szCs w:val="20"/>
          <w:color w:val="auto"/>
        </w:rPr>
      </w:pPr>
      <w:r>
        <w:rPr>
          <w:rFonts w:ascii="Calibri" w:cs="Calibri" w:eastAsia="Calibri" w:hAnsi="Calibri"/>
          <w:sz w:val="22"/>
          <w:szCs w:val="22"/>
          <w:u w:val="single" w:color="auto"/>
          <w:color w:val="auto"/>
        </w:rPr>
        <w:t>Exceptons for Certain Transactons</w:t>
      </w:r>
      <w:r>
        <w:rPr>
          <w:rFonts w:ascii="Calibri" w:cs="Calibri" w:eastAsia="Calibri" w:hAnsi="Calibri"/>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2" w:name="page183"/>
    <w:bookmarkEnd w:id="182"/>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6" w:lineRule="exact"/>
        <w:rPr>
          <w:sz w:val="20"/>
          <w:szCs w:val="20"/>
          <w:color w:val="auto"/>
        </w:rPr>
      </w:pPr>
    </w:p>
    <w:p>
      <w:pPr>
        <w:jc w:val="both"/>
        <w:ind w:left="200" w:right="239" w:firstLine="657"/>
        <w:spacing w:after="0" w:line="237" w:lineRule="auto"/>
        <w:tabs>
          <w:tab w:leader="none" w:pos="1496" w:val="left"/>
        </w:tabs>
        <w:numPr>
          <w:ilvl w:val="0"/>
          <w:numId w:val="100"/>
        </w:numPr>
        <w:rPr>
          <w:rFonts w:ascii="Calibri" w:cs="Calibri" w:eastAsia="Calibri" w:hAnsi="Calibri"/>
          <w:sz w:val="22"/>
          <w:szCs w:val="22"/>
          <w:color w:val="auto"/>
        </w:rPr>
      </w:pPr>
      <w:r>
        <w:rPr>
          <w:rFonts w:ascii="Calibri" w:cs="Calibri" w:eastAsia="Calibri" w:hAnsi="Calibri"/>
          <w:sz w:val="22"/>
          <w:szCs w:val="22"/>
          <w:u w:val="single" w:color="auto"/>
          <w:color w:val="auto"/>
        </w:rPr>
        <w:t>Gifs</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Bona fde</w:t>
      </w:r>
      <w:r>
        <w:rPr>
          <w:rFonts w:ascii="Calibri" w:cs="Calibri" w:eastAsia="Calibri" w:hAnsi="Calibri"/>
          <w:sz w:val="22"/>
          <w:szCs w:val="22"/>
          <w:color w:val="auto"/>
        </w:rPr>
        <w:t xml:space="preserve"> gifs are not transactons that are subject to this Policy, unless the person making the gif (the donor) has reason to believe that the recipient of the gif intends to sell the Company’s securites while the donor is in possession of material non-public informaton.</w:t>
      </w:r>
    </w:p>
    <w:p>
      <w:pPr>
        <w:spacing w:after="0" w:line="230" w:lineRule="exact"/>
        <w:rPr>
          <w:rFonts w:ascii="Calibri" w:cs="Calibri" w:eastAsia="Calibri" w:hAnsi="Calibri"/>
          <w:sz w:val="22"/>
          <w:szCs w:val="22"/>
          <w:color w:val="auto"/>
        </w:rPr>
      </w:pPr>
    </w:p>
    <w:p>
      <w:pPr>
        <w:jc w:val="both"/>
        <w:ind w:left="200" w:right="219" w:firstLine="657"/>
        <w:spacing w:after="0" w:line="237" w:lineRule="auto"/>
        <w:tabs>
          <w:tab w:leader="none" w:pos="1496" w:val="left"/>
        </w:tabs>
        <w:numPr>
          <w:ilvl w:val="0"/>
          <w:numId w:val="100"/>
        </w:numPr>
        <w:rPr>
          <w:rFonts w:ascii="Calibri" w:cs="Calibri" w:eastAsia="Calibri" w:hAnsi="Calibri"/>
          <w:sz w:val="22"/>
          <w:szCs w:val="22"/>
          <w:color w:val="auto"/>
        </w:rPr>
      </w:pPr>
      <w:r>
        <w:rPr>
          <w:rFonts w:ascii="Calibri" w:cs="Calibri" w:eastAsia="Calibri" w:hAnsi="Calibri"/>
          <w:sz w:val="22"/>
          <w:szCs w:val="22"/>
          <w:u w:val="single" w:color="auto"/>
          <w:color w:val="auto"/>
        </w:rPr>
        <w:t>Mutual Funds and Exchange Traded Funds</w:t>
      </w:r>
      <w:r>
        <w:rPr>
          <w:rFonts w:ascii="Calibri" w:cs="Calibri" w:eastAsia="Calibri" w:hAnsi="Calibri"/>
          <w:sz w:val="22"/>
          <w:szCs w:val="22"/>
          <w:color w:val="auto"/>
        </w:rPr>
        <w:t>. Transactons in mutual funds and exchange traded funds that are invested in the Company’s securites are not transactons subject to this Policy.</w:t>
      </w:r>
    </w:p>
    <w:p>
      <w:pPr>
        <w:spacing w:after="0" w:line="230" w:lineRule="exact"/>
        <w:rPr>
          <w:rFonts w:ascii="Calibri" w:cs="Calibri" w:eastAsia="Calibri" w:hAnsi="Calibri"/>
          <w:sz w:val="22"/>
          <w:szCs w:val="22"/>
          <w:color w:val="auto"/>
        </w:rPr>
      </w:pPr>
    </w:p>
    <w:p>
      <w:pPr>
        <w:ind w:left="200" w:right="239" w:firstLine="657"/>
        <w:spacing w:after="0" w:line="235" w:lineRule="auto"/>
        <w:tabs>
          <w:tab w:leader="none" w:pos="1496" w:val="left"/>
        </w:tabs>
        <w:numPr>
          <w:ilvl w:val="0"/>
          <w:numId w:val="100"/>
        </w:numPr>
        <w:rPr>
          <w:rFonts w:ascii="Calibri" w:cs="Calibri" w:eastAsia="Calibri" w:hAnsi="Calibri"/>
          <w:sz w:val="22"/>
          <w:szCs w:val="22"/>
          <w:color w:val="auto"/>
        </w:rPr>
      </w:pPr>
      <w:r>
        <w:rPr>
          <w:rFonts w:ascii="Calibri" w:cs="Calibri" w:eastAsia="Calibri" w:hAnsi="Calibri"/>
          <w:sz w:val="22"/>
          <w:szCs w:val="22"/>
          <w:u w:val="single" w:color="auto"/>
          <w:color w:val="auto"/>
        </w:rPr>
        <w:t>Transactons Involving Company Equity Plans</w:t>
      </w:r>
      <w:r>
        <w:rPr>
          <w:rFonts w:ascii="Calibri" w:cs="Calibri" w:eastAsia="Calibri" w:hAnsi="Calibri"/>
          <w:sz w:val="22"/>
          <w:szCs w:val="22"/>
          <w:color w:val="auto"/>
        </w:rPr>
        <w:t>. Except as otherwise noted below, this Policy does not apply to the following transactons:</w:t>
      </w:r>
    </w:p>
    <w:p>
      <w:pPr>
        <w:spacing w:after="0" w:line="230" w:lineRule="exact"/>
        <w:rPr>
          <w:sz w:val="20"/>
          <w:szCs w:val="20"/>
          <w:color w:val="auto"/>
        </w:rPr>
      </w:pPr>
    </w:p>
    <w:p>
      <w:pPr>
        <w:jc w:val="both"/>
        <w:ind w:left="1180" w:right="219" w:hanging="323"/>
        <w:spacing w:after="0" w:line="253" w:lineRule="auto"/>
        <w:tabs>
          <w:tab w:leader="none" w:pos="1180" w:val="left"/>
        </w:tabs>
        <w:numPr>
          <w:ilvl w:val="0"/>
          <w:numId w:val="101"/>
        </w:numPr>
        <w:rPr>
          <w:rFonts w:ascii="Times New Roman" w:cs="Times New Roman" w:eastAsia="Times New Roman" w:hAnsi="Times New Roman"/>
          <w:sz w:val="21"/>
          <w:szCs w:val="21"/>
          <w:color w:val="auto"/>
        </w:rPr>
      </w:pPr>
      <w:r>
        <w:rPr>
          <w:rFonts w:ascii="Calibri" w:cs="Calibri" w:eastAsia="Calibri" w:hAnsi="Calibri"/>
          <w:sz w:val="21"/>
          <w:szCs w:val="21"/>
          <w:u w:val="single" w:color="auto"/>
          <w:color w:val="auto"/>
        </w:rPr>
        <w:t>Stock Opton Exercises</w:t>
      </w:r>
      <w:r>
        <w:rPr>
          <w:rFonts w:ascii="Calibri" w:cs="Calibri" w:eastAsia="Calibri" w:hAnsi="Calibri"/>
          <w:sz w:val="21"/>
          <w:szCs w:val="21"/>
          <w:i w:val="1"/>
          <w:iCs w:val="1"/>
          <w:color w:val="auto"/>
        </w:rPr>
        <w:t>.</w:t>
      </w:r>
      <w:r>
        <w:rPr>
          <w:rFonts w:ascii="Calibri" w:cs="Calibri" w:eastAsia="Calibri" w:hAnsi="Calibri"/>
          <w:sz w:val="21"/>
          <w:szCs w:val="21"/>
          <w:color w:val="auto"/>
        </w:rPr>
        <w:t xml:space="preserve"> This Policy does not apply to the exercise of an employee stock opton acquired pursuant to the Company’s equity plans, or to the exercise of a tax withholding right pursuant to which a person has elected to have the Company withhold shares subject to an opton to satsfy tax withholding requirements. This Policy does apply, however, to any sale of stock as part of a broker-assisted cashless exercise of an opton, or any other market sale of stock for the purpose of generatng the cash needed to pay the exercise price and or taxes upon the exercise of an opton.</w:t>
      </w:r>
    </w:p>
    <w:p>
      <w:pPr>
        <w:spacing w:after="0" w:line="214" w:lineRule="exact"/>
        <w:rPr>
          <w:rFonts w:ascii="Times New Roman" w:cs="Times New Roman" w:eastAsia="Times New Roman" w:hAnsi="Times New Roman"/>
          <w:sz w:val="21"/>
          <w:szCs w:val="21"/>
          <w:color w:val="auto"/>
        </w:rPr>
      </w:pPr>
    </w:p>
    <w:p>
      <w:pPr>
        <w:jc w:val="both"/>
        <w:ind w:left="1180" w:right="219" w:hanging="323"/>
        <w:spacing w:after="0" w:line="253" w:lineRule="auto"/>
        <w:tabs>
          <w:tab w:leader="none" w:pos="1180" w:val="left"/>
        </w:tabs>
        <w:numPr>
          <w:ilvl w:val="0"/>
          <w:numId w:val="101"/>
        </w:numPr>
        <w:rPr>
          <w:rFonts w:ascii="Times New Roman" w:cs="Times New Roman" w:eastAsia="Times New Roman" w:hAnsi="Times New Roman"/>
          <w:sz w:val="21"/>
          <w:szCs w:val="21"/>
          <w:color w:val="auto"/>
        </w:rPr>
      </w:pPr>
      <w:r>
        <w:rPr>
          <w:rFonts w:ascii="Calibri" w:cs="Calibri" w:eastAsia="Calibri" w:hAnsi="Calibri"/>
          <w:sz w:val="21"/>
          <w:szCs w:val="21"/>
          <w:u w:val="single" w:color="auto"/>
          <w:color w:val="auto"/>
        </w:rPr>
        <w:t>Restricted Stock Awards and Restricted Stock Unit Awards</w:t>
      </w:r>
      <w:r>
        <w:rPr>
          <w:rFonts w:ascii="Calibri" w:cs="Calibri" w:eastAsia="Calibri" w:hAnsi="Calibri"/>
          <w:sz w:val="21"/>
          <w:szCs w:val="21"/>
          <w:i w:val="1"/>
          <w:iCs w:val="1"/>
          <w:color w:val="auto"/>
        </w:rPr>
        <w:t>.</w:t>
      </w:r>
      <w:r>
        <w:rPr>
          <w:rFonts w:ascii="Calibri" w:cs="Calibri" w:eastAsia="Calibri" w:hAnsi="Calibri"/>
          <w:sz w:val="21"/>
          <w:szCs w:val="21"/>
          <w:color w:val="auto"/>
        </w:rPr>
        <w:t xml:space="preserve"> This Policy does not apply to the vestng of restricted stock or restricted stock units, or the exercise of a tax withholding right pursuant to which a person elects to have the Company withhold shares of stock to satsfy tax withholding requirements upon the vestng of any restricted stock or restricted stock unit. This Policy does apply, however, to any market sale of restricted stock or shares received upon vestng of restricted stock units.</w:t>
      </w:r>
    </w:p>
    <w:p>
      <w:pPr>
        <w:spacing w:after="0" w:line="214" w:lineRule="exact"/>
        <w:rPr>
          <w:rFonts w:ascii="Times New Roman" w:cs="Times New Roman" w:eastAsia="Times New Roman" w:hAnsi="Times New Roman"/>
          <w:sz w:val="21"/>
          <w:szCs w:val="21"/>
          <w:color w:val="auto"/>
        </w:rPr>
      </w:pPr>
    </w:p>
    <w:p>
      <w:pPr>
        <w:jc w:val="both"/>
        <w:ind w:left="1180" w:right="219" w:hanging="323"/>
        <w:spacing w:after="0" w:line="237" w:lineRule="auto"/>
        <w:tabs>
          <w:tab w:leader="none" w:pos="1180" w:val="left"/>
        </w:tabs>
        <w:numPr>
          <w:ilvl w:val="0"/>
          <w:numId w:val="101"/>
        </w:numPr>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Employee Stock Purchase Plan</w:t>
      </w:r>
      <w:r>
        <w:rPr>
          <w:rFonts w:ascii="Calibri" w:cs="Calibri" w:eastAsia="Calibri" w:hAnsi="Calibri"/>
          <w:sz w:val="22"/>
          <w:szCs w:val="22"/>
          <w:i w:val="1"/>
          <w:iCs w:val="1"/>
          <w:color w:val="auto"/>
        </w:rPr>
        <w:t>.</w:t>
      </w:r>
      <w:r>
        <w:rPr>
          <w:rFonts w:ascii="Calibri" w:cs="Calibri" w:eastAsia="Calibri" w:hAnsi="Calibri"/>
          <w:sz w:val="22"/>
          <w:szCs w:val="22"/>
          <w:color w:val="auto"/>
        </w:rPr>
        <w:t xml:space="preserve"> This Policy will not apply to purchases of the Company’s securites under any employee stock purchase plan. This Policy does apply, however, to subsequent sales or other transfers of such securites.</w:t>
      </w:r>
    </w:p>
    <w:p>
      <w:pPr>
        <w:spacing w:after="0" w:line="230" w:lineRule="exact"/>
        <w:rPr>
          <w:rFonts w:ascii="Times New Roman" w:cs="Times New Roman" w:eastAsia="Times New Roman" w:hAnsi="Times New Roman"/>
          <w:sz w:val="22"/>
          <w:szCs w:val="22"/>
          <w:color w:val="auto"/>
        </w:rPr>
      </w:pPr>
    </w:p>
    <w:p>
      <w:pPr>
        <w:jc w:val="both"/>
        <w:ind w:left="1180" w:right="239" w:hanging="323"/>
        <w:spacing w:after="0" w:line="237" w:lineRule="auto"/>
        <w:tabs>
          <w:tab w:leader="none" w:pos="1180" w:val="left"/>
        </w:tabs>
        <w:numPr>
          <w:ilvl w:val="0"/>
          <w:numId w:val="101"/>
        </w:numPr>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Other Transactons with the Company</w:t>
      </w:r>
      <w:r>
        <w:rPr>
          <w:rFonts w:ascii="Calibri" w:cs="Calibri" w:eastAsia="Calibri" w:hAnsi="Calibri"/>
          <w:sz w:val="22"/>
          <w:szCs w:val="22"/>
          <w:i w:val="1"/>
          <w:iCs w:val="1"/>
          <w:color w:val="auto"/>
        </w:rPr>
        <w:t>.</w:t>
      </w:r>
      <w:r>
        <w:rPr>
          <w:rFonts w:ascii="Calibri" w:cs="Calibri" w:eastAsia="Calibri" w:hAnsi="Calibri"/>
          <w:sz w:val="22"/>
          <w:szCs w:val="22"/>
          <w:color w:val="auto"/>
        </w:rPr>
        <w:t xml:space="preserve"> Any other purchase of the Company’s securites from the Company or sales of the Company’s securites to the Company are not subject to this Policy.</w:t>
      </w:r>
    </w:p>
    <w:p>
      <w:pPr>
        <w:spacing w:after="0" w:line="230" w:lineRule="exact"/>
        <w:rPr>
          <w:sz w:val="20"/>
          <w:szCs w:val="20"/>
          <w:color w:val="auto"/>
        </w:rPr>
      </w:pPr>
    </w:p>
    <w:p>
      <w:pPr>
        <w:jc w:val="both"/>
        <w:ind w:left="200" w:right="219" w:firstLine="657"/>
        <w:spacing w:after="0" w:line="252" w:lineRule="auto"/>
        <w:tabs>
          <w:tab w:leader="none" w:pos="1496" w:val="left"/>
        </w:tabs>
        <w:numPr>
          <w:ilvl w:val="0"/>
          <w:numId w:val="102"/>
        </w:numPr>
        <w:rPr>
          <w:rFonts w:ascii="Calibri" w:cs="Calibri" w:eastAsia="Calibri" w:hAnsi="Calibri"/>
          <w:sz w:val="21"/>
          <w:szCs w:val="21"/>
          <w:color w:val="auto"/>
        </w:rPr>
      </w:pPr>
      <w:r>
        <w:rPr>
          <w:rFonts w:ascii="Calibri" w:cs="Calibri" w:eastAsia="Calibri" w:hAnsi="Calibri"/>
          <w:sz w:val="21"/>
          <w:szCs w:val="21"/>
          <w:u w:val="single" w:color="auto"/>
          <w:color w:val="auto"/>
        </w:rPr>
        <w:t>Rule 10b5-1 Trading Plans</w:t>
      </w:r>
      <w:r>
        <w:rPr>
          <w:rFonts w:ascii="Calibri" w:cs="Calibri" w:eastAsia="Calibri" w:hAnsi="Calibri"/>
          <w:sz w:val="21"/>
          <w:szCs w:val="21"/>
          <w:color w:val="auto"/>
        </w:rPr>
        <w:t>. Notwithstanding the restrictons and prohibitons on trading in the Company’s securites set forth in this Policy, persons subject to this Policy are permited to efect transactons in the Company’s securites pursuant to approved trading plans established under Rule 10b5-1 of the Securites Exchange Act of 1934, as amended (“</w:t>
      </w:r>
      <w:r>
        <w:rPr>
          <w:rFonts w:ascii="Calibri" w:cs="Calibri" w:eastAsia="Calibri" w:hAnsi="Calibri"/>
          <w:sz w:val="21"/>
          <w:szCs w:val="21"/>
          <w:u w:val="single" w:color="auto"/>
          <w:color w:val="auto"/>
        </w:rPr>
        <w:t>Trading</w:t>
      </w:r>
      <w:r>
        <w:rPr>
          <w:rFonts w:ascii="Calibri" w:cs="Calibri" w:eastAsia="Calibri" w:hAnsi="Calibri"/>
          <w:sz w:val="21"/>
          <w:szCs w:val="21"/>
          <w:color w:val="auto"/>
        </w:rPr>
        <w:t xml:space="preserve"> </w:t>
      </w:r>
      <w:r>
        <w:rPr>
          <w:rFonts w:ascii="Calibri" w:cs="Calibri" w:eastAsia="Calibri" w:hAnsi="Calibri"/>
          <w:sz w:val="21"/>
          <w:szCs w:val="21"/>
          <w:u w:val="single" w:color="auto"/>
          <w:color w:val="auto"/>
        </w:rPr>
        <w:t>Plans</w:t>
      </w:r>
      <w:r>
        <w:rPr>
          <w:rFonts w:ascii="Calibri" w:cs="Calibri" w:eastAsia="Calibri" w:hAnsi="Calibri"/>
          <w:sz w:val="21"/>
          <w:szCs w:val="21"/>
          <w:color w:val="auto"/>
        </w:rPr>
        <w:t>”), which may include transactons during the prohibited periods discussed above. In order to comply with this policy, the Company must pre-approve any such 10b5-1 Plan prior to its efectveness in accordance with the Company’s Rule 10b5-1 Trading Plan Policy atached hereto as Appendix A. Any modifcaton of a Trading Plan is the equivalent of entering into a new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3" w:name="page184"/>
    <w:bookmarkEnd w:id="183"/>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6" w:lineRule="exact"/>
        <w:rPr>
          <w:sz w:val="20"/>
          <w:szCs w:val="20"/>
          <w:color w:val="auto"/>
        </w:rPr>
      </w:pPr>
    </w:p>
    <w:p>
      <w:pPr>
        <w:jc w:val="both"/>
        <w:ind w:left="200" w:right="219"/>
        <w:spacing w:after="0" w:line="235" w:lineRule="auto"/>
        <w:rPr>
          <w:sz w:val="20"/>
          <w:szCs w:val="20"/>
          <w:color w:val="auto"/>
        </w:rPr>
      </w:pPr>
      <w:r>
        <w:rPr>
          <w:rFonts w:ascii="Calibri" w:cs="Calibri" w:eastAsia="Calibri" w:hAnsi="Calibri"/>
          <w:sz w:val="22"/>
          <w:szCs w:val="22"/>
          <w:color w:val="auto"/>
        </w:rPr>
        <w:t>Plan and cancelling the old Trading Plan for the purposes of this Policy. Company personnel seeking to establish, modify or cancel a Trading Plan should contact the Policy Administrator.</w:t>
      </w:r>
    </w:p>
    <w:p>
      <w:pPr>
        <w:spacing w:after="0" w:line="230"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u w:val="single" w:color="auto"/>
          <w:color w:val="auto"/>
        </w:rPr>
        <w:t>Pre-Clearance of All Acquisitons, Sales and Other Transfers by Certain Company Personnel</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In order to ensure compliance with this Policy and with any Secton 16 reportng requirements, all transactons in the Company’s securites (including acquisitons, sales, gifs and other transfers, whether or not for value), including the executon of Trading Plans (as defned below), by members of the Company’s Board of Directors, Senior Management, Financial Team Members, Designated Employees and Related Persons, must be pre-cleared by the Policy Administrator. If you are a member of one of the groups listed above and you contemplate a transacton in the Company’s securites, you must contact the Policy Administrator or other designated individual prior to executng the transacton. The Policy Administrator will use his or her reasonable best eforts to provide approval or disapproval within two business days. You must wait untl receiving pre-clearance to execute the transacton. Neither the Company nor the Policy Administrator shall be liable for any delays that may occur due to the pre-clearance process. If the transacton is pre-cleared by the Policy Administrator, it must be executed by the end of the second business day afer receipt of pre-clearance. Notwithstanding receipt of pre-clearance of a transacton, if you become aware of material non-public informaton about the Company afer receiving the pre-clearance but prior to the executon of the transacton, you may not execute the transacton. The responsibility for determining whether you are in possession of material non-public informaton rests with you, as discussed below in </w:t>
      </w:r>
      <w:r>
        <w:rPr>
          <w:rFonts w:ascii="Calibri" w:cs="Calibri" w:eastAsia="Calibri" w:hAnsi="Calibri"/>
          <w:sz w:val="22"/>
          <w:szCs w:val="22"/>
          <w:u w:val="single" w:color="auto"/>
          <w:color w:val="auto"/>
        </w:rPr>
        <w:t>Secton V</w:t>
      </w:r>
      <w:r>
        <w:rPr>
          <w:rFonts w:ascii="Calibri" w:cs="Calibri" w:eastAsia="Calibri" w:hAnsi="Calibri"/>
          <w:sz w:val="22"/>
          <w:szCs w:val="22"/>
          <w:color w:val="auto"/>
        </w:rPr>
        <w:t>. If you are a Secton 16 reportng person, promptly following executon of the transacton, but in no event later than the end of the frst business day afer the executon of the transacton, you must notfy the Policy Administrator and provide details regarding the transacton sufcient to complete the required Secton 16 fling.</w:t>
      </w:r>
    </w:p>
    <w:p>
      <w:pPr>
        <w:spacing w:after="0" w:line="248" w:lineRule="exact"/>
        <w:rPr>
          <w:sz w:val="20"/>
          <w:szCs w:val="20"/>
          <w:color w:val="auto"/>
        </w:rPr>
      </w:pPr>
    </w:p>
    <w:p>
      <w:pPr>
        <w:jc w:val="both"/>
        <w:ind w:left="200" w:right="219" w:firstLine="648"/>
        <w:spacing w:after="0" w:line="238" w:lineRule="auto"/>
        <w:rPr>
          <w:sz w:val="20"/>
          <w:szCs w:val="20"/>
          <w:color w:val="auto"/>
        </w:rPr>
      </w:pPr>
      <w:r>
        <w:rPr>
          <w:rFonts w:ascii="Calibri" w:cs="Calibri" w:eastAsia="Calibri" w:hAnsi="Calibri"/>
          <w:sz w:val="22"/>
          <w:szCs w:val="22"/>
          <w:color w:val="auto"/>
        </w:rPr>
        <w:t>Employees of the Company who are not Directors, members of Senior Management, Financial Team Members or Designated Employees may, but are not required to, pre-clear transactons in the Company’s securites in the same manner as set forth above. Such employees are not required to notfy the Policy Administrator following executon of the transacton.</w:t>
      </w:r>
    </w:p>
    <w:p>
      <w:pPr>
        <w:spacing w:after="0" w:line="231" w:lineRule="exact"/>
        <w:rPr>
          <w:sz w:val="20"/>
          <w:szCs w:val="20"/>
          <w:color w:val="auto"/>
        </w:rPr>
      </w:pPr>
    </w:p>
    <w:p>
      <w:pPr>
        <w:jc w:val="both"/>
        <w:ind w:left="200" w:right="219" w:firstLine="648"/>
        <w:spacing w:after="0" w:line="237" w:lineRule="auto"/>
        <w:rPr>
          <w:sz w:val="20"/>
          <w:szCs w:val="20"/>
          <w:color w:val="auto"/>
        </w:rPr>
      </w:pPr>
      <w:r>
        <w:rPr>
          <w:rFonts w:ascii="Calibri" w:cs="Calibri" w:eastAsia="Calibri" w:hAnsi="Calibri"/>
          <w:sz w:val="22"/>
          <w:szCs w:val="22"/>
          <w:b w:val="1"/>
          <w:bCs w:val="1"/>
          <w:color w:val="auto"/>
        </w:rPr>
        <w:t>Please note that pre-clearance does not provide Company personnel with immunity from investgaton or suit, for which it is the responsibility of the individual to comply with the federal securites regulatons.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4" w:name="page185"/>
    <w:bookmarkEnd w:id="184"/>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14" w:lineRule="exact"/>
        <w:rPr>
          <w:sz w:val="20"/>
          <w:szCs w:val="20"/>
          <w:color w:val="auto"/>
        </w:rPr>
      </w:pPr>
    </w:p>
    <w:p>
      <w:pPr>
        <w:ind w:left="860" w:hanging="651"/>
        <w:spacing w:after="0"/>
        <w:tabs>
          <w:tab w:leader="none" w:pos="860"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u w:val="single" w:color="auto"/>
          <w:color w:val="auto"/>
        </w:rPr>
        <w:t>Individual Responsibility</w:t>
      </w:r>
    </w:p>
    <w:p>
      <w:pPr>
        <w:spacing w:after="0" w:line="228"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color w:val="auto"/>
        </w:rPr>
        <w:t xml:space="preserve">Persons subject to this Policy have ethical and legal obligatons to maintain the confdentality of informaton about the Company and to not engage in transactons in the Company’s securites while in possession of material non-public informaton. Each individual is responsible for making sure that he or she complies with this Policy, and that any Related Person, whose transactons are subject to this Policy, also comply with this Policy. In all cases, the responsibility for determining whether an individual is in possession of material non-public informaton rests with that individual, and any acton on the part of the Company, the Policy Administrator or any other employee or director pursuant to this Policy (or otherwise) does not in any way consttute legal advice or insulate an individual from liability under applicable securites laws. You may be subject to legal penaltes and disciplinary acton by law enforcement ofcials and/or the Company for any conduct prohibited by this Policy or applicable securites laws, as described in </w:t>
      </w:r>
      <w:r>
        <w:rPr>
          <w:rFonts w:ascii="Calibri" w:cs="Calibri" w:eastAsia="Calibri" w:hAnsi="Calibri"/>
          <w:sz w:val="22"/>
          <w:szCs w:val="22"/>
          <w:u w:val="single" w:color="auto"/>
          <w:color w:val="auto"/>
        </w:rPr>
        <w:t>Secton III</w:t>
      </w:r>
      <w:r>
        <w:rPr>
          <w:rFonts w:ascii="Calibri" w:cs="Calibri" w:eastAsia="Calibri" w:hAnsi="Calibri"/>
          <w:sz w:val="22"/>
          <w:szCs w:val="22"/>
          <w:color w:val="auto"/>
        </w:rPr>
        <w:t xml:space="preserve"> above.</w:t>
      </w:r>
    </w:p>
    <w:p>
      <w:pPr>
        <w:spacing w:after="0" w:line="233"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u w:val="single" w:color="auto"/>
          <w:color w:val="auto"/>
        </w:rPr>
        <w:t>Tipping Informaton to Others</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Company personnel must not disclose non-public informaton about the Company to others outside the Company who do not have an obligaton to maintain the confdentality of such informaton. If the outsider trades on such informaton, penaltes for insider trading may apply in these situatons whether or not you derive any monetary beneft from the other person’s trading actvites. Material non-public informaton is ofen inadvertently disclosed or overheard in casual, social conversatons. Please take care to avoid such disclosures.</w:t>
      </w:r>
    </w:p>
    <w:p>
      <w:pPr>
        <w:spacing w:after="0" w:line="234"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u w:val="single" w:color="auto"/>
          <w:color w:val="auto"/>
        </w:rPr>
        <w:t>Preventon of Insider Trading by Others</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If you become aware of a potental insider trading violaton, you must immediately advise our Policy Administrator and/or report the mater using the Company’s anonymous whistleblower reportng procedures. You should also take steps, where appropriate, to prevent persons under your supervision and/or control from using material non-public informaton for trading purposes. Moreover, Company-imposed sanctons, including terminaton for cause, could result if an employee fails to comply with this Policy.</w:t>
      </w:r>
    </w:p>
    <w:p>
      <w:pPr>
        <w:spacing w:after="0" w:line="231"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u w:val="single" w:color="auto"/>
          <w:color w:val="auto"/>
        </w:rPr>
        <w:t>Confdentality</w:t>
      </w:r>
      <w:r>
        <w:rPr>
          <w:rFonts w:ascii="Calibri" w:cs="Calibri" w:eastAsia="Calibri" w:hAnsi="Calibri"/>
          <w:sz w:val="22"/>
          <w:szCs w:val="22"/>
          <w:b w:val="1"/>
          <w:bCs w:val="1"/>
          <w:i w:val="1"/>
          <w:iCs w:val="1"/>
          <w:color w:val="auto"/>
        </w:rPr>
        <w:t>.</w:t>
      </w:r>
      <w:r>
        <w:rPr>
          <w:rFonts w:ascii="Calibri" w:cs="Calibri" w:eastAsia="Calibri" w:hAnsi="Calibri"/>
          <w:sz w:val="22"/>
          <w:szCs w:val="22"/>
          <w:color w:val="auto"/>
        </w:rPr>
        <w:t xml:space="preserve"> Serious problems could be caused for the Company by the unauthorized disclosure of internal informaton about the Company, whether or not for the purpose of facilitatng improper trading in the Company’s securites. Company personnel should not discuss internal Company maters or developments (whether or not you think such informaton is material) with anyone outside of the Company (including, but not limited to, family, friends, business associates, investors and expert consultng frms), except as required in the performance of regular corporate dutes. This prohibiton applies specifcally (but not exclusively) to inquiries about the Company that may be made by the fnancial press, investment analysts or others in the fnancial community and also includes postng material non-public informaton on any social media outlets such as Facebook, Twiter, etc. It is important that all such communicatons on behalf of the Company be made only through an authorized ofcer under carefully controlled circumstances. Unless you are expressly authorized to the contrary, if you receive any inquiries of this nature, you should decline comment and refer the inquirer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364490</wp:posOffset>
            </wp:positionV>
            <wp:extent cx="545211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5" w:name="page186"/>
    <w:bookmarkEnd w:id="185"/>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24" w:lineRule="exact"/>
        <w:rPr>
          <w:sz w:val="20"/>
          <w:szCs w:val="20"/>
          <w:color w:val="auto"/>
        </w:rPr>
      </w:pPr>
    </w:p>
    <w:p>
      <w:pPr>
        <w:jc w:val="both"/>
        <w:ind w:left="200" w:right="219"/>
        <w:spacing w:after="0" w:line="235" w:lineRule="auto"/>
        <w:rPr>
          <w:sz w:val="20"/>
          <w:szCs w:val="20"/>
          <w:color w:val="auto"/>
        </w:rPr>
      </w:pPr>
      <w:r>
        <w:rPr>
          <w:rFonts w:ascii="Calibri" w:cs="Calibri" w:eastAsia="Calibri" w:hAnsi="Calibri"/>
          <w:sz w:val="22"/>
          <w:szCs w:val="22"/>
          <w:color w:val="auto"/>
        </w:rPr>
        <w:t>General Counsel. Please review the Company’s separate Regulaton FD Policy, which governs all public communicatons with people outside the Company.</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color w:val="auto"/>
        </w:rPr>
        <w:t>VI.</w:t>
      </w:r>
      <w:r>
        <w:rPr>
          <w:sz w:val="20"/>
          <w:szCs w:val="20"/>
          <w:color w:val="auto"/>
        </w:rPr>
        <w:tab/>
      </w:r>
      <w:r>
        <w:rPr>
          <w:rFonts w:ascii="Calibri" w:cs="Calibri" w:eastAsia="Calibri" w:hAnsi="Calibri"/>
          <w:sz w:val="22"/>
          <w:szCs w:val="22"/>
          <w:b w:val="1"/>
          <w:bCs w:val="1"/>
          <w:u w:val="single" w:color="auto"/>
          <w:color w:val="auto"/>
        </w:rPr>
        <w:t>Additonal Prohibited Transactons</w:t>
      </w:r>
    </w:p>
    <w:p>
      <w:pPr>
        <w:spacing w:after="0" w:line="215" w:lineRule="exact"/>
        <w:rPr>
          <w:sz w:val="20"/>
          <w:szCs w:val="20"/>
          <w:color w:val="auto"/>
        </w:rPr>
      </w:pPr>
    </w:p>
    <w:p>
      <w:pPr>
        <w:jc w:val="both"/>
        <w:ind w:left="200" w:right="219" w:firstLine="648"/>
        <w:spacing w:after="0" w:line="229" w:lineRule="auto"/>
        <w:rPr>
          <w:sz w:val="20"/>
          <w:szCs w:val="20"/>
          <w:color w:val="auto"/>
        </w:rPr>
      </w:pPr>
      <w:r>
        <w:rPr>
          <w:rFonts w:ascii="Calibri" w:cs="Calibri" w:eastAsia="Calibri" w:hAnsi="Calibri"/>
          <w:sz w:val="22"/>
          <w:szCs w:val="22"/>
          <w:color w:val="auto"/>
        </w:rPr>
        <w:t>Because we believe it is generally improper and inappropriate for Company personnel to engage in short-term or speculatve transactons involving the Company’s securites, it is our policy that Company personnel and Related Persons not engage in any of the following actvites, except in each case in limited circumstances with prior approval of the Policy Administrator:</w:t>
      </w:r>
    </w:p>
    <w:p>
      <w:pPr>
        <w:spacing w:after="0" w:line="231" w:lineRule="exact"/>
        <w:rPr>
          <w:sz w:val="20"/>
          <w:szCs w:val="20"/>
          <w:color w:val="auto"/>
        </w:rPr>
      </w:pPr>
    </w:p>
    <w:p>
      <w:pPr>
        <w:jc w:val="both"/>
        <w:ind w:left="1180" w:right="219" w:hanging="323"/>
        <w:spacing w:after="0" w:line="237" w:lineRule="auto"/>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trading in the Company’s securites on a short-term basis. Any shares of Company common stock purchased in the open market must be held for a minimum of six months and ideally longer;</w:t>
      </w:r>
    </w:p>
    <w:p>
      <w:pPr>
        <w:spacing w:after="0" w:line="219"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short sales of the Company’s securites;</w:t>
      </w:r>
    </w:p>
    <w:p>
      <w:pPr>
        <w:spacing w:after="0" w:line="217" w:lineRule="exact"/>
        <w:rPr>
          <w:rFonts w:ascii="Times New Roman" w:cs="Times New Roman" w:eastAsia="Times New Roman" w:hAnsi="Times New Roman"/>
          <w:sz w:val="22"/>
          <w:szCs w:val="22"/>
          <w:color w:val="auto"/>
        </w:rPr>
      </w:pPr>
    </w:p>
    <w:p>
      <w:pPr>
        <w:ind w:left="1180" w:hanging="323"/>
        <w:spacing w:after="0"/>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use of the Company’s securites to secure a margin or other loan;</w:t>
      </w:r>
    </w:p>
    <w:p>
      <w:pPr>
        <w:spacing w:after="0" w:line="228" w:lineRule="exact"/>
        <w:rPr>
          <w:rFonts w:ascii="Times New Roman" w:cs="Times New Roman" w:eastAsia="Times New Roman" w:hAnsi="Times New Roman"/>
          <w:sz w:val="22"/>
          <w:szCs w:val="22"/>
          <w:color w:val="auto"/>
        </w:rPr>
      </w:pPr>
    </w:p>
    <w:p>
      <w:pPr>
        <w:jc w:val="both"/>
        <w:ind w:left="1180" w:right="219" w:hanging="323"/>
        <w:spacing w:after="0" w:line="239" w:lineRule="auto"/>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purchasing of fnancial instruments (including prepaid variable forward contracts, equity swaps, puts, call, straddles, collars and exchange funds) that are designed to hedge or ofset any decrease in the market value of the Company’s equity securites and entering into other transactons with the same economic efect, including short sales;</w:t>
      </w:r>
    </w:p>
    <w:p>
      <w:pPr>
        <w:spacing w:after="0" w:line="228" w:lineRule="exact"/>
        <w:rPr>
          <w:rFonts w:ascii="Times New Roman" w:cs="Times New Roman" w:eastAsia="Times New Roman" w:hAnsi="Times New Roman"/>
          <w:sz w:val="22"/>
          <w:szCs w:val="22"/>
          <w:color w:val="auto"/>
        </w:rPr>
      </w:pPr>
    </w:p>
    <w:p>
      <w:pPr>
        <w:ind w:left="1180" w:right="219" w:hanging="323"/>
        <w:spacing w:after="0" w:line="235" w:lineRule="auto"/>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borrowing or other arrangement involving the pledge of Company securites as collateral for a loan or holding such securites in a margin account;</w:t>
      </w:r>
    </w:p>
    <w:p>
      <w:pPr>
        <w:spacing w:after="0" w:line="230" w:lineRule="exact"/>
        <w:rPr>
          <w:rFonts w:ascii="Times New Roman" w:cs="Times New Roman" w:eastAsia="Times New Roman" w:hAnsi="Times New Roman"/>
          <w:sz w:val="22"/>
          <w:szCs w:val="22"/>
          <w:color w:val="auto"/>
        </w:rPr>
      </w:pPr>
    </w:p>
    <w:p>
      <w:pPr>
        <w:ind w:left="1180" w:right="219" w:hanging="323"/>
        <w:spacing w:after="0" w:line="235" w:lineRule="auto"/>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selling a security feature that establishes a positon that increases in value as the value of the underlying equity security decreases; and</w:t>
      </w:r>
    </w:p>
    <w:p>
      <w:pPr>
        <w:spacing w:after="0" w:line="230" w:lineRule="exact"/>
        <w:rPr>
          <w:rFonts w:ascii="Times New Roman" w:cs="Times New Roman" w:eastAsia="Times New Roman" w:hAnsi="Times New Roman"/>
          <w:sz w:val="22"/>
          <w:szCs w:val="22"/>
          <w:color w:val="auto"/>
        </w:rPr>
      </w:pPr>
    </w:p>
    <w:p>
      <w:pPr>
        <w:ind w:left="1180" w:right="239" w:hanging="323"/>
        <w:spacing w:after="0" w:line="235" w:lineRule="auto"/>
        <w:tabs>
          <w:tab w:leader="none" w:pos="118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transactons in publicly-traded optons relatng to the Company’s securites (i.e., optons that are not granted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6" w:name="page187"/>
    <w:bookmarkEnd w:id="186"/>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12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14"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color w:val="auto"/>
        </w:rPr>
        <w:t>VII.</w:t>
      </w:r>
      <w:r>
        <w:rPr>
          <w:sz w:val="20"/>
          <w:szCs w:val="20"/>
          <w:color w:val="auto"/>
        </w:rPr>
        <w:tab/>
      </w:r>
      <w:r>
        <w:rPr>
          <w:rFonts w:ascii="Calibri" w:cs="Calibri" w:eastAsia="Calibri" w:hAnsi="Calibri"/>
          <w:sz w:val="22"/>
          <w:szCs w:val="22"/>
          <w:b w:val="1"/>
          <w:bCs w:val="1"/>
          <w:u w:val="single" w:color="auto"/>
          <w:color w:val="auto"/>
        </w:rPr>
        <w:t>Post-Terminaton Transactons</w:t>
      </w:r>
    </w:p>
    <w:p>
      <w:pPr>
        <w:spacing w:after="0" w:line="228"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color w:val="auto"/>
        </w:rPr>
        <w:t>This Policy will no longer apply afer terminaton of service to the Company. However, if an individual is in possession of material non-public informaton when his or her service terminates, that individual may not trade in the Company’s securites untl that informaton has become public or is no longer material, and it would be prudent for the individual, if he or she is subject to a black-out period upon terminaton of service, to refrain from trading untl those restrictons no longer apply to Company personnel.</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color w:val="auto"/>
        </w:rPr>
        <w:t>VIII.</w:t>
      </w:r>
      <w:r>
        <w:rPr>
          <w:sz w:val="20"/>
          <w:szCs w:val="20"/>
          <w:color w:val="auto"/>
        </w:rPr>
        <w:tab/>
      </w:r>
      <w:r>
        <w:rPr>
          <w:rFonts w:ascii="Calibri" w:cs="Calibri" w:eastAsia="Calibri" w:hAnsi="Calibri"/>
          <w:sz w:val="22"/>
          <w:szCs w:val="22"/>
          <w:b w:val="1"/>
          <w:bCs w:val="1"/>
          <w:u w:val="single" w:color="auto"/>
          <w:color w:val="auto"/>
        </w:rPr>
        <w:t>Company Assistance</w:t>
      </w:r>
    </w:p>
    <w:p>
      <w:pPr>
        <w:spacing w:after="0" w:line="228" w:lineRule="exact"/>
        <w:rPr>
          <w:sz w:val="20"/>
          <w:szCs w:val="20"/>
          <w:color w:val="auto"/>
        </w:rPr>
      </w:pPr>
    </w:p>
    <w:p>
      <w:pPr>
        <w:jc w:val="both"/>
        <w:ind w:left="200" w:right="219" w:firstLine="648"/>
        <w:spacing w:after="0" w:line="239" w:lineRule="auto"/>
        <w:rPr>
          <w:sz w:val="20"/>
          <w:szCs w:val="20"/>
          <w:color w:val="auto"/>
        </w:rPr>
      </w:pPr>
      <w:r>
        <w:rPr>
          <w:rFonts w:ascii="Calibri" w:cs="Calibri" w:eastAsia="Calibri" w:hAnsi="Calibri"/>
          <w:sz w:val="22"/>
          <w:szCs w:val="22"/>
          <w:color w:val="auto"/>
        </w:rPr>
        <w:t>Any person who has any questons about specifc transactons or this Policy in general may obtain additonal guidance from the Policy Administrator. Remember, however, the ultmate responsibility for adhering to this Policy and avoiding improper transactons rests with you. In this regard, please use your best judgment when considering a transacton in the Company’s securites.</w:t>
      </w:r>
    </w:p>
    <w:p>
      <w:pPr>
        <w:spacing w:after="0" w:line="200" w:lineRule="exact"/>
        <w:rPr>
          <w:sz w:val="20"/>
          <w:szCs w:val="20"/>
          <w:color w:val="auto"/>
        </w:rPr>
      </w:pPr>
    </w:p>
    <w:p>
      <w:pPr>
        <w:spacing w:after="0" w:line="234"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color w:val="auto"/>
        </w:rPr>
        <w:t>IX.</w:t>
      </w:r>
      <w:r>
        <w:rPr>
          <w:sz w:val="20"/>
          <w:szCs w:val="20"/>
          <w:color w:val="auto"/>
        </w:rPr>
        <w:tab/>
      </w:r>
      <w:r>
        <w:rPr>
          <w:rFonts w:ascii="Calibri" w:cs="Calibri" w:eastAsia="Calibri" w:hAnsi="Calibri"/>
          <w:sz w:val="22"/>
          <w:szCs w:val="22"/>
          <w:b w:val="1"/>
          <w:bCs w:val="1"/>
          <w:u w:val="single" w:color="auto"/>
          <w:color w:val="auto"/>
        </w:rPr>
        <w:t>Certfcatons</w:t>
      </w:r>
    </w:p>
    <w:p>
      <w:pPr>
        <w:spacing w:after="0" w:line="228" w:lineRule="exact"/>
        <w:rPr>
          <w:sz w:val="20"/>
          <w:szCs w:val="20"/>
          <w:color w:val="auto"/>
        </w:rPr>
      </w:pPr>
    </w:p>
    <w:p>
      <w:pPr>
        <w:jc w:val="both"/>
        <w:ind w:left="200" w:right="219" w:firstLine="648"/>
        <w:spacing w:after="0" w:line="252" w:lineRule="auto"/>
        <w:rPr>
          <w:sz w:val="20"/>
          <w:szCs w:val="20"/>
          <w:color w:val="auto"/>
        </w:rPr>
      </w:pPr>
      <w:r>
        <w:rPr>
          <w:rFonts w:ascii="Calibri" w:cs="Calibri" w:eastAsia="Calibri" w:hAnsi="Calibri"/>
          <w:sz w:val="21"/>
          <w:szCs w:val="21"/>
          <w:color w:val="auto"/>
        </w:rPr>
        <w:t>As a conditon to employment, all employees will be required to certfy their understanding of and intent to comply with this Policy. Members of the Board of Directors, Senior Management and other personnel may be required to certfy compliance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833755</wp:posOffset>
            </wp:positionV>
            <wp:extent cx="545211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7" w:name="page188"/>
    <w:bookmarkEnd w:id="187"/>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13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u w:val="single" w:color="auto"/>
          <w:color w:val="auto"/>
        </w:rPr>
        <w:t>Exhibit A</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Senior Management</w:t>
      </w:r>
    </w:p>
    <w:p>
      <w:pPr>
        <w:spacing w:after="0" w:line="271"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All Executve (Secton 16) Ofcers, including:</w:t>
      </w:r>
    </w:p>
    <w:p>
      <w:pPr>
        <w:spacing w:after="0" w:line="271" w:lineRule="exact"/>
        <w:rPr>
          <w:sz w:val="20"/>
          <w:szCs w:val="20"/>
          <w:color w:val="auto"/>
        </w:rPr>
      </w:pPr>
    </w:p>
    <w:p>
      <w:pPr>
        <w:ind w:left="860" w:hanging="327"/>
        <w:spacing w:after="0"/>
        <w:tabs>
          <w:tab w:leader="none" w:pos="860" w:val="left"/>
        </w:tabs>
        <w:numPr>
          <w:ilvl w:val="0"/>
          <w:numId w:val="1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Zhengbin (Bing) Yao, Ph.D., President, Chief Executve Ofcer</w:t>
      </w:r>
    </w:p>
    <w:p>
      <w:pPr>
        <w:spacing w:after="0" w:line="11"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1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Winston Kung, Chief Financial Ofcer</w:t>
      </w:r>
    </w:p>
    <w:p>
      <w:pPr>
        <w:spacing w:after="0" w:line="12"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1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Stuart Lutzker, M.D., Ph.D., President of Research and Development</w:t>
      </w:r>
    </w:p>
    <w:p>
      <w:pPr>
        <w:spacing w:after="0" w:line="12"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1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Robin LaChapelle, Chief Operatng Ofcer</w:t>
      </w:r>
    </w:p>
    <w:p>
      <w:pPr>
        <w:spacing w:after="0" w:line="12"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105"/>
        </w:numPr>
        <w:rPr>
          <w:rFonts w:ascii="Times New Roman" w:cs="Times New Roman" w:eastAsia="Times New Roman" w:hAnsi="Times New Roman"/>
          <w:sz w:val="22"/>
          <w:szCs w:val="22"/>
          <w:color w:val="auto"/>
        </w:rPr>
      </w:pPr>
      <w:r>
        <w:rPr>
          <w:rFonts w:ascii="Calibri" w:cs="Calibri" w:eastAsia="Calibri" w:hAnsi="Calibri"/>
          <w:sz w:val="22"/>
          <w:szCs w:val="22"/>
          <w:color w:val="auto"/>
        </w:rPr>
        <w:t>James Kastenmayer, J.D., Ph.D., General Counsel and Secretary</w:t>
      </w: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u w:val="single" w:color="auto"/>
          <w:color w:val="auto"/>
        </w:rPr>
        <w:t>Exhibit B</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Financial Team Members</w:t>
      </w:r>
    </w:p>
    <w:p>
      <w:pPr>
        <w:spacing w:after="0" w:line="271" w:lineRule="exact"/>
        <w:rPr>
          <w:sz w:val="20"/>
          <w:szCs w:val="20"/>
          <w:color w:val="auto"/>
        </w:rPr>
      </w:pPr>
    </w:p>
    <w:p>
      <w:pPr>
        <w:ind w:left="200"/>
        <w:spacing w:after="0"/>
        <w:rPr>
          <w:sz w:val="20"/>
          <w:szCs w:val="20"/>
          <w:color w:val="auto"/>
        </w:rPr>
      </w:pPr>
      <w:r>
        <w:rPr>
          <w:rFonts w:ascii="Calibri" w:cs="Calibri" w:eastAsia="Calibri" w:hAnsi="Calibri"/>
          <w:sz w:val="22"/>
          <w:szCs w:val="22"/>
          <w:color w:val="auto"/>
        </w:rPr>
        <w:t>All members of the Company’s fnancial team, including:</w:t>
      </w:r>
    </w:p>
    <w:p>
      <w:pPr>
        <w:spacing w:after="0" w:line="271" w:lineRule="exact"/>
        <w:rPr>
          <w:sz w:val="20"/>
          <w:szCs w:val="20"/>
          <w:color w:val="auto"/>
        </w:rPr>
      </w:pPr>
    </w:p>
    <w:p>
      <w:pPr>
        <w:ind w:left="860" w:hanging="327"/>
        <w:spacing w:after="0"/>
        <w:tabs>
          <w:tab w:leader="none" w:pos="860" w:val="left"/>
        </w:tabs>
        <w:numPr>
          <w:ilvl w:val="0"/>
          <w:numId w:val="106"/>
        </w:numPr>
        <w:rPr>
          <w:rFonts w:ascii="Times New Roman" w:cs="Times New Roman" w:eastAsia="Times New Roman" w:hAnsi="Times New Roman"/>
          <w:sz w:val="22"/>
          <w:szCs w:val="22"/>
          <w:color w:val="auto"/>
        </w:rPr>
      </w:pPr>
      <w:r>
        <w:rPr>
          <w:rFonts w:ascii="Calibri" w:cs="Calibri" w:eastAsia="Calibri" w:hAnsi="Calibri"/>
          <w:sz w:val="22"/>
          <w:szCs w:val="22"/>
          <w:color w:val="auto"/>
        </w:rPr>
        <w:t>JD Kern, Controller</w:t>
      </w:r>
    </w:p>
    <w:p>
      <w:pPr>
        <w:spacing w:after="0" w:line="11" w:lineRule="exact"/>
        <w:rPr>
          <w:rFonts w:ascii="Times New Roman" w:cs="Times New Roman" w:eastAsia="Times New Roman" w:hAnsi="Times New Roman"/>
          <w:sz w:val="22"/>
          <w:szCs w:val="22"/>
          <w:color w:val="auto"/>
        </w:rPr>
      </w:pPr>
    </w:p>
    <w:p>
      <w:pPr>
        <w:ind w:left="860" w:hanging="327"/>
        <w:spacing w:after="0" w:line="228" w:lineRule="auto"/>
        <w:tabs>
          <w:tab w:leader="none" w:pos="860" w:val="left"/>
        </w:tabs>
        <w:numPr>
          <w:ilvl w:val="0"/>
          <w:numId w:val="106"/>
        </w:numPr>
        <w:rPr>
          <w:rFonts w:ascii="Times New Roman" w:cs="Times New Roman" w:eastAsia="Times New Roman" w:hAnsi="Times New Roman"/>
          <w:sz w:val="22"/>
          <w:szCs w:val="22"/>
          <w:color w:val="auto"/>
        </w:rPr>
      </w:pPr>
      <w:r>
        <w:rPr>
          <w:rFonts w:ascii="Calibri" w:cs="Calibri" w:eastAsia="Calibri" w:hAnsi="Calibri"/>
          <w:sz w:val="22"/>
          <w:szCs w:val="22"/>
          <w:color w:val="auto"/>
        </w:rPr>
        <w:t>Sara Guo Bai, VP FP&amp;A, Finance Operatons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u w:val="single" w:color="auto"/>
          <w:color w:val="auto"/>
        </w:rPr>
        <w:t>Exhibit C</w:t>
      </w: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Designated Employees</w:t>
      </w:r>
    </w:p>
    <w:p>
      <w:pPr>
        <w:spacing w:after="0" w:line="282" w:lineRule="exact"/>
        <w:rPr>
          <w:sz w:val="20"/>
          <w:szCs w:val="20"/>
          <w:color w:val="auto"/>
        </w:rPr>
      </w:pPr>
    </w:p>
    <w:p>
      <w:pPr>
        <w:ind w:left="860" w:right="239" w:hanging="327"/>
        <w:spacing w:after="0" w:line="235" w:lineRule="auto"/>
        <w:tabs>
          <w:tab w:leader="none" w:pos="860" w:val="left"/>
        </w:tabs>
        <w:numPr>
          <w:ilvl w:val="0"/>
          <w:numId w:val="10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Company personnel, including the Company’s employees, consultants and any other company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532765</wp:posOffset>
            </wp:positionV>
            <wp:extent cx="545211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8" w:name="page189"/>
    <w:bookmarkEnd w:id="188"/>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14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u w:val="single" w:color="auto"/>
          <w:color w:val="auto"/>
        </w:rPr>
        <w:t>Appendix A</w:t>
      </w: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ARRIVENT BIOPHARMA INC.</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RULE 10b5-1 TRADING PLAN POLICY</w:t>
      </w:r>
    </w:p>
    <w:p>
      <w:pPr>
        <w:spacing w:after="0" w:line="21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(Efectve January 26,2024)</w:t>
      </w:r>
    </w:p>
    <w:p>
      <w:pPr>
        <w:spacing w:after="0" w:line="228"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color w:val="auto"/>
        </w:rPr>
        <w:t>Rule 10b5-1 under the Securites and Exchange Act of 1934, as amended (the “Act”), adopted by the Securites and Exchange Commission in August 2000, clarifes that insider trading liability merely requires proof of trading while “aware” of material non-public informaton and not that the trader actually “used” the informaton when making the trade. However, Rule 10b5-1 contains an afrmatve defense that individuals and enttes may use to ofset the potental increase in exposure to insider trading liability created by the Rule. This afrmatve defense is available to individuals and enttes making a purchase or sale who demonstrate that the purchase or sale was pursuant to a binding contact, specifc instructon or writen plan entered into before becoming aware of the material non-public informaton. This afrmatve defense is intended to provide appropriate fexibility to those who would like to plan securites transactons in advance at a tme when they are not aware of material non-public informaton, and then carry out those pre-planned transactons at a later tme, even if they later become aware of material non-public informaton.</w:t>
      </w:r>
    </w:p>
    <w:p>
      <w:pPr>
        <w:spacing w:after="0" w:line="222" w:lineRule="exact"/>
        <w:rPr>
          <w:sz w:val="20"/>
          <w:szCs w:val="20"/>
          <w:color w:val="auto"/>
        </w:rPr>
      </w:pPr>
    </w:p>
    <w:p>
      <w:pPr>
        <w:ind w:left="860"/>
        <w:spacing w:after="0"/>
        <w:rPr>
          <w:sz w:val="20"/>
          <w:szCs w:val="20"/>
          <w:color w:val="auto"/>
        </w:rPr>
      </w:pPr>
      <w:r>
        <w:rPr>
          <w:rFonts w:ascii="Calibri" w:cs="Calibri" w:eastAsia="Calibri" w:hAnsi="Calibri"/>
          <w:sz w:val="22"/>
          <w:szCs w:val="22"/>
          <w:color w:val="auto"/>
        </w:rPr>
        <w:t>The Company has adopted this Policy to:</w:t>
      </w:r>
    </w:p>
    <w:p>
      <w:pPr>
        <w:spacing w:after="0" w:line="230" w:lineRule="exact"/>
        <w:rPr>
          <w:sz w:val="20"/>
          <w:szCs w:val="20"/>
          <w:color w:val="auto"/>
        </w:rPr>
      </w:pPr>
    </w:p>
    <w:p>
      <w:pPr>
        <w:ind w:left="1500" w:right="219" w:hanging="319"/>
        <w:spacing w:after="0" w:line="235" w:lineRule="auto"/>
        <w:tabs>
          <w:tab w:leader="none" w:pos="1500" w:val="left"/>
        </w:tabs>
        <w:numPr>
          <w:ilvl w:val="0"/>
          <w:numId w:val="108"/>
        </w:numPr>
        <w:rPr>
          <w:rFonts w:ascii="Times New Roman" w:cs="Times New Roman" w:eastAsia="Times New Roman" w:hAnsi="Times New Roman"/>
          <w:sz w:val="22"/>
          <w:szCs w:val="22"/>
          <w:color w:val="auto"/>
        </w:rPr>
      </w:pPr>
      <w:r>
        <w:rPr>
          <w:rFonts w:ascii="Calibri" w:cs="Calibri" w:eastAsia="Calibri" w:hAnsi="Calibri"/>
          <w:sz w:val="22"/>
          <w:szCs w:val="22"/>
          <w:color w:val="auto"/>
        </w:rPr>
        <w:t>help its ofcers, directors and other company personnel meet the requirements for the afrmatve defense created by Rule 10b5-1, and</w:t>
      </w:r>
    </w:p>
    <w:p>
      <w:pPr>
        <w:spacing w:after="0" w:line="230" w:lineRule="exact"/>
        <w:rPr>
          <w:rFonts w:ascii="Times New Roman" w:cs="Times New Roman" w:eastAsia="Times New Roman" w:hAnsi="Times New Roman"/>
          <w:sz w:val="22"/>
          <w:szCs w:val="22"/>
          <w:color w:val="auto"/>
        </w:rPr>
      </w:pPr>
    </w:p>
    <w:p>
      <w:pPr>
        <w:jc w:val="both"/>
        <w:ind w:left="1500" w:right="219" w:hanging="319"/>
        <w:spacing w:after="0" w:line="237" w:lineRule="auto"/>
        <w:tabs>
          <w:tab w:leader="none" w:pos="1500" w:val="left"/>
        </w:tabs>
        <w:numPr>
          <w:ilvl w:val="0"/>
          <w:numId w:val="108"/>
        </w:numPr>
        <w:rPr>
          <w:rFonts w:ascii="Times New Roman" w:cs="Times New Roman" w:eastAsia="Times New Roman" w:hAnsi="Times New Roman"/>
          <w:sz w:val="22"/>
          <w:szCs w:val="22"/>
          <w:color w:val="auto"/>
        </w:rPr>
      </w:pPr>
      <w:r>
        <w:rPr>
          <w:rFonts w:ascii="Calibri" w:cs="Calibri" w:eastAsia="Calibri" w:hAnsi="Calibri"/>
          <w:sz w:val="22"/>
          <w:szCs w:val="22"/>
          <w:color w:val="auto"/>
        </w:rPr>
        <w:t>limit opportunites for insiders to engage in potentally abusive practces, and more importantly, to avoid the appearance of practces that might be viewed as abusive based on later developments.</w:t>
      </w:r>
    </w:p>
    <w:p>
      <w:pPr>
        <w:spacing w:after="0" w:line="230" w:lineRule="exact"/>
        <w:rPr>
          <w:sz w:val="20"/>
          <w:szCs w:val="20"/>
          <w:color w:val="auto"/>
        </w:rPr>
      </w:pPr>
    </w:p>
    <w:p>
      <w:pPr>
        <w:jc w:val="both"/>
        <w:ind w:left="200" w:right="219" w:firstLine="648"/>
        <w:spacing w:after="0"/>
        <w:rPr>
          <w:sz w:val="20"/>
          <w:szCs w:val="20"/>
          <w:color w:val="auto"/>
        </w:rPr>
      </w:pPr>
      <w:r>
        <w:rPr>
          <w:rFonts w:ascii="Calibri" w:cs="Calibri" w:eastAsia="Calibri" w:hAnsi="Calibri"/>
          <w:sz w:val="22"/>
          <w:szCs w:val="22"/>
          <w:color w:val="auto"/>
        </w:rPr>
        <w:t>This Policy applies to all Company personnel, including directors, ofcers, employees and consultants of the Company and its subsidiaries. This Policy also applies to (1) immediate family members who reside with Company personnel, (2) others living in their household (whether or not related), (3) family members who do not live in the household but whose transactons in the Company’s securites are directed by Company personnel or are subject to their infuence or control (e.g., parents or children who consult with Company personnel before they trade in the Company’s securites) and (4) any enttes that Company personnel infuence or control, including any corporatons, limited liability companies, partnerships or trusts. All such persons and enttes are collectvely referred to as “Partcipants” herein. Questons regarding this Policy should be directed to 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89" w:name="page190"/>
    <w:bookmarkEnd w:id="189"/>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14" w:lineRule="exact"/>
        <w:rPr>
          <w:sz w:val="20"/>
          <w:szCs w:val="20"/>
          <w:color w:val="auto"/>
        </w:rPr>
      </w:pPr>
    </w:p>
    <w:p>
      <w:pPr>
        <w:ind w:left="860" w:hanging="651"/>
        <w:spacing w:after="0"/>
        <w:tabs>
          <w:tab w:leader="none" w:pos="860" w:val="left"/>
        </w:tabs>
        <w:numPr>
          <w:ilvl w:val="0"/>
          <w:numId w:val="10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PLAN ESTABLISHMENT</w:t>
      </w:r>
    </w:p>
    <w:p>
      <w:pPr>
        <w:spacing w:after="0" w:line="228" w:lineRule="exact"/>
        <w:rPr>
          <w:rFonts w:ascii="Calibri" w:cs="Calibri" w:eastAsia="Calibri" w:hAnsi="Calibri"/>
          <w:sz w:val="22"/>
          <w:szCs w:val="22"/>
          <w:b w:val="1"/>
          <w:bCs w:val="1"/>
          <w:color w:val="auto"/>
        </w:rPr>
      </w:pPr>
    </w:p>
    <w:p>
      <w:pPr>
        <w:jc w:val="both"/>
        <w:ind w:left="1500" w:right="219" w:hanging="643"/>
        <w:spacing w:after="0"/>
        <w:tabs>
          <w:tab w:leader="none" w:pos="1500" w:val="left"/>
        </w:tabs>
        <w:numPr>
          <w:ilvl w:val="1"/>
          <w:numId w:val="109"/>
        </w:numPr>
        <w:rPr>
          <w:rFonts w:ascii="Calibri" w:cs="Calibri" w:eastAsia="Calibri" w:hAnsi="Calibri"/>
          <w:sz w:val="22"/>
          <w:szCs w:val="22"/>
          <w:color w:val="auto"/>
        </w:rPr>
      </w:pPr>
      <w:r>
        <w:rPr>
          <w:rFonts w:ascii="Calibri" w:cs="Calibri" w:eastAsia="Calibri" w:hAnsi="Calibri"/>
          <w:sz w:val="22"/>
          <w:szCs w:val="22"/>
          <w:color w:val="auto"/>
        </w:rPr>
        <w:t>No 10b5-1 Plan may become efectve (that is, no transacton may occur) untl the Partcipant has (i) delivered a complete copy of the 10b5-1 Plan to the Company’s General Counsel, (ii) certfed that such Partcipant is not aware of any material nonpublic informaton about the Company and that such Partcipant is adoptng the 10b5-1 Plan in good faith and not as part of a plan or scheme to evade the prohibitons of Rule 10b5-1 and (iii) received the writen acknowledgment by the Company to enter into the 10b5-1 Plan. Additonally, Partcipants entering into a 10b5-1 Plan must act in good faith with respect to that 10b5-1 Plan during its term. Disclosure regarding a 10b5-1 Plan’s adopton may, at the Company’s discreton, be made through a press release or Current Report on Form 8-K.</w:t>
      </w:r>
    </w:p>
    <w:p>
      <w:pPr>
        <w:spacing w:after="0" w:line="230" w:lineRule="exact"/>
        <w:rPr>
          <w:rFonts w:ascii="Calibri" w:cs="Calibri" w:eastAsia="Calibri" w:hAnsi="Calibri"/>
          <w:sz w:val="22"/>
          <w:szCs w:val="22"/>
          <w:color w:val="auto"/>
        </w:rPr>
      </w:pPr>
    </w:p>
    <w:p>
      <w:pPr>
        <w:jc w:val="both"/>
        <w:ind w:left="1500" w:right="239" w:hanging="643"/>
        <w:spacing w:after="0" w:line="237" w:lineRule="auto"/>
        <w:tabs>
          <w:tab w:leader="none" w:pos="1500" w:val="left"/>
        </w:tabs>
        <w:numPr>
          <w:ilvl w:val="1"/>
          <w:numId w:val="109"/>
        </w:numPr>
        <w:rPr>
          <w:rFonts w:ascii="Calibri" w:cs="Calibri" w:eastAsia="Calibri" w:hAnsi="Calibri"/>
          <w:sz w:val="22"/>
          <w:szCs w:val="22"/>
          <w:color w:val="auto"/>
        </w:rPr>
      </w:pPr>
      <w:r>
        <w:rPr>
          <w:rFonts w:ascii="Calibri" w:cs="Calibri" w:eastAsia="Calibri" w:hAnsi="Calibri"/>
          <w:sz w:val="22"/>
          <w:szCs w:val="22"/>
          <w:color w:val="auto"/>
        </w:rPr>
        <w:t>Each 10b5-1 Plan must be a writen plan or binding agreement entered into with a natonal brokerage frm or other fnancial professional reasonably acceptable to the Company. 10b5-1 Plans must use a Company-approved template.</w:t>
      </w:r>
    </w:p>
    <w:p>
      <w:pPr>
        <w:spacing w:after="0" w:line="230" w:lineRule="exact"/>
        <w:rPr>
          <w:rFonts w:ascii="Calibri" w:cs="Calibri" w:eastAsia="Calibri" w:hAnsi="Calibri"/>
          <w:sz w:val="22"/>
          <w:szCs w:val="22"/>
          <w:color w:val="auto"/>
        </w:rPr>
      </w:pPr>
    </w:p>
    <w:p>
      <w:pPr>
        <w:jc w:val="both"/>
        <w:ind w:left="1500" w:right="219" w:hanging="643"/>
        <w:spacing w:after="0" w:line="238" w:lineRule="auto"/>
        <w:tabs>
          <w:tab w:leader="none" w:pos="1500" w:val="left"/>
        </w:tabs>
        <w:numPr>
          <w:ilvl w:val="1"/>
          <w:numId w:val="109"/>
        </w:numPr>
        <w:rPr>
          <w:rFonts w:ascii="Calibri" w:cs="Calibri" w:eastAsia="Calibri" w:hAnsi="Calibri"/>
          <w:sz w:val="22"/>
          <w:szCs w:val="22"/>
          <w:color w:val="auto"/>
        </w:rPr>
      </w:pPr>
      <w:r>
        <w:rPr>
          <w:rFonts w:ascii="Calibri" w:cs="Calibri" w:eastAsia="Calibri" w:hAnsi="Calibri"/>
          <w:sz w:val="22"/>
          <w:szCs w:val="22"/>
          <w:color w:val="auto"/>
        </w:rPr>
        <w:t>The 10b5-1 Plan may only be adopted during the generally applicable quarterly open trading window described in the Company’s insider trading policy and at a tme when the 10b5-1 Plan Partcipant does not otherwise possess material, non-public informaton concerning the Company.</w:t>
      </w:r>
    </w:p>
    <w:p>
      <w:pPr>
        <w:spacing w:after="0" w:line="230" w:lineRule="exact"/>
        <w:rPr>
          <w:rFonts w:ascii="Calibri" w:cs="Calibri" w:eastAsia="Calibri" w:hAnsi="Calibri"/>
          <w:sz w:val="22"/>
          <w:szCs w:val="22"/>
          <w:color w:val="auto"/>
        </w:rPr>
      </w:pPr>
    </w:p>
    <w:p>
      <w:pPr>
        <w:jc w:val="both"/>
        <w:ind w:left="1500" w:right="219" w:hanging="643"/>
        <w:spacing w:after="0" w:line="239" w:lineRule="auto"/>
        <w:tabs>
          <w:tab w:leader="none" w:pos="1500" w:val="left"/>
        </w:tabs>
        <w:numPr>
          <w:ilvl w:val="1"/>
          <w:numId w:val="109"/>
        </w:numPr>
        <w:rPr>
          <w:rFonts w:ascii="Calibri" w:cs="Calibri" w:eastAsia="Calibri" w:hAnsi="Calibri"/>
          <w:sz w:val="22"/>
          <w:szCs w:val="22"/>
          <w:color w:val="auto"/>
        </w:rPr>
      </w:pPr>
      <w:r>
        <w:rPr>
          <w:rFonts w:ascii="Calibri" w:cs="Calibri" w:eastAsia="Calibri" w:hAnsi="Calibri"/>
          <w:sz w:val="22"/>
          <w:szCs w:val="22"/>
          <w:color w:val="auto"/>
        </w:rPr>
        <w:t>Purchases or sales pursuant to a 10b5-1 Plan may not occur untl expiraton of a cooling-of period that ends no earlier than thirty (30) days afer adopton of the 10b5-1 Plan, and if the Partcipant is a director or ofcer (as defned in Rule 16a-1(f) of the Act), no earlier than the later of (i) ninety (90) days afer adopton of the 10b5-1 Plan or (ii) two business days following the disclosure of the Company’s fnancial results in Form 10-Q or Form 10-K for the completed fscal quarter in which the 10b5-1 Plan was established; provided that the required cooling-of period for directors and ofcers is subject to a maximum of one hundred twenty</w:t>
      </w:r>
    </w:p>
    <w:p>
      <w:pPr>
        <w:spacing w:after="0" w:line="20" w:lineRule="exact"/>
        <w:rPr>
          <w:rFonts w:ascii="Calibri" w:cs="Calibri" w:eastAsia="Calibri" w:hAnsi="Calibri"/>
          <w:sz w:val="22"/>
          <w:szCs w:val="22"/>
          <w:color w:val="auto"/>
        </w:rPr>
      </w:pPr>
    </w:p>
    <w:p>
      <w:pPr>
        <w:ind w:left="1500" w:right="239" w:firstLine="5"/>
        <w:spacing w:after="0" w:line="235" w:lineRule="auto"/>
        <w:tabs>
          <w:tab w:leader="none" w:pos="2064" w:val="left"/>
        </w:tabs>
        <w:numPr>
          <w:ilvl w:val="2"/>
          <w:numId w:val="109"/>
        </w:numPr>
        <w:rPr>
          <w:rFonts w:ascii="Calibri" w:cs="Calibri" w:eastAsia="Calibri" w:hAnsi="Calibri"/>
          <w:sz w:val="22"/>
          <w:szCs w:val="22"/>
          <w:color w:val="auto"/>
        </w:rPr>
      </w:pPr>
      <w:r>
        <w:rPr>
          <w:rFonts w:ascii="Calibri" w:cs="Calibri" w:eastAsia="Calibri" w:hAnsi="Calibri"/>
          <w:sz w:val="22"/>
          <w:szCs w:val="22"/>
          <w:color w:val="auto"/>
        </w:rPr>
        <w:t>days afer adopton of the 10b5-1 Plan (in each case, the “Cooling Of Period”).</w:t>
      </w:r>
    </w:p>
    <w:p>
      <w:pPr>
        <w:spacing w:after="0" w:line="230" w:lineRule="exact"/>
        <w:rPr>
          <w:rFonts w:ascii="Calibri" w:cs="Calibri" w:eastAsia="Calibri" w:hAnsi="Calibri"/>
          <w:sz w:val="22"/>
          <w:szCs w:val="22"/>
          <w:color w:val="auto"/>
        </w:rPr>
      </w:pPr>
    </w:p>
    <w:p>
      <w:pPr>
        <w:ind w:left="1500" w:right="219" w:hanging="643"/>
        <w:spacing w:after="0" w:line="235" w:lineRule="auto"/>
        <w:tabs>
          <w:tab w:leader="none" w:pos="1500" w:val="left"/>
        </w:tabs>
        <w:numPr>
          <w:ilvl w:val="1"/>
          <w:numId w:val="109"/>
        </w:numPr>
        <w:rPr>
          <w:rFonts w:ascii="Calibri" w:cs="Calibri" w:eastAsia="Calibri" w:hAnsi="Calibri"/>
          <w:sz w:val="22"/>
          <w:szCs w:val="22"/>
          <w:color w:val="auto"/>
        </w:rPr>
      </w:pPr>
      <w:r>
        <w:rPr>
          <w:rFonts w:ascii="Calibri" w:cs="Calibri" w:eastAsia="Calibri" w:hAnsi="Calibri"/>
          <w:sz w:val="22"/>
          <w:szCs w:val="22"/>
          <w:color w:val="auto"/>
        </w:rPr>
        <w:t>A Partcipant may have only one 10b5-1 Plan with respect to the Company’s securites in operaton at any tme, except as follows:</w:t>
      </w:r>
    </w:p>
    <w:p>
      <w:pPr>
        <w:spacing w:after="0" w:line="230" w:lineRule="exact"/>
        <w:rPr>
          <w:sz w:val="20"/>
          <w:szCs w:val="20"/>
          <w:color w:val="auto"/>
        </w:rPr>
      </w:pPr>
    </w:p>
    <w:p>
      <w:pPr>
        <w:ind w:left="2160" w:right="259" w:hanging="655"/>
        <w:spacing w:after="0" w:line="238" w:lineRule="auto"/>
        <w:tabs>
          <w:tab w:leader="none" w:pos="2160" w:val="left"/>
        </w:tabs>
        <w:numPr>
          <w:ilvl w:val="0"/>
          <w:numId w:val="110"/>
        </w:numPr>
        <w:rPr>
          <w:rFonts w:ascii="Calibri" w:cs="Calibri" w:eastAsia="Calibri" w:hAnsi="Calibri"/>
          <w:sz w:val="22"/>
          <w:szCs w:val="22"/>
          <w:color w:val="auto"/>
        </w:rPr>
      </w:pPr>
      <w:r>
        <w:rPr>
          <w:rFonts w:ascii="Calibri" w:cs="Calibri" w:eastAsia="Calibri" w:hAnsi="Calibri"/>
          <w:sz w:val="22"/>
          <w:szCs w:val="22"/>
          <w:color w:val="auto"/>
        </w:rPr>
        <w:t>Partcipants may have one additonal 10b5-1 Plan under which trading is not authorized to begin untl afer all trades under the frst 10b5-1 Plan are completed or expired without executon, provided, however, that if the frst trade under the later-commencing 10b5-1 Plan is scheduled during the Efectve Cooling-Of Period (as defned below), the later-commencing</w:t>
      </w:r>
    </w:p>
    <w:p>
      <w:pPr>
        <w:spacing w:after="0" w:line="18" w:lineRule="exact"/>
        <w:rPr>
          <w:rFonts w:ascii="Calibri" w:cs="Calibri" w:eastAsia="Calibri" w:hAnsi="Calibri"/>
          <w:sz w:val="22"/>
          <w:szCs w:val="22"/>
          <w:color w:val="auto"/>
        </w:rPr>
      </w:pPr>
    </w:p>
    <w:p>
      <w:pPr>
        <w:ind w:left="2160" w:right="319"/>
        <w:spacing w:after="0" w:line="237" w:lineRule="auto"/>
        <w:rPr>
          <w:rFonts w:ascii="Calibri" w:cs="Calibri" w:eastAsia="Calibri" w:hAnsi="Calibri"/>
          <w:sz w:val="22"/>
          <w:szCs w:val="22"/>
          <w:color w:val="auto"/>
        </w:rPr>
      </w:pPr>
      <w:r>
        <w:rPr>
          <w:rFonts w:ascii="Calibri" w:cs="Calibri" w:eastAsia="Calibri" w:hAnsi="Calibri"/>
          <w:sz w:val="22"/>
          <w:szCs w:val="22"/>
          <w:color w:val="auto"/>
        </w:rPr>
        <w:t>10b5-1 Plan may not rely upon this excepton. The “Efectve Cooling-Of Period” means the cooling-of period that would be applicable to the later-commencing 10b5-1 Plan if the date of adopton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545211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90" w:name="page191"/>
    <w:bookmarkEnd w:id="190"/>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24" w:lineRule="exact"/>
        <w:rPr>
          <w:sz w:val="20"/>
          <w:szCs w:val="20"/>
          <w:color w:val="auto"/>
        </w:rPr>
      </w:pPr>
    </w:p>
    <w:p>
      <w:pPr>
        <w:ind w:left="2160" w:right="1059"/>
        <w:spacing w:after="0" w:line="235" w:lineRule="auto"/>
        <w:rPr>
          <w:sz w:val="20"/>
          <w:szCs w:val="20"/>
          <w:color w:val="auto"/>
        </w:rPr>
      </w:pPr>
      <w:r>
        <w:rPr>
          <w:rFonts w:ascii="Calibri" w:cs="Calibri" w:eastAsia="Calibri" w:hAnsi="Calibri"/>
          <w:sz w:val="22"/>
          <w:szCs w:val="22"/>
          <w:color w:val="auto"/>
        </w:rPr>
        <w:t>the later-commencing 10b5-1 Plan were deemed to be the date of terminaton of the earlier-commencing 10b5-1 Plan; and</w:t>
      </w:r>
    </w:p>
    <w:p>
      <w:pPr>
        <w:spacing w:after="0" w:line="365" w:lineRule="exact"/>
        <w:rPr>
          <w:sz w:val="20"/>
          <w:szCs w:val="20"/>
          <w:color w:val="auto"/>
        </w:rPr>
      </w:pPr>
    </w:p>
    <w:p>
      <w:pPr>
        <w:ind w:left="2160" w:right="299" w:hanging="655"/>
        <w:spacing w:after="0" w:line="239" w:lineRule="auto"/>
        <w:tabs>
          <w:tab w:leader="none" w:pos="2160" w:val="left"/>
        </w:tabs>
        <w:numPr>
          <w:ilvl w:val="2"/>
          <w:numId w:val="111"/>
        </w:numPr>
        <w:rPr>
          <w:rFonts w:ascii="Calibri" w:cs="Calibri" w:eastAsia="Calibri" w:hAnsi="Calibri"/>
          <w:sz w:val="22"/>
          <w:szCs w:val="22"/>
          <w:color w:val="auto"/>
        </w:rPr>
      </w:pPr>
      <w:r>
        <w:rPr>
          <w:rFonts w:ascii="Calibri" w:cs="Calibri" w:eastAsia="Calibri" w:hAnsi="Calibri"/>
          <w:sz w:val="22"/>
          <w:szCs w:val="22"/>
          <w:color w:val="auto"/>
        </w:rPr>
        <w:t>Partcipants may enter into a 10b5-1 Plan providing for sell-to-cover transactons that sell only such securites as are necessary to satsfy tax withholding obligatons arising exclusively from the vestng of a compensatory award. This excepton does not apply to sales made to cover taxes in connecton with the exercise of stock opton awards.</w:t>
      </w:r>
    </w:p>
    <w:p>
      <w:pPr>
        <w:spacing w:after="0" w:line="255" w:lineRule="exact"/>
        <w:rPr>
          <w:rFonts w:ascii="Calibri" w:cs="Calibri" w:eastAsia="Calibri" w:hAnsi="Calibri"/>
          <w:sz w:val="22"/>
          <w:szCs w:val="22"/>
          <w:color w:val="auto"/>
        </w:rPr>
      </w:pPr>
    </w:p>
    <w:p>
      <w:pPr>
        <w:jc w:val="both"/>
        <w:ind w:left="1500" w:right="219" w:hanging="643"/>
        <w:spacing w:after="0" w:line="237" w:lineRule="auto"/>
        <w:tabs>
          <w:tab w:leader="none" w:pos="1500" w:val="left"/>
        </w:tabs>
        <w:numPr>
          <w:ilvl w:val="1"/>
          <w:numId w:val="112"/>
        </w:numPr>
        <w:rPr>
          <w:rFonts w:ascii="Calibri" w:cs="Calibri" w:eastAsia="Calibri" w:hAnsi="Calibri"/>
          <w:sz w:val="22"/>
          <w:szCs w:val="22"/>
          <w:color w:val="auto"/>
        </w:rPr>
      </w:pPr>
      <w:r>
        <w:rPr>
          <w:rFonts w:ascii="Calibri" w:cs="Calibri" w:eastAsia="Calibri" w:hAnsi="Calibri"/>
          <w:sz w:val="22"/>
          <w:szCs w:val="22"/>
          <w:color w:val="auto"/>
        </w:rPr>
        <w:t>A Partcipant may purchase or sell securites pursuant to a 10b5-1 Plan designed to cover a single trade only one tme during any consecutve twelve (12) month period.</w:t>
      </w:r>
    </w:p>
    <w:p>
      <w:pPr>
        <w:spacing w:after="0" w:line="219" w:lineRule="exact"/>
        <w:rPr>
          <w:rFonts w:ascii="Calibri" w:cs="Calibri" w:eastAsia="Calibri" w:hAnsi="Calibri"/>
          <w:sz w:val="22"/>
          <w:szCs w:val="22"/>
          <w:color w:val="auto"/>
        </w:rPr>
      </w:pPr>
    </w:p>
    <w:p>
      <w:pPr>
        <w:ind w:left="860" w:hanging="651"/>
        <w:spacing w:after="0"/>
        <w:tabs>
          <w:tab w:leader="none" w:pos="860" w:val="left"/>
        </w:tabs>
        <w:numPr>
          <w:ilvl w:val="0"/>
          <w:numId w:val="11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PLAN AMENDMENTS</w:t>
      </w:r>
    </w:p>
    <w:p>
      <w:pPr>
        <w:spacing w:after="0" w:line="228" w:lineRule="exact"/>
        <w:rPr>
          <w:rFonts w:ascii="Calibri" w:cs="Calibri" w:eastAsia="Calibri" w:hAnsi="Calibri"/>
          <w:sz w:val="22"/>
          <w:szCs w:val="22"/>
          <w:b w:val="1"/>
          <w:bCs w:val="1"/>
          <w:color w:val="auto"/>
        </w:rPr>
      </w:pPr>
    </w:p>
    <w:p>
      <w:pPr>
        <w:jc w:val="both"/>
        <w:ind w:left="1500" w:right="219" w:hanging="643"/>
        <w:spacing w:after="0" w:line="239" w:lineRule="auto"/>
        <w:tabs>
          <w:tab w:leader="none" w:pos="1500" w:val="left"/>
        </w:tabs>
        <w:numPr>
          <w:ilvl w:val="1"/>
          <w:numId w:val="113"/>
        </w:numPr>
        <w:rPr>
          <w:rFonts w:ascii="Calibri" w:cs="Calibri" w:eastAsia="Calibri" w:hAnsi="Calibri"/>
          <w:sz w:val="22"/>
          <w:szCs w:val="22"/>
          <w:color w:val="auto"/>
        </w:rPr>
      </w:pPr>
      <w:r>
        <w:rPr>
          <w:rFonts w:ascii="Calibri" w:cs="Calibri" w:eastAsia="Calibri" w:hAnsi="Calibri"/>
          <w:sz w:val="22"/>
          <w:szCs w:val="22"/>
          <w:color w:val="auto"/>
        </w:rPr>
        <w:t>Any 10b5-1 Plan amendment, modifcaton or change to the amount, price, or tming of the purchase or sale of securites (or a modifcaton or change to a writen formula or algorithm, or computer program that afects the amount, price, or tming of the purchase or sale of Company securites) under the 10b5-1 Plan is deemed to be a terminaton of such 10b5-1 Plan and the adopton of a new 10b5-1 Plan, and must comply with all requirements of these guidelines applicable to the adopton of a new 10b5-1 Plan.</w:t>
      </w:r>
    </w:p>
    <w:p>
      <w:pPr>
        <w:spacing w:after="0" w:line="221" w:lineRule="exact"/>
        <w:rPr>
          <w:sz w:val="20"/>
          <w:szCs w:val="20"/>
          <w:color w:val="auto"/>
        </w:rPr>
      </w:pPr>
    </w:p>
    <w:p>
      <w:pPr>
        <w:ind w:left="860" w:hanging="651"/>
        <w:spacing w:after="0"/>
        <w:tabs>
          <w:tab w:leader="none" w:pos="860" w:val="left"/>
        </w:tabs>
        <w:numPr>
          <w:ilvl w:val="0"/>
          <w:numId w:val="11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PLAN TERMINATION</w:t>
      </w:r>
    </w:p>
    <w:p>
      <w:pPr>
        <w:spacing w:after="0" w:line="229" w:lineRule="exact"/>
        <w:rPr>
          <w:rFonts w:ascii="Calibri" w:cs="Calibri" w:eastAsia="Calibri" w:hAnsi="Calibri"/>
          <w:sz w:val="22"/>
          <w:szCs w:val="22"/>
          <w:b w:val="1"/>
          <w:bCs w:val="1"/>
          <w:color w:val="auto"/>
        </w:rPr>
      </w:pPr>
    </w:p>
    <w:p>
      <w:pPr>
        <w:jc w:val="both"/>
        <w:ind w:left="1500" w:right="219" w:hanging="643"/>
        <w:spacing w:after="0" w:line="239" w:lineRule="auto"/>
        <w:tabs>
          <w:tab w:leader="none" w:pos="1500" w:val="left"/>
        </w:tabs>
        <w:numPr>
          <w:ilvl w:val="1"/>
          <w:numId w:val="114"/>
        </w:numPr>
        <w:rPr>
          <w:rFonts w:ascii="Calibri" w:cs="Calibri" w:eastAsia="Calibri" w:hAnsi="Calibri"/>
          <w:sz w:val="22"/>
          <w:szCs w:val="22"/>
          <w:color w:val="auto"/>
        </w:rPr>
      </w:pPr>
      <w:r>
        <w:rPr>
          <w:rFonts w:ascii="Calibri" w:cs="Calibri" w:eastAsia="Calibri" w:hAnsi="Calibri"/>
          <w:sz w:val="22"/>
          <w:szCs w:val="22"/>
          <w:color w:val="auto"/>
        </w:rPr>
        <w:t>Early terminaton of 10b5-1 Plans should occur only in unusual circumstances, and the efectveness of a 10b5-1 Plan terminaton will be subject to the prior review and approval of the Company. If a 105-1 Plan is terminated, disclosure regarding such terminaton may, at the Company’s discreton, be made through a press release or Current Report on Form 8-K. Furthermore, in the event a Partcipant terminates a Trading Plan, the Company may require that the Partcipant be subject to the required Cooling-Of Period before engaging in any new transactons in Company securites or adoptng a new 10b5-1 Plan.</w:t>
      </w:r>
    </w:p>
    <w:p>
      <w:pPr>
        <w:spacing w:after="0" w:line="226" w:lineRule="exact"/>
        <w:rPr>
          <w:sz w:val="20"/>
          <w:szCs w:val="20"/>
          <w:color w:val="auto"/>
        </w:rPr>
      </w:pPr>
    </w:p>
    <w:p>
      <w:pPr>
        <w:ind w:left="200"/>
        <w:spacing w:after="0"/>
        <w:tabs>
          <w:tab w:leader="none" w:pos="84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color w:val="auto"/>
        </w:rPr>
        <w:t>MISCELLANEOUS</w:t>
      </w:r>
    </w:p>
    <w:p>
      <w:pPr>
        <w:spacing w:after="0" w:line="228" w:lineRule="exact"/>
        <w:rPr>
          <w:sz w:val="20"/>
          <w:szCs w:val="20"/>
          <w:color w:val="auto"/>
        </w:rPr>
      </w:pPr>
    </w:p>
    <w:p>
      <w:pPr>
        <w:jc w:val="both"/>
        <w:ind w:left="1500" w:right="219" w:hanging="643"/>
        <w:spacing w:after="0" w:line="239" w:lineRule="auto"/>
        <w:tabs>
          <w:tab w:leader="none" w:pos="1500" w:val="left"/>
        </w:tabs>
        <w:numPr>
          <w:ilvl w:val="0"/>
          <w:numId w:val="115"/>
        </w:numPr>
        <w:rPr>
          <w:rFonts w:ascii="Calibri" w:cs="Calibri" w:eastAsia="Calibri" w:hAnsi="Calibri"/>
          <w:sz w:val="22"/>
          <w:szCs w:val="22"/>
          <w:color w:val="auto"/>
        </w:rPr>
      </w:pPr>
      <w:r>
        <w:rPr>
          <w:rFonts w:ascii="Calibri" w:cs="Calibri" w:eastAsia="Calibri" w:hAnsi="Calibri"/>
          <w:sz w:val="22"/>
          <w:szCs w:val="22"/>
          <w:color w:val="auto"/>
        </w:rPr>
        <w:t>Consistent with Secton VI of the Company’s insider trading policy which prohibits transactons that are designed to hedge or ofset any decrease in the market value of the Company’s equity securites, at the tme of entering into the 10b5-1 Plan, the Partcipant may not be, and during the term of the 10b5-1 Plan may not become, a party to a corresponding or hedging transacton involving Company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499110</wp:posOffset>
            </wp:positionV>
            <wp:extent cx="545211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91" w:name="page192"/>
    <w:bookmarkEnd w:id="191"/>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1056640</wp:posOffset>
            </wp:positionH>
            <wp:positionV relativeFrom="page">
              <wp:posOffset>431800</wp:posOffset>
            </wp:positionV>
            <wp:extent cx="89154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891540" cy="163195"/>
                    </a:xfrm>
                    <a:prstGeom prst="rect">
                      <a:avLst/>
                    </a:prstGeom>
                    <a:noFill/>
                  </pic:spPr>
                </pic:pic>
              </a:graphicData>
            </a:graphic>
          </wp:anchor>
        </w:drawing>
        <w:t>Page 17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53492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pacing w:after="0" w:line="224" w:lineRule="exact"/>
        <w:rPr>
          <w:sz w:val="20"/>
          <w:szCs w:val="20"/>
          <w:color w:val="auto"/>
        </w:rPr>
      </w:pPr>
    </w:p>
    <w:p>
      <w:pPr>
        <w:jc w:val="both"/>
        <w:ind w:left="1500" w:right="219" w:hanging="643"/>
        <w:spacing w:after="0" w:line="253" w:lineRule="auto"/>
        <w:tabs>
          <w:tab w:leader="none" w:pos="1500" w:val="left"/>
        </w:tabs>
        <w:numPr>
          <w:ilvl w:val="0"/>
          <w:numId w:val="116"/>
        </w:numPr>
        <w:rPr>
          <w:rFonts w:ascii="Calibri" w:cs="Calibri" w:eastAsia="Calibri" w:hAnsi="Calibri"/>
          <w:sz w:val="21"/>
          <w:szCs w:val="21"/>
          <w:color w:val="auto"/>
        </w:rPr>
      </w:pPr>
      <w:r>
        <w:rPr>
          <w:rFonts w:ascii="Calibri" w:cs="Calibri" w:eastAsia="Calibri" w:hAnsi="Calibri"/>
          <w:sz w:val="21"/>
          <w:szCs w:val="21"/>
          <w:color w:val="auto"/>
        </w:rPr>
        <w:t>The Company has the right at any tme to require additonal and/or diferent requirements in connecton with the modifcaton or terminaton of a 10b5-1 Plan in order to protect the Partcipant and the Company from potental liability. The Company may suspend 10b5-1 Plans immediately upon notce to the 10b5-1 Plan Partcipant for any reason, including but not limited to as underwriten public oferings, private placement transactons or other material events of the Company.</w:t>
      </w:r>
    </w:p>
    <w:p>
      <w:pPr>
        <w:spacing w:after="0" w:line="214" w:lineRule="exact"/>
        <w:rPr>
          <w:rFonts w:ascii="Calibri" w:cs="Calibri" w:eastAsia="Calibri" w:hAnsi="Calibri"/>
          <w:sz w:val="21"/>
          <w:szCs w:val="21"/>
          <w:color w:val="auto"/>
        </w:rPr>
      </w:pPr>
    </w:p>
    <w:p>
      <w:pPr>
        <w:jc w:val="both"/>
        <w:ind w:left="1500" w:right="219" w:hanging="643"/>
        <w:spacing w:after="0"/>
        <w:tabs>
          <w:tab w:leader="none" w:pos="1500" w:val="left"/>
        </w:tabs>
        <w:numPr>
          <w:ilvl w:val="0"/>
          <w:numId w:val="116"/>
        </w:numPr>
        <w:rPr>
          <w:rFonts w:ascii="Calibri" w:cs="Calibri" w:eastAsia="Calibri" w:hAnsi="Calibri"/>
          <w:sz w:val="22"/>
          <w:szCs w:val="22"/>
          <w:color w:val="auto"/>
        </w:rPr>
      </w:pPr>
      <w:r>
        <w:rPr>
          <w:rFonts w:ascii="Calibri" w:cs="Calibri" w:eastAsia="Calibri" w:hAnsi="Calibri"/>
          <w:sz w:val="22"/>
          <w:szCs w:val="22"/>
          <w:color w:val="auto"/>
        </w:rPr>
        <w:t>In accordance with SEC rules and regulatons, the Company will disclose in Form 10-Qs and Form 10-Ks whether, during the Company’s last fscal quarter, any director or ofcer adopted or terminated (a) a 10b5-1 Plan for the purchase or sale of Company securites that is intended to satsfy the afrmatve defense conditons of Rule 10b5-1(c) or (b) a non-Rule 10b5-1 trading arrangement. In such disclosure, the Company will provide a descripton of the material terms of such trading arrangement, including the name and ttle of the director or ofcer, the date of adopton or terminaton of the trading arrangement, the duraton of the trading arrangement, and the aggregate number of Company securites to be sold or purchased under the trading arrangement.</w:t>
      </w:r>
    </w:p>
    <w:p>
      <w:pPr>
        <w:spacing w:after="0" w:line="200" w:lineRule="exact"/>
        <w:rPr>
          <w:rFonts w:ascii="Calibri" w:cs="Calibri" w:eastAsia="Calibri" w:hAnsi="Calibri"/>
          <w:sz w:val="22"/>
          <w:szCs w:val="22"/>
          <w:color w:val="auto"/>
        </w:rPr>
      </w:pPr>
    </w:p>
    <w:p>
      <w:pPr>
        <w:spacing w:after="0" w:line="246" w:lineRule="exact"/>
        <w:rPr>
          <w:rFonts w:ascii="Calibri" w:cs="Calibri" w:eastAsia="Calibri" w:hAnsi="Calibri"/>
          <w:sz w:val="22"/>
          <w:szCs w:val="22"/>
          <w:color w:val="auto"/>
        </w:rPr>
      </w:pPr>
    </w:p>
    <w:p>
      <w:pPr>
        <w:jc w:val="both"/>
        <w:ind w:left="1500" w:right="239" w:hanging="643"/>
        <w:spacing w:after="0" w:line="239" w:lineRule="auto"/>
        <w:tabs>
          <w:tab w:leader="none" w:pos="1500" w:val="left"/>
        </w:tabs>
        <w:numPr>
          <w:ilvl w:val="0"/>
          <w:numId w:val="116"/>
        </w:numPr>
        <w:rPr>
          <w:rFonts w:ascii="Calibri" w:cs="Calibri" w:eastAsia="Calibri" w:hAnsi="Calibri"/>
          <w:sz w:val="22"/>
          <w:szCs w:val="22"/>
          <w:color w:val="auto"/>
        </w:rPr>
      </w:pPr>
      <w:r>
        <w:rPr>
          <w:rFonts w:ascii="Calibri" w:cs="Calibri" w:eastAsia="Calibri" w:hAnsi="Calibri"/>
          <w:sz w:val="22"/>
          <w:szCs w:val="22"/>
          <w:color w:val="auto"/>
        </w:rPr>
        <w:t>The 10b5-1 Plan Partcipant will be solely responsible for determining the 10b5-1 Plan’s compliance with Rule 10b5-1 and other applicable laws and regulatons. Acknowledgement of a 10b5-1 Plan by the Company should not be characterized or understood to signify consent, approval or a legal opinion as to the 10b5-1 Plan’s compliance with Rule 10b5-1 or other applicable laws and regulatons.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497840</wp:posOffset>
            </wp:positionV>
            <wp:extent cx="545211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333-276840) on Form S-8 and (No. 333-284661) on Form S-3 of our report dated March 3, 2025, with respect to the financial statements of ArriVent BioPharma,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Zhengbin (Bing) Yao, Ph.D., certify that:</w:t>
      </w:r>
    </w:p>
    <w:p>
      <w:pPr>
        <w:spacing w:after="0" w:line="256" w:lineRule="exact"/>
        <w:rPr>
          <w:sz w:val="20"/>
          <w:szCs w:val="20"/>
          <w:color w:val="auto"/>
        </w:rPr>
      </w:pPr>
    </w:p>
    <w:p>
      <w:pPr>
        <w:ind w:left="900" w:hanging="244"/>
        <w:spacing w:after="0"/>
        <w:tabs>
          <w:tab w:leader="none" w:pos="9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ArriVent BioPharma, Inc.;</w:t>
      </w:r>
    </w:p>
    <w:p>
      <w:pPr>
        <w:spacing w:after="0" w:line="242" w:lineRule="exact"/>
        <w:rPr>
          <w:rFonts w:ascii="Times New Roman" w:cs="Times New Roman" w:eastAsia="Times New Roman" w:hAnsi="Times New Roman"/>
          <w:sz w:val="20"/>
          <w:szCs w:val="20"/>
          <w:color w:val="auto"/>
        </w:rPr>
      </w:pPr>
    </w:p>
    <w:p>
      <w:pPr>
        <w:ind w:right="140" w:firstLine="656"/>
        <w:spacing w:after="0" w:line="254" w:lineRule="auto"/>
        <w:tabs>
          <w:tab w:leader="none" w:pos="89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Times New Roman" w:cs="Times New Roman" w:eastAsia="Times New Roman" w:hAnsi="Times New Roman"/>
          <w:sz w:val="20"/>
          <w:szCs w:val="20"/>
          <w:color w:val="auto"/>
        </w:rPr>
      </w:pPr>
    </w:p>
    <w:p>
      <w:pPr>
        <w:ind w:right="20" w:firstLine="656"/>
        <w:spacing w:after="0" w:line="254" w:lineRule="auto"/>
        <w:tabs>
          <w:tab w:leader="none" w:pos="89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Times New Roman" w:cs="Times New Roman" w:eastAsia="Times New Roman" w:hAnsi="Times New Roman"/>
          <w:sz w:val="20"/>
          <w:szCs w:val="20"/>
          <w:color w:val="auto"/>
        </w:rPr>
      </w:pPr>
    </w:p>
    <w:p>
      <w:pPr>
        <w:ind w:right="440" w:firstLine="656"/>
        <w:spacing w:after="0" w:line="254" w:lineRule="auto"/>
        <w:tabs>
          <w:tab w:leader="none" w:pos="89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right="140" w:firstLine="656"/>
        <w:spacing w:after="0" w:line="249" w:lineRule="auto"/>
        <w:tabs>
          <w:tab w:leader="none" w:pos="90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Times New Roman" w:cs="Times New Roman" w:eastAsia="Times New Roman" w:hAnsi="Times New Roman"/>
          <w:sz w:val="20"/>
          <w:szCs w:val="20"/>
          <w:color w:val="auto"/>
        </w:rPr>
      </w:pPr>
    </w:p>
    <w:p>
      <w:pPr>
        <w:ind w:right="60" w:firstLine="656"/>
        <w:spacing w:after="0" w:line="254" w:lineRule="auto"/>
        <w:tabs>
          <w:tab w:leader="none" w:pos="91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Times New Roman" w:cs="Times New Roman" w:eastAsia="Times New Roman" w:hAnsi="Times New Roman"/>
          <w:sz w:val="20"/>
          <w:szCs w:val="20"/>
          <w:color w:val="auto"/>
        </w:rPr>
      </w:pPr>
    </w:p>
    <w:p>
      <w:pPr>
        <w:ind w:right="200" w:firstLine="656"/>
        <w:spacing w:after="0" w:line="254" w:lineRule="auto"/>
        <w:tabs>
          <w:tab w:leader="none" w:pos="85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ind w:right="60" w:firstLine="656"/>
        <w:spacing w:after="0" w:line="274" w:lineRule="auto"/>
        <w:tabs>
          <w:tab w:leader="none" w:pos="862"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ind w:right="140" w:firstLine="656"/>
        <w:spacing w:after="0" w:line="254" w:lineRule="auto"/>
        <w:tabs>
          <w:tab w:leader="none" w:pos="89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sz w:val="20"/>
          <w:szCs w:val="20"/>
          <w:color w:val="auto"/>
        </w:rPr>
      </w:pPr>
    </w:p>
    <w:p>
      <w:pPr>
        <w:ind w:right="240" w:firstLine="656"/>
        <w:spacing w:after="0" w:line="254" w:lineRule="auto"/>
        <w:tabs>
          <w:tab w:leader="none" w:pos="90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545465</wp:posOffset>
            </wp:positionV>
            <wp:extent cx="629221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4" w:name="page195"/>
    <w:bookmarkEnd w:id="194"/>
    <w:p>
      <w:pPr>
        <w:ind w:firstLine="656"/>
        <w:spacing w:after="0" w:line="269" w:lineRule="auto"/>
        <w:tabs>
          <w:tab w:leader="none" w:pos="91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3,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Zhengbin (Bing) Yao, Ph.D.</w:t>
      </w:r>
      <w:r>
        <w:rPr>
          <w:rFonts w:ascii="Times New Roman" w:cs="Times New Roman" w:eastAsia="Times New Roman" w:hAnsi="Times New Roman"/>
          <w:sz w:val="20"/>
          <w:szCs w:val="20"/>
          <w:color w:val="auto"/>
        </w:rPr>
        <w:t>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Zhengbin (Bing) Yao, Ph.D.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603" w:right="115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Winston Kung, MBA, certify that:</w:t>
      </w:r>
    </w:p>
    <w:p>
      <w:pPr>
        <w:spacing w:after="0" w:line="256" w:lineRule="exact"/>
        <w:rPr>
          <w:sz w:val="20"/>
          <w:szCs w:val="20"/>
          <w:color w:val="auto"/>
        </w:rPr>
      </w:pPr>
    </w:p>
    <w:p>
      <w:pPr>
        <w:ind w:left="900" w:hanging="244"/>
        <w:spacing w:after="0"/>
        <w:tabs>
          <w:tab w:leader="none" w:pos="9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ArriVent BioPharma, Inc.;</w:t>
      </w:r>
    </w:p>
    <w:p>
      <w:pPr>
        <w:spacing w:after="0" w:line="242" w:lineRule="exact"/>
        <w:rPr>
          <w:rFonts w:ascii="Times New Roman" w:cs="Times New Roman" w:eastAsia="Times New Roman" w:hAnsi="Times New Roman"/>
          <w:sz w:val="20"/>
          <w:szCs w:val="20"/>
          <w:color w:val="auto"/>
        </w:rPr>
      </w:pPr>
    </w:p>
    <w:p>
      <w:pPr>
        <w:ind w:right="140" w:firstLine="656"/>
        <w:spacing w:after="0" w:line="254" w:lineRule="auto"/>
        <w:tabs>
          <w:tab w:leader="none" w:pos="89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Times New Roman" w:cs="Times New Roman" w:eastAsia="Times New Roman" w:hAnsi="Times New Roman"/>
          <w:sz w:val="20"/>
          <w:szCs w:val="20"/>
          <w:color w:val="auto"/>
        </w:rPr>
      </w:pPr>
    </w:p>
    <w:p>
      <w:pPr>
        <w:ind w:right="20" w:firstLine="656"/>
        <w:spacing w:after="0" w:line="254" w:lineRule="auto"/>
        <w:tabs>
          <w:tab w:leader="none" w:pos="89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Times New Roman" w:cs="Times New Roman" w:eastAsia="Times New Roman" w:hAnsi="Times New Roman"/>
          <w:sz w:val="20"/>
          <w:szCs w:val="20"/>
          <w:color w:val="auto"/>
        </w:rPr>
      </w:pPr>
    </w:p>
    <w:p>
      <w:pPr>
        <w:ind w:right="440" w:firstLine="656"/>
        <w:spacing w:after="0" w:line="254" w:lineRule="auto"/>
        <w:tabs>
          <w:tab w:leader="none" w:pos="89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sz w:val="20"/>
          <w:szCs w:val="20"/>
          <w:color w:val="auto"/>
        </w:rPr>
      </w:pPr>
    </w:p>
    <w:p>
      <w:pPr>
        <w:ind w:right="140" w:firstLine="656"/>
        <w:spacing w:after="0" w:line="249" w:lineRule="auto"/>
        <w:tabs>
          <w:tab w:leader="none" w:pos="901"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Times New Roman" w:cs="Times New Roman" w:eastAsia="Times New Roman" w:hAnsi="Times New Roman"/>
          <w:sz w:val="20"/>
          <w:szCs w:val="20"/>
          <w:color w:val="auto"/>
        </w:rPr>
      </w:pPr>
    </w:p>
    <w:p>
      <w:pPr>
        <w:ind w:right="60" w:firstLine="656"/>
        <w:spacing w:after="0" w:line="254" w:lineRule="auto"/>
        <w:tabs>
          <w:tab w:leader="none" w:pos="91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sz w:val="20"/>
          <w:szCs w:val="20"/>
          <w:color w:val="auto"/>
        </w:rPr>
      </w:pPr>
    </w:p>
    <w:p>
      <w:pPr>
        <w:ind w:right="140" w:firstLine="706"/>
        <w:spacing w:after="0" w:line="254" w:lineRule="auto"/>
        <w:tabs>
          <w:tab w:leader="none" w:pos="901"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ind w:right="60" w:firstLine="656"/>
        <w:spacing w:after="0" w:line="274" w:lineRule="auto"/>
        <w:tabs>
          <w:tab w:leader="none" w:pos="862"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sz w:val="20"/>
          <w:szCs w:val="20"/>
          <w:color w:val="auto"/>
        </w:rPr>
      </w:pPr>
    </w:p>
    <w:p>
      <w:pPr>
        <w:ind w:right="140" w:firstLine="656"/>
        <w:spacing w:after="0" w:line="254" w:lineRule="auto"/>
        <w:tabs>
          <w:tab w:leader="none" w:pos="89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sz w:val="20"/>
          <w:szCs w:val="20"/>
          <w:color w:val="auto"/>
        </w:rPr>
      </w:pPr>
    </w:p>
    <w:p>
      <w:pPr>
        <w:ind w:right="240" w:firstLine="656"/>
        <w:spacing w:after="0" w:line="254" w:lineRule="auto"/>
        <w:tabs>
          <w:tab w:leader="none" w:pos="90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545465</wp:posOffset>
            </wp:positionV>
            <wp:extent cx="62922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6" w:name="page197"/>
    <w:bookmarkEnd w:id="196"/>
    <w:p>
      <w:pPr>
        <w:ind w:firstLine="656"/>
        <w:spacing w:after="0" w:line="269" w:lineRule="auto"/>
        <w:tabs>
          <w:tab w:leader="none" w:pos="91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3, 2025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20"/>
                <w:szCs w:val="20"/>
                <w:color w:val="auto"/>
              </w:rPr>
              <w:t>/s/ Winston Kung, MBA</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___</w:t>
            </w:r>
          </w:p>
        </w:tc>
      </w:tr>
      <w:tr>
        <w:trPr>
          <w:trHeight w:val="25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Winston Kung, MBA</w:t>
            </w:r>
          </w:p>
        </w:tc>
        <w:tc>
          <w:tcPr>
            <w:tcW w:w="3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603" w:right="1159" w:bottom="1440" w:gutter="0" w:footer="0" w:header="0"/>
        </w:sectPr>
      </w:pPr>
    </w:p>
    <w:bookmarkStart w:id="197" w:name="page198"/>
    <w:bookmarkEnd w:id="197"/>
    <w:p>
      <w:pPr>
        <w:ind w:left="7780"/>
        <w:spacing w:after="0"/>
        <w:rPr>
          <w:sz w:val="20"/>
          <w:szCs w:val="20"/>
          <w:color w:val="auto"/>
        </w:rPr>
      </w:pPr>
      <w:r>
        <w:rPr>
          <w:rFonts w:ascii="Times New Roman" w:cs="Times New Roman" w:eastAsia="Times New Roman" w:hAnsi="Times New Roman"/>
          <w:sz w:val="20"/>
          <w:szCs w:val="20"/>
          <w:color w:val="auto"/>
        </w:rPr>
        <w:t>Exhibit 32</w:t>
      </w:r>
    </w:p>
    <w:p>
      <w:pPr>
        <w:spacing w:after="0" w:line="25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0"/>
          <w:szCs w:val="20"/>
          <w:color w:val="auto"/>
        </w:rPr>
        <w:t>CERTIFICATIONS UNDER SECTION 906</w:t>
      </w:r>
    </w:p>
    <w:p>
      <w:pPr>
        <w:spacing w:after="0" w:line="24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Pursuant to section 906 of the Sarbanes-Oxley Act of 2002 (subsections (a) and (b) of section 1350, chapter 63 of title 18, United States Code), each of the undersigned officers of ArriVent BioPharma, Inc., a Delaware corporation (the “Company”), does hereby certify, to such officer’s knowledge, that:</w:t>
      </w:r>
    </w:p>
    <w:p>
      <w:pPr>
        <w:spacing w:after="0" w:line="215"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The Annual Report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Dated: March 3,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/s/ Zhengbin (Bing) Yao, Ph.D.____________________</w:t>
            </w:r>
          </w:p>
        </w:tc>
      </w:tr>
      <w:tr>
        <w:trPr>
          <w:trHeight w:val="256"/>
        </w:trPr>
        <w:tc>
          <w:tcPr>
            <w:tcW w:w="324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Zhengbin (Bing) Yao, Ph.D.</w:t>
            </w:r>
          </w:p>
        </w:tc>
      </w:tr>
      <w:tr>
        <w:trPr>
          <w:trHeight w:val="305"/>
        </w:trPr>
        <w:tc>
          <w:tcPr>
            <w:tcW w:w="324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62"/>
        </w:trPr>
        <w:tc>
          <w:tcPr>
            <w:tcW w:w="3240" w:type="dxa"/>
            <w:vAlign w:val="bottom"/>
          </w:tcPr>
          <w:p>
            <w:pPr>
              <w:spacing w:after="0"/>
              <w:rPr>
                <w:sz w:val="22"/>
                <w:szCs w:val="22"/>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Dated: March 3, 2025</w:t>
            </w:r>
          </w:p>
        </w:tc>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Winston Kung, MBA__________________________</w:t>
            </w:r>
          </w:p>
        </w:tc>
      </w:tr>
      <w:tr>
        <w:trPr>
          <w:trHeight w:val="256"/>
        </w:trPr>
        <w:tc>
          <w:tcPr>
            <w:tcW w:w="3900" w:type="dxa"/>
            <w:vAlign w:val="bottom"/>
          </w:tcPr>
          <w:p>
            <w:pPr>
              <w:spacing w:after="0"/>
              <w:rPr>
                <w:sz w:val="22"/>
                <w:szCs w:val="22"/>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Winston Kung, MBA</w:t>
            </w:r>
          </w:p>
        </w:tc>
        <w:tc>
          <w:tcPr>
            <w:tcW w:w="4080" w:type="dxa"/>
            <w:vAlign w:val="bottom"/>
          </w:tcPr>
          <w:p>
            <w:pPr>
              <w:spacing w:after="0"/>
              <w:rPr>
                <w:sz w:val="22"/>
                <w:szCs w:val="22"/>
                <w:color w:val="auto"/>
              </w:rPr>
            </w:pPr>
          </w:p>
        </w:tc>
      </w:tr>
      <w:tr>
        <w:trPr>
          <w:trHeight w:val="305"/>
        </w:trPr>
        <w:tc>
          <w:tcPr>
            <w:tcW w:w="390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900" w:type="dxa"/>
            <w:vAlign w:val="bottom"/>
          </w:tcPr>
          <w:p>
            <w:pPr>
              <w:spacing w:after="0"/>
              <w:rPr>
                <w:sz w:val="22"/>
                <w:szCs w:val="22"/>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(Principal Financial and Accounting Officer)</w:t>
            </w:r>
          </w:p>
        </w:tc>
      </w:tr>
      <w:tr>
        <w:trPr>
          <w:trHeight w:val="541"/>
        </w:trPr>
        <w:tc>
          <w:tcPr>
            <w:tcW w:w="3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1)"/>
      <w:numFmt w:val="decimal"/>
      <w:start w:val="2"/>
    </w:lvl>
  </w:abstractNum>
  <w:abstractNum w:abstractNumId="18">
    <w:nsid w:val="661E3F1E"/>
    <w:multiLevelType w:val="hybridMultilevel"/>
    <w:lvl w:ilvl="0">
      <w:lvlJc w:val="left"/>
      <w:lvlText w:val="(%1)"/>
      <w:numFmt w:val="lowerLetter"/>
      <w:start w:val="1"/>
    </w:lvl>
  </w:abstractNum>
  <w:abstractNum w:abstractNumId="19">
    <w:nsid w:val="5DC79EA8"/>
    <w:multiLevelType w:val="hybridMultilevel"/>
    <w:lvl w:ilvl="0">
      <w:lvlJc w:val="left"/>
      <w:lvlText w:val="%1."/>
      <w:numFmt w:val="decimal"/>
      <w:start w:val="217"/>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1)"/>
      <w:numFmt w:val="lowerRoman"/>
      <w:start w:val="2"/>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1)"/>
      <w:numFmt w:val="lowerRoman"/>
      <w:start w:val="1"/>
    </w:lvl>
  </w:abstractNum>
  <w:abstractNum w:abstractNumId="55">
    <w:nsid w:val="39EE015C"/>
    <w:multiLevelType w:val="hybridMultilevel"/>
    <w:lvl w:ilvl="0">
      <w:lvlJc w:val="left"/>
      <w:lvlText w:val="(%1)"/>
      <w:numFmt w:val="lowerRoman"/>
      <w:start w:val="5"/>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1)"/>
      <w:numFmt w:val="lowerRoman"/>
      <w:start w:val="3"/>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1)"/>
      <w:numFmt w:val="decimal"/>
      <w:start w:val="8"/>
    </w:lvl>
  </w:abstractNum>
  <w:abstractNum w:abstractNumId="75">
    <w:nsid w:val="7DE67713"/>
    <w:multiLevelType w:val="hybridMultilevel"/>
    <w:lvl w:ilvl="0">
      <w:lvlJc w:val="left"/>
      <w:lvlText w:val="(%1)"/>
      <w:numFmt w:val="lowerLetter"/>
      <w:start w:val="1"/>
    </w:lvl>
  </w:abstractNum>
  <w:abstractNum w:abstractNumId="76">
    <w:nsid w:val="555C55B5"/>
    <w:multiLevelType w:val="hybridMultilevel"/>
    <w:lvl w:ilvl="0">
      <w:lvlJc w:val="left"/>
      <w:lvlText w:val="(%1)"/>
      <w:numFmt w:val="decimal"/>
      <w:start w:val="10"/>
    </w:lvl>
  </w:abstractNum>
  <w:abstractNum w:abstractNumId="77">
    <w:nsid w:val="3FA62ACA"/>
    <w:multiLevelType w:val="hybridMultilevel"/>
    <w:lvl w:ilvl="0">
      <w:lvlJc w:val="left"/>
      <w:lvlText w:val="(%1)"/>
      <w:numFmt w:val="decimal"/>
      <w:start w:val="11"/>
    </w:lvl>
  </w:abstractNum>
  <w:abstractNum w:abstractNumId="78">
    <w:nsid w:val="14FCE74E"/>
    <w:multiLevelType w:val="hybridMultilevel"/>
    <w:lvl w:ilvl="0">
      <w:lvlJc w:val="left"/>
      <w:lvlText w:val="(%1)"/>
      <w:numFmt w:val="lowerRoman"/>
      <w:start w:val="1"/>
    </w:lvl>
  </w:abstractNum>
  <w:abstractNum w:abstractNumId="79">
    <w:nsid w:val="6A3DD3E8"/>
    <w:multiLevelType w:val="hybridMultilevel"/>
    <w:lvl w:ilvl="0">
      <w:lvlJc w:val="left"/>
      <w:lvlText w:val="●"/>
      <w:numFmt w:val="bullet"/>
      <w:start w:val="1"/>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
      <w:numFmt w:val="bullet"/>
      <w:start w:val="1"/>
    </w:lvl>
    <w:lvl w:ilvl="1">
      <w:lvlJc w:val="left"/>
      <w:lvlText w:val="%2"/>
      <w:numFmt w:val="decimal"/>
      <w:start w:val="104"/>
    </w:lvl>
  </w:abstractNum>
  <w:abstractNum w:abstractNumId="84">
    <w:nsid w:val="5092CA79"/>
    <w:multiLevelType w:val="hybridMultilevel"/>
    <w:lvl w:ilvl="0">
      <w:lvlJc w:val="left"/>
      <w:lvlText w:val="**"/>
      <w:numFmt w:val="bullet"/>
      <w:start w:val="1"/>
    </w:lvl>
    <w:lvl w:ilvl="1">
      <w:lvlJc w:val="left"/>
      <w:lvlText w:val="%2"/>
      <w:numFmt w:val="decimal"/>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1."/>
      <w:numFmt w:val="upperLetter"/>
      <w:start w:val="9"/>
    </w:lvl>
    <w:lvl w:ilvl="1">
      <w:lvlJc w:val="left"/>
      <w:lvlText w:val="●"/>
      <w:numFmt w:val="bullet"/>
      <w:start w:val="1"/>
    </w:lvl>
  </w:abstractNum>
  <w:abstractNum w:abstractNumId="88">
    <w:nsid w:val="2A155DBC"/>
    <w:multiLevelType w:val="hybridMultilevel"/>
    <w:lvl w:ilvl="0">
      <w:lvlJc w:val="left"/>
      <w:lvlText w:val="%1."/>
      <w:numFmt w:val="upperLetter"/>
      <w:start w:val="35"/>
    </w:lvl>
    <w:lvl w:ilvl="1">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1."/>
      <w:numFmt w:val="upperLetter"/>
      <w:start w:val="6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1)"/>
      <w:numFmt w:val="decimal"/>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1)"/>
      <w:numFmt w:val="decimal"/>
      <w:start w:val="2"/>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1)"/>
      <w:numFmt w:val="decimal"/>
      <w:start w:val="1"/>
    </w:lvl>
  </w:abstractNum>
  <w:abstractNum w:abstractNumId="100">
    <w:nsid w:val="3C5991AA"/>
    <w:multiLevelType w:val="hybridMultilevel"/>
    <w:lvl w:ilvl="0">
      <w:lvlJc w:val="left"/>
      <w:lvlText w:val="●"/>
      <w:numFmt w:val="bullet"/>
      <w:start w:val="1"/>
    </w:lvl>
  </w:abstractNum>
  <w:abstractNum w:abstractNumId="101">
    <w:nsid w:val="4BD8591A"/>
    <w:multiLevelType w:val="hybridMultilevel"/>
    <w:lvl w:ilvl="0">
      <w:lvlJc w:val="left"/>
      <w:lvlText w:val="(%1)"/>
      <w:numFmt w:val="decimal"/>
      <w:start w:val="4"/>
    </w:lvl>
  </w:abstractNum>
  <w:abstractNum w:abstractNumId="102">
    <w:nsid w:val="78DF6A55"/>
    <w:multiLevelType w:val="hybridMultilevel"/>
    <w:lvl w:ilvl="0">
      <w:lvlJc w:val="left"/>
      <w:lvlText w:val="%1."/>
      <w:numFmt w:val="upperLetter"/>
      <w:start w:val="22"/>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20"/>
    </w:lvl>
  </w:abstractNum>
  <w:abstractNum w:abstractNumId="109">
    <w:nsid w:val="4C9B0904"/>
    <w:multiLevelType w:val="hybridMultilevel"/>
    <w:lvl w:ilvl="0">
      <w:lvlJc w:val="left"/>
      <w:lvlText w:val="(%1)"/>
      <w:numFmt w:val="lowerRoman"/>
      <w:start w:val="1"/>
    </w:lvl>
  </w:abstractNum>
  <w:abstractNum w:abstractNumId="110">
    <w:nsid w:val="6AA7B75C"/>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111">
    <w:nsid w:val="1DF029D3"/>
    <w:multiLevelType w:val="hybridMultilevel"/>
    <w:lvl w:ilvl="0">
      <w:lvlJc w:val="left"/>
      <w:lvlText w:val="%1"/>
      <w:numFmt w:val="upperLetter"/>
      <w:start w:val="1"/>
    </w:lvl>
    <w:lvl w:ilvl="1">
      <w:lvlJc w:val="left"/>
      <w:lvlText w:val="%2."/>
      <w:numFmt w:val="upperLetter"/>
      <w:start w:val="6"/>
    </w:lvl>
    <w:lvl w:ilvl="2">
      <w:lvlJc w:val="left"/>
      <w:lvlText w:val="%3"/>
      <w:numFmt w:val="lowerRoman"/>
      <w:start w:val="1"/>
    </w:lvl>
  </w:abstractNum>
  <w:abstractNum w:abstractNumId="112">
    <w:nsid w:val="5675FF36"/>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113">
    <w:nsid w:val="3DD15094"/>
    <w:multiLevelType w:val="hybridMultilevel"/>
    <w:lvl w:ilvl="0">
      <w:lvlJc w:val="left"/>
      <w:lvlText w:val="%1."/>
      <w:numFmt w:val="upperLetter"/>
      <w:start w:val="61"/>
    </w:lvl>
    <w:lvl w:ilvl="1">
      <w:lvlJc w:val="left"/>
      <w:lvlText w:val="%2."/>
      <w:numFmt w:val="upperLetter"/>
      <w:start w:val="1"/>
    </w:lvl>
  </w:abstractNum>
  <w:abstractNum w:abstractNumId="114">
    <w:nsid w:val="3DB012B3"/>
    <w:multiLevelType w:val="hybridMultilevel"/>
    <w:lvl w:ilvl="0">
      <w:lvlJc w:val="left"/>
      <w:lvlText w:val="%1."/>
      <w:numFmt w:val="upperLetter"/>
      <w:start w:val="1"/>
    </w:lvl>
  </w:abstractNum>
  <w:abstractNum w:abstractNumId="115">
    <w:nsid w:val="2708C9AF"/>
    <w:multiLevelType w:val="hybridMultilevel"/>
    <w:lvl w:ilvl="0">
      <w:lvlJc w:val="left"/>
      <w:lvlText w:val="%1."/>
      <w:numFmt w:val="upperLetter"/>
      <w:start w:val="2"/>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1."/>
      <w:numFmt w:val="decimal"/>
      <w:start w:val="5"/>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Letter"/>
      <w:start w:val="2"/>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lowerLetter"/>
      <w:start w:val="1"/>
    </w:lvl>
    <w:lvl w:ilvl="1">
      <w:lvlJc w:val="left"/>
      <w:lvlText w:val="%2)"/>
      <w:numFmt w:val="lowerLetter"/>
      <w:start w:val="3"/>
    </w:lvl>
  </w:abstractNum>
  <w:abstractNum w:abstractNumId="124">
    <w:nsid w:val="2C6E4AFD"/>
    <w:multiLevelType w:val="hybridMultilevel"/>
    <w:lvl w:ilvl="0">
      <w:lvlJc w:val="left"/>
      <w:lvlText w:val="%1)"/>
      <w:numFmt w:val="lowerLetter"/>
      <w:start w:val="4"/>
    </w:lvl>
    <w:lvl w:ilvl="1">
      <w:lvlJc w:val="left"/>
      <w:lvlText w:val="%2"/>
      <w:numFmt w:val="lowerLetter"/>
      <w:start w:val="1"/>
    </w:lvl>
  </w:abstractNum>
  <w:abstractNum w:abstractNumId="125">
    <w:nsid w:val="17A1B582"/>
    <w:multiLevelType w:val="hybridMultilevel"/>
    <w:lvl w:ilvl="0">
      <w:lvlJc w:val="left"/>
      <w:lvlText w:val="%1."/>
      <w:numFmt w:val="decimal"/>
      <w:start w:val="5"/>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9"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jpeg"/><Relationship Id="rId239" Type="http://schemas.openxmlformats.org/officeDocument/2006/relationships/image" Target="media/image210.jpeg"/><Relationship Id="rId240" Type="http://schemas.openxmlformats.org/officeDocument/2006/relationships/image" Target="media/image211.png"/><Relationship Id="rId241" Type="http://schemas.openxmlformats.org/officeDocument/2006/relationships/image" Target="media/image212.jpeg"/><Relationship Id="rId242" Type="http://schemas.openxmlformats.org/officeDocument/2006/relationships/image" Target="media/image213.jpe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jpeg"/><Relationship Id="rId246" Type="http://schemas.openxmlformats.org/officeDocument/2006/relationships/image" Target="media/image217.jpe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jpeg"/><Relationship Id="rId250" Type="http://schemas.openxmlformats.org/officeDocument/2006/relationships/image" Target="media/image221.jpeg"/><Relationship Id="rId251" Type="http://schemas.openxmlformats.org/officeDocument/2006/relationships/image" Target="media/image222.png"/><Relationship Id="rId252" Type="http://schemas.openxmlformats.org/officeDocument/2006/relationships/image" Target="media/image223.jpeg"/><Relationship Id="rId253" Type="http://schemas.openxmlformats.org/officeDocument/2006/relationships/image" Target="media/image224.jpeg"/><Relationship Id="rId254" Type="http://schemas.openxmlformats.org/officeDocument/2006/relationships/image" Target="media/image225.png"/><Relationship Id="rId255" Type="http://schemas.openxmlformats.org/officeDocument/2006/relationships/image" Target="media/image226.jpeg"/><Relationship Id="rId256" Type="http://schemas.openxmlformats.org/officeDocument/2006/relationships/image" Target="media/image227.jpeg"/><Relationship Id="rId257" Type="http://schemas.openxmlformats.org/officeDocument/2006/relationships/image" Target="media/image228.png"/><Relationship Id="rId258" Type="http://schemas.openxmlformats.org/officeDocument/2006/relationships/image" Target="media/image229.jpeg"/><Relationship Id="rId259" Type="http://schemas.openxmlformats.org/officeDocument/2006/relationships/image" Target="media/image230.jpeg"/><Relationship Id="rId260" Type="http://schemas.openxmlformats.org/officeDocument/2006/relationships/image" Target="media/image231.png"/><Relationship Id="rId261" Type="http://schemas.openxmlformats.org/officeDocument/2006/relationships/image" Target="media/image232.jpeg"/><Relationship Id="rId262" Type="http://schemas.openxmlformats.org/officeDocument/2006/relationships/image" Target="media/image233.jpeg"/><Relationship Id="rId263" Type="http://schemas.openxmlformats.org/officeDocument/2006/relationships/image" Target="media/image234.png"/><Relationship Id="rId264" Type="http://schemas.openxmlformats.org/officeDocument/2006/relationships/image" Target="media/image235.jpeg"/><Relationship Id="rId265" Type="http://schemas.openxmlformats.org/officeDocument/2006/relationships/image" Target="media/image236.jpeg"/><Relationship Id="rId266" Type="http://schemas.openxmlformats.org/officeDocument/2006/relationships/image" Target="media/image237.png"/><Relationship Id="rId267" Type="http://schemas.openxmlformats.org/officeDocument/2006/relationships/image" Target="media/image238.jpeg"/><Relationship Id="rId268" Type="http://schemas.openxmlformats.org/officeDocument/2006/relationships/image" Target="media/image239.jpeg"/><Relationship Id="rId269" Type="http://schemas.openxmlformats.org/officeDocument/2006/relationships/image" Target="media/image240.png"/><Relationship Id="rId270" Type="http://schemas.openxmlformats.org/officeDocument/2006/relationships/image" Target="media/image241.jpeg"/><Relationship Id="rId271" Type="http://schemas.openxmlformats.org/officeDocument/2006/relationships/image" Target="media/image242.jpeg"/><Relationship Id="rId272" Type="http://schemas.openxmlformats.org/officeDocument/2006/relationships/image" Target="media/image243.png"/><Relationship Id="rId273" Type="http://schemas.openxmlformats.org/officeDocument/2006/relationships/image" Target="media/image244.jpeg"/><Relationship Id="rId274" Type="http://schemas.openxmlformats.org/officeDocument/2006/relationships/image" Target="media/image245.jpeg"/><Relationship Id="rId275" Type="http://schemas.openxmlformats.org/officeDocument/2006/relationships/image" Target="media/image246.png"/><Relationship Id="rId276" Type="http://schemas.openxmlformats.org/officeDocument/2006/relationships/image" Target="media/image247.jpeg"/><Relationship Id="rId277" Type="http://schemas.openxmlformats.org/officeDocument/2006/relationships/image" Target="media/image248.jpeg"/><Relationship Id="rId278" Type="http://schemas.openxmlformats.org/officeDocument/2006/relationships/image" Target="media/image249.png"/><Relationship Id="rId279" Type="http://schemas.openxmlformats.org/officeDocument/2006/relationships/image" Target="media/image250.jpeg"/><Relationship Id="rId280" Type="http://schemas.openxmlformats.org/officeDocument/2006/relationships/image" Target="media/image251.jpeg"/><Relationship Id="rId281" Type="http://schemas.openxmlformats.org/officeDocument/2006/relationships/image" Target="media/image252.png"/><Relationship Id="rId282" Type="http://schemas.openxmlformats.org/officeDocument/2006/relationships/image" Target="media/image253.jpeg"/><Relationship Id="rId283" Type="http://schemas.openxmlformats.org/officeDocument/2006/relationships/image" Target="media/image254.jpeg"/><Relationship Id="rId284" Type="http://schemas.openxmlformats.org/officeDocument/2006/relationships/image" Target="media/image255.png"/><Relationship Id="rId285" Type="http://schemas.openxmlformats.org/officeDocument/2006/relationships/image" Target="media/image256.jpeg"/><Relationship Id="rId286" Type="http://schemas.openxmlformats.org/officeDocument/2006/relationships/image" Target="media/image257.jpeg"/><Relationship Id="rId287" Type="http://schemas.openxmlformats.org/officeDocument/2006/relationships/image" Target="media/image258.png"/><Relationship Id="rId288" Type="http://schemas.openxmlformats.org/officeDocument/2006/relationships/image" Target="media/image259.jpeg"/><Relationship Id="rId289" Type="http://schemas.openxmlformats.org/officeDocument/2006/relationships/image" Target="media/image260.jpe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09" Type="http://schemas.openxmlformats.org/officeDocument/2006/relationships/hyperlink" Target="https://www.sec.gov/Archives/edgar/data/1868279/000110465924008228/tm2321853d25_ex3-1.htm" TargetMode="External"/><Relationship Id="rId210" Type="http://schemas.openxmlformats.org/officeDocument/2006/relationships/hyperlink" Target="https://www.sec.gov/Archives/edgar/data/1868279/000110465924008228/tm2321853d25_ex3-2.htm" TargetMode="External"/><Relationship Id="rId211" Type="http://schemas.openxmlformats.org/officeDocument/2006/relationships/hyperlink" Target="https://www.sec.gov/Archives/edgar/data/1868279/000110465924001804/tm2321853d13_ex4-1.htm" TargetMode="External"/><Relationship Id="rId212" Type="http://schemas.openxmlformats.org/officeDocument/2006/relationships/hyperlink" Target="https://www.sec.gov/Archives/edgar/data/1868279/000110465924001804/tm2321853d13_ex4-2.htm" TargetMode="External"/><Relationship Id="rId213" Type="http://schemas.openxmlformats.org/officeDocument/2006/relationships/hyperlink" Target="https://www.sec.gov/Archives/edgar/data/1868279/000155837024004280/tmb-20231231xex4d3.htm" TargetMode="External"/><Relationship Id="rId214" Type="http://schemas.openxmlformats.org/officeDocument/2006/relationships/hyperlink" Target="https://www.sec.gov/Archives/edgar/data/1868279/000110465924001804/tm2321853d13_ex10-1.htm" TargetMode="External"/><Relationship Id="rId215" Type="http://schemas.openxmlformats.org/officeDocument/2006/relationships/hyperlink" Target="https://www.sec.gov/Archives/edgar/data/1868279/000110465924001804/tm2321853d13_ex10-2.htm" TargetMode="External"/><Relationship Id="rId216" Type="http://schemas.openxmlformats.org/officeDocument/2006/relationships/hyperlink" Target="https://www.sec.gov/Archives/edgar/data/1868279/000110465924005364/tm2321853d16_ex10-3.htm" TargetMode="External"/><Relationship Id="rId217" Type="http://schemas.openxmlformats.org/officeDocument/2006/relationships/hyperlink" Target="https://www.sec.gov/Archives/edgar/data/1868279/000110465924001804/tm2321853d13_ex10-4.htm" TargetMode="External"/><Relationship Id="rId218" Type="http://schemas.openxmlformats.org/officeDocument/2006/relationships/hyperlink" Target="https://www.sec.gov/Archives/edgar/data/1868279/000110465924001804/tm2321853d13_ex10-5.htm" TargetMode="External"/><Relationship Id="rId220" Type="http://schemas.openxmlformats.org/officeDocument/2006/relationships/hyperlink" Target="https://www.sec.gov/Archives/edgar/data/1868279/000110465924001804/tm2321853d13_ex10-7.htm" TargetMode="External"/><Relationship Id="rId221" Type="http://schemas.openxmlformats.org/officeDocument/2006/relationships/hyperlink" Target="https://www.sec.gov/Archives/edgar/data/1868279/000110465924001804/tm2321853d13_ex10-8.htm" TargetMode="External"/><Relationship Id="rId222" Type="http://schemas.openxmlformats.org/officeDocument/2006/relationships/hyperlink" Target="https://www.sec.gov/Archives/edgar/data/1868279/000110465924001804/tm2321853d13_ex10-9.htm" TargetMode="External"/><Relationship Id="rId223" Type="http://schemas.openxmlformats.org/officeDocument/2006/relationships/hyperlink" Target="https://www.sec.gov/Archives/edgar/data/1868279/000110465924001804/tm2321853d13_ex10-10.htm" TargetMode="External"/><Relationship Id="rId224" Type="http://schemas.openxmlformats.org/officeDocument/2006/relationships/hyperlink" Target="https://www.sec.gov/Archives/edgar/data/1868279/000110465924001804/tm2321853d13_ex10-11.htm" TargetMode="External"/><Relationship Id="rId225" Type="http://schemas.openxmlformats.org/officeDocument/2006/relationships/hyperlink" Target="https://www.sec.gov/Archives/edgar/data/1868279/000110465924001804/tm2321853d13_ex10-12.htm" TargetMode="External"/><Relationship Id="rId226" Type="http://schemas.openxmlformats.org/officeDocument/2006/relationships/hyperlink" Target="https://www.sec.gov/Archives/edgar/data/1868279/000110465924001804/tm2321853d13_ex10-13.htm" TargetMode="External"/><Relationship Id="rId227" Type="http://schemas.openxmlformats.org/officeDocument/2006/relationships/hyperlink" Target="https://www.sec.gov/Archives/edgar/data/0001868279/000155837024015624/avbp-20240930xex10d1.htm" TargetMode="External"/><Relationship Id="rId228" Type="http://schemas.openxmlformats.org/officeDocument/2006/relationships/hyperlink" Target="https://www.sec.gov/Archives/edgar/data/1868279/000110465924001804/tm2321853d13_ex10-15.htm" TargetMode="External"/><Relationship Id="rId229" Type="http://schemas.openxmlformats.org/officeDocument/2006/relationships/hyperlink" Target="https://www.sec.gov/Archives/edgar/data/1868279/000155837024012236/avbp-20240630xex10d1.htm" TargetMode="External"/><Relationship Id="rId230" Type="http://schemas.openxmlformats.org/officeDocument/2006/relationships/hyperlink" Target="https://www.sec.gov/Archives/edgar/data/1868279/000110465924001804/tm2321853d13_ex21-1.htm" TargetMode="External"/><Relationship Id="rId231" Type="http://schemas.openxmlformats.org/officeDocument/2006/relationships/hyperlink" Target="https://www.sec.gov/Archives/edgar/data/1868279/000110465924001804/tm2321853d13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2025-03-03T06:28:40Z</dcterms:created>
  <dcterms:modified xsi:type="dcterms:W3CDTF">2025-03-03T06:28:40Z</dcterms:modified>
</cp:coreProperties>
</file>