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7065" cy="9422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942276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00" w:space="420"/>
            <w:col w:w="846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ORBIMED ADVISORS LLC</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601 LEXINGTON AVENUE, 54TH FLOOR</w:t>
      </w:r>
    </w:p>
    <w:p>
      <w:pPr>
        <w:spacing w:after="0" w:line="332"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10022</w:t>
            </w:r>
          </w:p>
        </w:tc>
      </w:tr>
      <w:tr>
        <w:trPr>
          <w:trHeight w:val="144"/>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jc w:val="right"/>
              <w:ind w:right="518"/>
              <w:spacing w:after="0"/>
              <w:rPr>
                <w:sz w:val="20"/>
                <w:szCs w:val="20"/>
                <w:color w:val="auto"/>
              </w:rPr>
            </w:pPr>
            <w:r>
              <w:rPr>
                <w:rFonts w:ascii="Arial" w:cs="Arial" w:eastAsia="Arial" w:hAnsi="Arial"/>
                <w:sz w:val="13"/>
                <w:szCs w:val="13"/>
                <w:color w:val="auto"/>
                <w:w w:val="96"/>
              </w:rPr>
              <w:t>Relationship of Reporting Person(s) to Issuer</w:t>
            </w:r>
          </w:p>
        </w:tc>
      </w:tr>
      <w:tr>
        <w:trPr>
          <w:trHeight w:val="207"/>
        </w:trPr>
        <w:tc>
          <w:tcPr>
            <w:tcW w:w="3820" w:type="dxa"/>
            <w:vAlign w:val="bottom"/>
            <w:gridSpan w:val="4"/>
          </w:tcPr>
          <w:p>
            <w:pPr>
              <w:ind w:left="60"/>
              <w:spacing w:after="0" w:line="20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ArriVent Biopharma,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AVBP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68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7"/>
                <w:szCs w:val="17"/>
                <w:color w:val="auto"/>
              </w:rPr>
            </w:pPr>
          </w:p>
        </w:tc>
      </w:tr>
      <w:tr>
        <w:trPr>
          <w:trHeight w:val="131"/>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1940" w:type="dxa"/>
            <w:vAlign w:val="bottom"/>
            <w:tcBorders>
              <w:top w:val="single" w:sz="8" w:color="0000EE"/>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ind w:left="80"/>
              <w:spacing w:after="0" w:line="106"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620" w:type="dxa"/>
            <w:vAlign w:val="bottom"/>
          </w:tcPr>
          <w:p>
            <w:pPr>
              <w:jc w:val="right"/>
              <w:ind w:right="398"/>
              <w:spacing w:after="0" w:line="106"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10% Owner</w:t>
            </w: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20" w:type="dxa"/>
            <w:vAlign w:val="bottom"/>
          </w:tcPr>
          <w:p>
            <w:pPr>
              <w:jc w:val="right"/>
              <w:ind w:right="278"/>
              <w:spacing w:after="0"/>
              <w:rPr>
                <w:sz w:val="20"/>
                <w:szCs w:val="20"/>
                <w:color w:val="auto"/>
              </w:rPr>
            </w:pPr>
            <w:r>
              <w:rPr>
                <w:rFonts w:ascii="Arial" w:cs="Arial" w:eastAsia="Arial" w:hAnsi="Arial"/>
                <w:sz w:val="13"/>
                <w:szCs w:val="13"/>
                <w:color w:val="auto"/>
              </w:rPr>
              <w:t>Other (specify</w:t>
            </w:r>
          </w:p>
        </w:tc>
      </w:tr>
      <w:tr>
        <w:trPr>
          <w:trHeight w:val="214"/>
        </w:trPr>
        <w:tc>
          <w:tcPr>
            <w:tcW w:w="21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01/30/2024</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below)</w:t>
            </w:r>
          </w:p>
        </w:tc>
        <w:tc>
          <w:tcPr>
            <w:tcW w:w="1620" w:type="dxa"/>
            <w:vAlign w:val="bottom"/>
          </w:tcPr>
          <w:p>
            <w:pPr>
              <w:jc w:val="right"/>
              <w:ind w:right="698"/>
              <w:spacing w:after="0"/>
              <w:rPr>
                <w:sz w:val="20"/>
                <w:szCs w:val="20"/>
                <w:color w:val="auto"/>
              </w:rPr>
            </w:pPr>
            <w:r>
              <w:rPr>
                <w:rFonts w:ascii="Arial" w:cs="Arial" w:eastAsia="Arial" w:hAnsi="Arial"/>
                <w:sz w:val="13"/>
                <w:szCs w:val="13"/>
                <w:color w:val="auto"/>
              </w:rPr>
              <w:t>below)</w:t>
            </w: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jc w:val="right"/>
              <w:ind w:right="278"/>
              <w:spacing w:after="0"/>
              <w:rPr>
                <w:sz w:val="20"/>
                <w:szCs w:val="20"/>
                <w:color w:val="auto"/>
              </w:rPr>
            </w:pPr>
            <w:r>
              <w:rPr>
                <w:rFonts w:ascii="Arial" w:cs="Arial" w:eastAsia="Arial" w:hAnsi="Arial"/>
                <w:sz w:val="13"/>
                <w:szCs w:val="13"/>
                <w:color w:val="auto"/>
                <w:w w:val="96"/>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15" w:lineRule="exact"/>
        <w:rPr>
          <w:sz w:val="24"/>
          <w:szCs w:val="24"/>
          <w:color w:val="auto"/>
        </w:rPr>
      </w:pPr>
    </w:p>
    <w:tbl>
      <w:tblPr>
        <w:tblLayout w:type="fixed"/>
        <w:tblInd w:w="4100" w:type="dxa"/>
        <w:tblCellMar>
          <w:top w:w="0" w:type="dxa"/>
          <w:left w:w="0" w:type="dxa"/>
          <w:bottom w:w="0" w:type="dxa"/>
          <w:right w:w="0" w:type="dxa"/>
        </w:tblCellMar>
      </w:tblPr>
      <w:tr>
        <w:trPr>
          <w:trHeight w:val="166"/>
        </w:trPr>
        <w:tc>
          <w:tcPr>
            <w:tcW w:w="220" w:type="dxa"/>
            <w:vAlign w:val="bottom"/>
          </w:tcPr>
          <w:p>
            <w:pPr>
              <w:spacing w:after="0"/>
              <w:rPr>
                <w:sz w:val="14"/>
                <w:szCs w:val="14"/>
                <w:color w:val="auto"/>
              </w:rPr>
            </w:pPr>
          </w:p>
        </w:tc>
        <w:tc>
          <w:tcPr>
            <w:tcW w:w="228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1"/>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2280" w:type="dxa"/>
            <w:vAlign w:val="bottom"/>
          </w:tcPr>
          <w:p>
            <w:pPr>
              <w:ind w:left="100"/>
              <w:spacing w:after="0"/>
              <w:rPr>
                <w:sz w:val="20"/>
                <w:szCs w:val="20"/>
                <w:color w:val="auto"/>
              </w:rPr>
            </w:pPr>
            <w:r>
              <w:rPr>
                <w:rFonts w:ascii="Arial" w:cs="Arial" w:eastAsia="Arial" w:hAnsi="Arial"/>
                <w:sz w:val="13"/>
                <w:szCs w:val="13"/>
                <w:color w:val="auto"/>
                <w:w w:val="95"/>
              </w:rPr>
              <w:t>Form filed by More than One Reporting</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228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2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23"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20" w:right="460"/>
        <w:spacing w:after="0" w:line="280"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4"/>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ind w:left="6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4"/>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40" w:type="dxa"/>
            <w:vAlign w:val="bottom"/>
            <w:gridSpan w:val="2"/>
          </w:tcPr>
          <w:p>
            <w:pPr>
              <w:ind w:left="6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4"/>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2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4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Pr>
          <w:p>
            <w:pPr>
              <w:spacing w:after="0"/>
              <w:rPr>
                <w:sz w:val="20"/>
                <w:szCs w:val="20"/>
                <w:color w:val="auto"/>
              </w:rPr>
            </w:pPr>
          </w:p>
        </w:tc>
        <w:tc>
          <w:tcPr>
            <w:tcW w:w="16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color w:val="0000FF"/>
              </w:rPr>
              <w:t>01/30/2024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jc w:val="center"/>
              <w:ind w:left="94"/>
              <w:spacing w:after="0"/>
              <w:rPr>
                <w:sz w:val="20"/>
                <w:szCs w:val="20"/>
                <w:color w:val="auto"/>
              </w:rPr>
            </w:pPr>
            <w:r>
              <w:rPr>
                <w:rFonts w:ascii="Times New Roman" w:cs="Times New Roman" w:eastAsia="Times New Roman" w:hAnsi="Times New Roman"/>
                <w:sz w:val="16"/>
                <w:szCs w:val="16"/>
                <w:color w:val="0000FF"/>
                <w:w w:val="99"/>
              </w:rPr>
              <w:t>821,827</w:t>
            </w:r>
          </w:p>
        </w:tc>
        <w:tc>
          <w:tcPr>
            <w:tcW w:w="80" w:type="dxa"/>
            <w:vAlign w:val="bottom"/>
          </w:tcPr>
          <w:p>
            <w:pPr>
              <w:spacing w:after="0"/>
              <w:rPr>
                <w:sz w:val="20"/>
                <w:szCs w:val="20"/>
                <w:color w:val="auto"/>
              </w:rPr>
            </w:pP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Pr>
          <w:p>
            <w:pPr>
              <w:spacing w:after="0"/>
              <w:rPr>
                <w:sz w:val="20"/>
                <w:szCs w:val="20"/>
                <w:color w:val="auto"/>
              </w:rPr>
            </w:pPr>
          </w:p>
        </w:tc>
        <w:tc>
          <w:tcPr>
            <w:tcW w:w="11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6"/>
                <w:szCs w:val="16"/>
                <w:color w:val="0000FF"/>
                <w:w w:val="99"/>
              </w:rPr>
              <w:t>821,827</w:t>
            </w:r>
          </w:p>
        </w:tc>
        <w:tc>
          <w:tcPr>
            <w:tcW w:w="34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110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42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top w:val="single" w:sz="8" w:color="2C2C2C"/>
            </w:tcBorders>
          </w:tcPr>
          <w:p>
            <w:pPr>
              <w:spacing w:after="0"/>
              <w:rPr>
                <w:sz w:val="20"/>
                <w:szCs w:val="20"/>
                <w:color w:val="auto"/>
              </w:rPr>
            </w:pPr>
          </w:p>
        </w:tc>
        <w:tc>
          <w:tcPr>
            <w:tcW w:w="1640" w:type="dxa"/>
            <w:vAlign w:val="bottom"/>
            <w:tcBorders>
              <w:top w:val="single" w:sz="8" w:color="2C2C2C"/>
            </w:tcBorders>
            <w:gridSpan w:val="2"/>
            <w:vMerge w:val="restart"/>
          </w:tcPr>
          <w:p>
            <w:pPr>
              <w:ind w:left="740"/>
              <w:spacing w:after="0"/>
              <w:rPr>
                <w:sz w:val="20"/>
                <w:szCs w:val="20"/>
                <w:color w:val="auto"/>
              </w:rPr>
            </w:pPr>
            <w:r>
              <w:rPr>
                <w:rFonts w:ascii="Times New Roman" w:cs="Times New Roman" w:eastAsia="Times New Roman" w:hAnsi="Times New Roman"/>
                <w:sz w:val="16"/>
                <w:szCs w:val="16"/>
                <w:color w:val="0000FF"/>
              </w:rPr>
              <w:t>01/30/2024</w:t>
            </w:r>
          </w:p>
        </w:tc>
        <w:tc>
          <w:tcPr>
            <w:tcW w:w="1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tcBorders>
              <w:top w:val="single" w:sz="8" w:color="2C2C2C"/>
            </w:tcBorders>
            <w:vMerge w:val="restart"/>
          </w:tcPr>
          <w:p>
            <w:pPr>
              <w:jc w:val="center"/>
              <w:ind w:left="94"/>
              <w:spacing w:after="0"/>
              <w:rPr>
                <w:sz w:val="20"/>
                <w:szCs w:val="20"/>
                <w:color w:val="auto"/>
              </w:rPr>
            </w:pPr>
            <w:r>
              <w:rPr>
                <w:rFonts w:ascii="Times New Roman" w:cs="Times New Roman" w:eastAsia="Times New Roman" w:hAnsi="Times New Roman"/>
                <w:sz w:val="16"/>
                <w:szCs w:val="16"/>
                <w:color w:val="0000FF"/>
                <w:w w:val="99"/>
              </w:rPr>
              <w:t>821,827</w:t>
            </w:r>
          </w:p>
        </w:tc>
        <w:tc>
          <w:tcPr>
            <w:tcW w:w="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Borders>
              <w:top w:val="single" w:sz="8" w:color="2C2C2C"/>
            </w:tcBorders>
          </w:tcPr>
          <w:p>
            <w:pPr>
              <w:spacing w:after="0"/>
              <w:rPr>
                <w:sz w:val="20"/>
                <w:szCs w:val="20"/>
                <w:color w:val="auto"/>
              </w:rPr>
            </w:pPr>
          </w:p>
        </w:tc>
        <w:tc>
          <w:tcPr>
            <w:tcW w:w="1180" w:type="dxa"/>
            <w:vAlign w:val="bottom"/>
            <w:tcBorders>
              <w:top w:val="single" w:sz="8" w:color="2C2C2C"/>
            </w:tcBorders>
            <w:gridSpan w:val="2"/>
            <w:vMerge w:val="restart"/>
          </w:tcPr>
          <w:p>
            <w:pPr>
              <w:jc w:val="center"/>
              <w:ind w:right="1"/>
              <w:spacing w:after="0"/>
              <w:rPr>
                <w:sz w:val="20"/>
                <w:szCs w:val="20"/>
                <w:color w:val="auto"/>
              </w:rPr>
            </w:pPr>
            <w:r>
              <w:rPr>
                <w:rFonts w:ascii="Times New Roman" w:cs="Times New Roman" w:eastAsia="Times New Roman" w:hAnsi="Times New Roman"/>
                <w:sz w:val="16"/>
                <w:szCs w:val="16"/>
                <w:color w:val="0000FF"/>
                <w:w w:val="99"/>
              </w:rPr>
              <w:t>821,827</w:t>
            </w:r>
          </w:p>
        </w:tc>
        <w:tc>
          <w:tcPr>
            <w:tcW w:w="3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110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42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top w:val="single" w:sz="8" w:color="2C2C2C"/>
            </w:tcBorders>
          </w:tcPr>
          <w:p>
            <w:pPr>
              <w:spacing w:after="0"/>
              <w:rPr>
                <w:sz w:val="20"/>
                <w:szCs w:val="20"/>
                <w:color w:val="auto"/>
              </w:rPr>
            </w:pPr>
          </w:p>
        </w:tc>
        <w:tc>
          <w:tcPr>
            <w:tcW w:w="1640" w:type="dxa"/>
            <w:vAlign w:val="bottom"/>
            <w:tcBorders>
              <w:top w:val="single" w:sz="8" w:color="2C2C2C"/>
            </w:tcBorders>
            <w:gridSpan w:val="2"/>
            <w:vMerge w:val="restart"/>
          </w:tcPr>
          <w:p>
            <w:pPr>
              <w:ind w:left="740"/>
              <w:spacing w:after="0"/>
              <w:rPr>
                <w:sz w:val="20"/>
                <w:szCs w:val="20"/>
                <w:color w:val="auto"/>
              </w:rPr>
            </w:pPr>
            <w:r>
              <w:rPr>
                <w:rFonts w:ascii="Times New Roman" w:cs="Times New Roman" w:eastAsia="Times New Roman" w:hAnsi="Times New Roman"/>
                <w:sz w:val="16"/>
                <w:szCs w:val="16"/>
                <w:color w:val="0000FF"/>
              </w:rPr>
              <w:t>01/30/2024</w:t>
            </w:r>
          </w:p>
        </w:tc>
        <w:tc>
          <w:tcPr>
            <w:tcW w:w="1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tcBorders>
              <w:top w:val="single" w:sz="8" w:color="2C2C2C"/>
            </w:tcBorders>
            <w:vMerge w:val="restart"/>
          </w:tcPr>
          <w:p>
            <w:pPr>
              <w:jc w:val="center"/>
              <w:ind w:left="94"/>
              <w:spacing w:after="0"/>
              <w:rPr>
                <w:sz w:val="20"/>
                <w:szCs w:val="20"/>
                <w:color w:val="auto"/>
              </w:rPr>
            </w:pPr>
            <w:r>
              <w:rPr>
                <w:rFonts w:ascii="Times New Roman" w:cs="Times New Roman" w:eastAsia="Times New Roman" w:hAnsi="Times New Roman"/>
                <w:sz w:val="16"/>
                <w:szCs w:val="16"/>
                <w:color w:val="0000FF"/>
                <w:w w:val="99"/>
              </w:rPr>
              <w:t>469,615</w:t>
            </w:r>
          </w:p>
        </w:tc>
        <w:tc>
          <w:tcPr>
            <w:tcW w:w="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Borders>
              <w:top w:val="single" w:sz="8" w:color="2C2C2C"/>
            </w:tcBorders>
          </w:tcPr>
          <w:p>
            <w:pPr>
              <w:spacing w:after="0"/>
              <w:rPr>
                <w:sz w:val="20"/>
                <w:szCs w:val="20"/>
                <w:color w:val="auto"/>
              </w:rPr>
            </w:pPr>
          </w:p>
        </w:tc>
        <w:tc>
          <w:tcPr>
            <w:tcW w:w="1180" w:type="dxa"/>
            <w:vAlign w:val="bottom"/>
            <w:tcBorders>
              <w:top w:val="single" w:sz="8" w:color="2C2C2C"/>
            </w:tcBorders>
            <w:gridSpan w:val="2"/>
            <w:vMerge w:val="restart"/>
          </w:tcPr>
          <w:p>
            <w:pPr>
              <w:jc w:val="center"/>
              <w:ind w:right="1"/>
              <w:spacing w:after="0"/>
              <w:rPr>
                <w:sz w:val="20"/>
                <w:szCs w:val="20"/>
                <w:color w:val="auto"/>
              </w:rPr>
            </w:pPr>
            <w:r>
              <w:rPr>
                <w:rFonts w:ascii="Times New Roman" w:cs="Times New Roman" w:eastAsia="Times New Roman" w:hAnsi="Times New Roman"/>
                <w:sz w:val="16"/>
                <w:szCs w:val="16"/>
                <w:color w:val="0000FF"/>
                <w:w w:val="99"/>
              </w:rPr>
              <w:t>1,291,442</w:t>
            </w:r>
          </w:p>
        </w:tc>
        <w:tc>
          <w:tcPr>
            <w:tcW w:w="3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110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42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top w:val="single" w:sz="8" w:color="2C2C2C"/>
            </w:tcBorders>
          </w:tcPr>
          <w:p>
            <w:pPr>
              <w:spacing w:after="0"/>
              <w:rPr>
                <w:sz w:val="20"/>
                <w:szCs w:val="20"/>
                <w:color w:val="auto"/>
              </w:rPr>
            </w:pPr>
          </w:p>
        </w:tc>
        <w:tc>
          <w:tcPr>
            <w:tcW w:w="1640" w:type="dxa"/>
            <w:vAlign w:val="bottom"/>
            <w:tcBorders>
              <w:top w:val="single" w:sz="8" w:color="2C2C2C"/>
            </w:tcBorders>
            <w:gridSpan w:val="2"/>
            <w:vMerge w:val="restart"/>
          </w:tcPr>
          <w:p>
            <w:pPr>
              <w:ind w:left="740"/>
              <w:spacing w:after="0"/>
              <w:rPr>
                <w:sz w:val="20"/>
                <w:szCs w:val="20"/>
                <w:color w:val="auto"/>
              </w:rPr>
            </w:pPr>
            <w:r>
              <w:rPr>
                <w:rFonts w:ascii="Times New Roman" w:cs="Times New Roman" w:eastAsia="Times New Roman" w:hAnsi="Times New Roman"/>
                <w:sz w:val="16"/>
                <w:szCs w:val="16"/>
                <w:color w:val="0000FF"/>
              </w:rPr>
              <w:t>01/30/2024</w:t>
            </w:r>
          </w:p>
        </w:tc>
        <w:tc>
          <w:tcPr>
            <w:tcW w:w="1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tcBorders>
              <w:top w:val="single" w:sz="8" w:color="2C2C2C"/>
            </w:tcBorders>
            <w:vMerge w:val="restart"/>
          </w:tcPr>
          <w:p>
            <w:pPr>
              <w:jc w:val="center"/>
              <w:ind w:left="94"/>
              <w:spacing w:after="0"/>
              <w:rPr>
                <w:sz w:val="20"/>
                <w:szCs w:val="20"/>
                <w:color w:val="auto"/>
              </w:rPr>
            </w:pPr>
            <w:r>
              <w:rPr>
                <w:rFonts w:ascii="Times New Roman" w:cs="Times New Roman" w:eastAsia="Times New Roman" w:hAnsi="Times New Roman"/>
                <w:sz w:val="16"/>
                <w:szCs w:val="16"/>
                <w:color w:val="0000FF"/>
                <w:w w:val="99"/>
              </w:rPr>
              <w:t>469,615</w:t>
            </w:r>
          </w:p>
        </w:tc>
        <w:tc>
          <w:tcPr>
            <w:tcW w:w="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Borders>
              <w:top w:val="single" w:sz="8" w:color="2C2C2C"/>
            </w:tcBorders>
          </w:tcPr>
          <w:p>
            <w:pPr>
              <w:spacing w:after="0"/>
              <w:rPr>
                <w:sz w:val="20"/>
                <w:szCs w:val="20"/>
                <w:color w:val="auto"/>
              </w:rPr>
            </w:pPr>
          </w:p>
        </w:tc>
        <w:tc>
          <w:tcPr>
            <w:tcW w:w="1180" w:type="dxa"/>
            <w:vAlign w:val="bottom"/>
            <w:tcBorders>
              <w:top w:val="single" w:sz="8" w:color="2C2C2C"/>
            </w:tcBorders>
            <w:gridSpan w:val="2"/>
            <w:vMerge w:val="restart"/>
          </w:tcPr>
          <w:p>
            <w:pPr>
              <w:jc w:val="center"/>
              <w:ind w:right="1"/>
              <w:spacing w:after="0"/>
              <w:rPr>
                <w:sz w:val="20"/>
                <w:szCs w:val="20"/>
                <w:color w:val="auto"/>
              </w:rPr>
            </w:pPr>
            <w:r>
              <w:rPr>
                <w:rFonts w:ascii="Times New Roman" w:cs="Times New Roman" w:eastAsia="Times New Roman" w:hAnsi="Times New Roman"/>
                <w:sz w:val="16"/>
                <w:szCs w:val="16"/>
                <w:color w:val="0000FF"/>
                <w:w w:val="99"/>
              </w:rPr>
              <w:t>1,291,442</w:t>
            </w:r>
          </w:p>
        </w:tc>
        <w:tc>
          <w:tcPr>
            <w:tcW w:w="3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110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42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top w:val="single" w:sz="8" w:color="2C2C2C"/>
            </w:tcBorders>
          </w:tcPr>
          <w:p>
            <w:pPr>
              <w:spacing w:after="0"/>
              <w:rPr>
                <w:sz w:val="20"/>
                <w:szCs w:val="20"/>
                <w:color w:val="auto"/>
              </w:rPr>
            </w:pPr>
          </w:p>
        </w:tc>
        <w:tc>
          <w:tcPr>
            <w:tcW w:w="1640" w:type="dxa"/>
            <w:vAlign w:val="bottom"/>
            <w:tcBorders>
              <w:top w:val="single" w:sz="8" w:color="2C2C2C"/>
            </w:tcBorders>
            <w:gridSpan w:val="2"/>
            <w:vMerge w:val="restart"/>
          </w:tcPr>
          <w:p>
            <w:pPr>
              <w:ind w:left="740"/>
              <w:spacing w:after="0"/>
              <w:rPr>
                <w:sz w:val="20"/>
                <w:szCs w:val="20"/>
                <w:color w:val="auto"/>
              </w:rPr>
            </w:pPr>
            <w:r>
              <w:rPr>
                <w:rFonts w:ascii="Times New Roman" w:cs="Times New Roman" w:eastAsia="Times New Roman" w:hAnsi="Times New Roman"/>
                <w:sz w:val="16"/>
                <w:szCs w:val="16"/>
                <w:color w:val="0000FF"/>
              </w:rPr>
              <w:t>01/30/2024</w:t>
            </w:r>
          </w:p>
        </w:tc>
        <w:tc>
          <w:tcPr>
            <w:tcW w:w="1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Borders>
              <w:top w:val="single" w:sz="8" w:color="2C2C2C"/>
            </w:tcBorders>
            <w:gridSpan w:val="2"/>
            <w:vMerge w:val="restart"/>
          </w:tcPr>
          <w:p>
            <w:pPr>
              <w:jc w:val="center"/>
              <w:ind w:left="14"/>
              <w:spacing w:after="0"/>
              <w:rPr>
                <w:sz w:val="20"/>
                <w:szCs w:val="20"/>
                <w:color w:val="auto"/>
              </w:rPr>
            </w:pPr>
            <w:r>
              <w:rPr>
                <w:rFonts w:ascii="Times New Roman" w:cs="Times New Roman" w:eastAsia="Times New Roman" w:hAnsi="Times New Roman"/>
                <w:sz w:val="16"/>
                <w:szCs w:val="16"/>
                <w:color w:val="0000FF"/>
                <w:w w:val="94"/>
              </w:rPr>
              <w:t>222,222</w:t>
            </w:r>
            <w:r>
              <w:rPr>
                <w:rFonts w:ascii="Times New Roman" w:cs="Times New Roman" w:eastAsia="Times New Roman" w:hAnsi="Times New Roman"/>
                <w:sz w:val="20"/>
                <w:szCs w:val="20"/>
                <w:color w:val="008000"/>
                <w:w w:val="94"/>
                <w:vertAlign w:val="superscript"/>
              </w:rPr>
              <w:t>(5)</w:t>
            </w:r>
          </w:p>
        </w:tc>
        <w:tc>
          <w:tcPr>
            <w:tcW w:w="52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18</w:t>
            </w:r>
          </w:p>
        </w:tc>
        <w:tc>
          <w:tcPr>
            <w:tcW w:w="20" w:type="dxa"/>
            <w:vAlign w:val="bottom"/>
            <w:tcBorders>
              <w:top w:val="single" w:sz="8" w:color="2C2C2C"/>
            </w:tcBorders>
          </w:tcPr>
          <w:p>
            <w:pPr>
              <w:spacing w:after="0"/>
              <w:rPr>
                <w:sz w:val="20"/>
                <w:szCs w:val="20"/>
                <w:color w:val="auto"/>
              </w:rPr>
            </w:pPr>
          </w:p>
        </w:tc>
        <w:tc>
          <w:tcPr>
            <w:tcW w:w="1180" w:type="dxa"/>
            <w:vAlign w:val="bottom"/>
            <w:tcBorders>
              <w:top w:val="single" w:sz="8" w:color="2C2C2C"/>
            </w:tcBorders>
            <w:gridSpan w:val="2"/>
            <w:vMerge w:val="restart"/>
          </w:tcPr>
          <w:p>
            <w:pPr>
              <w:jc w:val="center"/>
              <w:ind w:right="1"/>
              <w:spacing w:after="0"/>
              <w:rPr>
                <w:sz w:val="20"/>
                <w:szCs w:val="20"/>
                <w:color w:val="auto"/>
              </w:rPr>
            </w:pPr>
            <w:r>
              <w:rPr>
                <w:rFonts w:ascii="Times New Roman" w:cs="Times New Roman" w:eastAsia="Times New Roman" w:hAnsi="Times New Roman"/>
                <w:sz w:val="16"/>
                <w:szCs w:val="16"/>
                <w:color w:val="0000FF"/>
                <w:w w:val="99"/>
              </w:rPr>
              <w:t>1,513,664</w:t>
            </w:r>
          </w:p>
        </w:tc>
        <w:tc>
          <w:tcPr>
            <w:tcW w:w="3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11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(2)(4)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42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100" w:type="dxa"/>
            <w:vAlign w:val="bottom"/>
            <w:tcBorders>
              <w:top w:val="single" w:sz="8" w:color="2C2C2C"/>
            </w:tcBorders>
          </w:tcPr>
          <w:p>
            <w:pPr>
              <w:spacing w:after="0"/>
              <w:rPr>
                <w:sz w:val="20"/>
                <w:szCs w:val="20"/>
                <w:color w:val="auto"/>
              </w:rPr>
            </w:pPr>
          </w:p>
        </w:tc>
        <w:tc>
          <w:tcPr>
            <w:tcW w:w="1640" w:type="dxa"/>
            <w:vAlign w:val="bottom"/>
            <w:tcBorders>
              <w:top w:val="single" w:sz="8" w:color="2C2C2C"/>
            </w:tcBorders>
            <w:gridSpan w:val="2"/>
            <w:vMerge w:val="restart"/>
          </w:tcPr>
          <w:p>
            <w:pPr>
              <w:ind w:left="740"/>
              <w:spacing w:after="0"/>
              <w:rPr>
                <w:sz w:val="20"/>
                <w:szCs w:val="20"/>
                <w:color w:val="auto"/>
              </w:rPr>
            </w:pPr>
            <w:r>
              <w:rPr>
                <w:rFonts w:ascii="Times New Roman" w:cs="Times New Roman" w:eastAsia="Times New Roman" w:hAnsi="Times New Roman"/>
                <w:sz w:val="16"/>
                <w:szCs w:val="16"/>
                <w:color w:val="0000FF"/>
              </w:rPr>
              <w:t>01/30/2024</w:t>
            </w:r>
          </w:p>
        </w:tc>
        <w:tc>
          <w:tcPr>
            <w:tcW w:w="1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Borders>
              <w:top w:val="single" w:sz="8" w:color="2C2C2C"/>
            </w:tcBorders>
            <w:gridSpan w:val="2"/>
            <w:vMerge w:val="restart"/>
          </w:tcPr>
          <w:p>
            <w:pPr>
              <w:jc w:val="center"/>
              <w:ind w:left="14"/>
              <w:spacing w:after="0"/>
              <w:rPr>
                <w:sz w:val="20"/>
                <w:szCs w:val="20"/>
                <w:color w:val="auto"/>
              </w:rPr>
            </w:pPr>
            <w:r>
              <w:rPr>
                <w:rFonts w:ascii="Times New Roman" w:cs="Times New Roman" w:eastAsia="Times New Roman" w:hAnsi="Times New Roman"/>
                <w:sz w:val="16"/>
                <w:szCs w:val="16"/>
                <w:color w:val="0000FF"/>
                <w:w w:val="94"/>
              </w:rPr>
              <w:t>222,222</w:t>
            </w:r>
            <w:r>
              <w:rPr>
                <w:rFonts w:ascii="Times New Roman" w:cs="Times New Roman" w:eastAsia="Times New Roman" w:hAnsi="Times New Roman"/>
                <w:sz w:val="20"/>
                <w:szCs w:val="20"/>
                <w:color w:val="008000"/>
                <w:w w:val="94"/>
                <w:vertAlign w:val="superscript"/>
              </w:rPr>
              <w:t>(5)</w:t>
            </w:r>
          </w:p>
        </w:tc>
        <w:tc>
          <w:tcPr>
            <w:tcW w:w="520" w:type="dxa"/>
            <w:vAlign w:val="bottom"/>
            <w:tcBorders>
              <w:top w:val="single" w:sz="8" w:color="2C2C2C"/>
            </w:tcBorders>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18</w:t>
            </w:r>
          </w:p>
        </w:tc>
        <w:tc>
          <w:tcPr>
            <w:tcW w:w="20" w:type="dxa"/>
            <w:vAlign w:val="bottom"/>
            <w:tcBorders>
              <w:top w:val="single" w:sz="8" w:color="2C2C2C"/>
            </w:tcBorders>
          </w:tcPr>
          <w:p>
            <w:pPr>
              <w:spacing w:after="0"/>
              <w:rPr>
                <w:sz w:val="20"/>
                <w:szCs w:val="20"/>
                <w:color w:val="auto"/>
              </w:rPr>
            </w:pPr>
          </w:p>
        </w:tc>
        <w:tc>
          <w:tcPr>
            <w:tcW w:w="1180" w:type="dxa"/>
            <w:vAlign w:val="bottom"/>
            <w:tcBorders>
              <w:top w:val="single" w:sz="8" w:color="2C2C2C"/>
            </w:tcBorders>
            <w:gridSpan w:val="2"/>
            <w:vMerge w:val="restart"/>
          </w:tcPr>
          <w:p>
            <w:pPr>
              <w:jc w:val="center"/>
              <w:ind w:right="1"/>
              <w:spacing w:after="0"/>
              <w:rPr>
                <w:sz w:val="20"/>
                <w:szCs w:val="20"/>
                <w:color w:val="auto"/>
              </w:rPr>
            </w:pPr>
            <w:r>
              <w:rPr>
                <w:rFonts w:ascii="Times New Roman" w:cs="Times New Roman" w:eastAsia="Times New Roman" w:hAnsi="Times New Roman"/>
                <w:sz w:val="16"/>
                <w:szCs w:val="16"/>
                <w:color w:val="0000FF"/>
                <w:w w:val="99"/>
              </w:rPr>
              <w:t>1,513,664</w:t>
            </w:r>
          </w:p>
        </w:tc>
        <w:tc>
          <w:tcPr>
            <w:tcW w:w="3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5"/>
              </w:rPr>
              <w:t>See</w:t>
            </w:r>
          </w:p>
        </w:tc>
        <w:tc>
          <w:tcPr>
            <w:tcW w:w="68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11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(3)(4)</w:t>
            </w: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100" w:type="dxa"/>
            <w:vAlign w:val="bottom"/>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0" w:type="dxa"/>
            <w:vAlign w:val="bottom"/>
            <w:gridSpan w:val="12"/>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w w:val="97"/>
              </w:rPr>
              <w:t>Underlying</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ind w:right="14"/>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A</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jc w:val="center"/>
              <w:ind w:right="14"/>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821,827</w:t>
            </w:r>
          </w:p>
        </w:tc>
        <w:tc>
          <w:tcPr>
            <w:tcW w:w="20" w:type="dxa"/>
            <w:vAlign w:val="bottom"/>
          </w:tcPr>
          <w:p>
            <w:pPr>
              <w:spacing w:after="0"/>
              <w:rPr>
                <w:sz w:val="15"/>
                <w:szCs w:val="15"/>
                <w:color w:val="auto"/>
              </w:rPr>
            </w:pP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4"/>
                <w:szCs w:val="4"/>
                <w:color w:val="auto"/>
              </w:rPr>
            </w:pP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01/30/2024</w:t>
            </w:r>
          </w:p>
        </w:tc>
        <w:tc>
          <w:tcPr>
            <w:tcW w:w="1020" w:type="dxa"/>
            <w:vAlign w:val="bottom"/>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821,827</w:t>
            </w:r>
          </w:p>
        </w:tc>
        <w:tc>
          <w:tcPr>
            <w:tcW w:w="7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4"/>
                <w:szCs w:val="4"/>
                <w:color w:val="auto"/>
              </w:rPr>
            </w:pP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320" w:type="dxa"/>
            <w:vAlign w:val="bottom"/>
          </w:tcPr>
          <w:p>
            <w:pPr>
              <w:spacing w:after="0"/>
              <w:rPr>
                <w:sz w:val="4"/>
                <w:szCs w:val="4"/>
                <w:color w:val="auto"/>
              </w:rPr>
            </w:pPr>
          </w:p>
        </w:tc>
        <w:tc>
          <w:tcPr>
            <w:tcW w:w="8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Borders>
              <w:right w:val="single" w:sz="8" w:color="2C2C2C"/>
            </w:tcBorders>
            <w:gridSpan w:val="3"/>
            <w:vMerge w:val="restart"/>
          </w:tcPr>
          <w:p>
            <w:pPr>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(2)(4)</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Borders>
              <w:bottom w:val="single" w:sz="8" w:color="2C2C2C"/>
            </w:tcBorders>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A</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jc w:val="center"/>
              <w:ind w:right="14"/>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821,827</w:t>
            </w:r>
          </w:p>
        </w:tc>
        <w:tc>
          <w:tcPr>
            <w:tcW w:w="20" w:type="dxa"/>
            <w:vAlign w:val="bottom"/>
          </w:tcPr>
          <w:p>
            <w:pPr>
              <w:spacing w:after="0"/>
              <w:rPr>
                <w:sz w:val="15"/>
                <w:szCs w:val="15"/>
                <w:color w:val="auto"/>
              </w:rPr>
            </w:pP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4"/>
                <w:szCs w:val="4"/>
                <w:color w:val="auto"/>
              </w:rPr>
            </w:pP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01/30/2024</w:t>
            </w:r>
          </w:p>
        </w:tc>
        <w:tc>
          <w:tcPr>
            <w:tcW w:w="1020" w:type="dxa"/>
            <w:vAlign w:val="bottom"/>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821,827</w:t>
            </w:r>
          </w:p>
        </w:tc>
        <w:tc>
          <w:tcPr>
            <w:tcW w:w="7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4"/>
                <w:szCs w:val="4"/>
                <w:color w:val="auto"/>
              </w:rPr>
            </w:pP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320" w:type="dxa"/>
            <w:vAlign w:val="bottom"/>
          </w:tcPr>
          <w:p>
            <w:pPr>
              <w:spacing w:after="0"/>
              <w:rPr>
                <w:sz w:val="4"/>
                <w:szCs w:val="4"/>
                <w:color w:val="auto"/>
              </w:rPr>
            </w:pPr>
          </w:p>
        </w:tc>
        <w:tc>
          <w:tcPr>
            <w:tcW w:w="8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Borders>
              <w:right w:val="single" w:sz="8" w:color="2C2C2C"/>
            </w:tcBorders>
            <w:gridSpan w:val="3"/>
            <w:vMerge w:val="restart"/>
          </w:tcPr>
          <w:p>
            <w:pPr>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(3)(4)</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Borders>
              <w:bottom w:val="single" w:sz="8" w:color="2C2C2C"/>
            </w:tcBorders>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jc w:val="center"/>
              <w:ind w:right="14"/>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469,615</w:t>
            </w:r>
          </w:p>
        </w:tc>
        <w:tc>
          <w:tcPr>
            <w:tcW w:w="20" w:type="dxa"/>
            <w:vAlign w:val="bottom"/>
          </w:tcPr>
          <w:p>
            <w:pPr>
              <w:spacing w:after="0"/>
              <w:rPr>
                <w:sz w:val="15"/>
                <w:szCs w:val="15"/>
                <w:color w:val="auto"/>
              </w:rPr>
            </w:pP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4"/>
                <w:szCs w:val="4"/>
                <w:color w:val="auto"/>
              </w:rPr>
            </w:pP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01/30/2024</w:t>
            </w:r>
          </w:p>
        </w:tc>
        <w:tc>
          <w:tcPr>
            <w:tcW w:w="1020" w:type="dxa"/>
            <w:vAlign w:val="bottom"/>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469,615</w:t>
            </w:r>
          </w:p>
        </w:tc>
        <w:tc>
          <w:tcPr>
            <w:tcW w:w="7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4"/>
                <w:szCs w:val="4"/>
                <w:color w:val="auto"/>
              </w:rPr>
            </w:pP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320" w:type="dxa"/>
            <w:vAlign w:val="bottom"/>
          </w:tcPr>
          <w:p>
            <w:pPr>
              <w:spacing w:after="0"/>
              <w:rPr>
                <w:sz w:val="4"/>
                <w:szCs w:val="4"/>
                <w:color w:val="auto"/>
              </w:rPr>
            </w:pPr>
          </w:p>
        </w:tc>
        <w:tc>
          <w:tcPr>
            <w:tcW w:w="8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Borders>
              <w:right w:val="single" w:sz="8" w:color="2C2C2C"/>
            </w:tcBorders>
            <w:gridSpan w:val="3"/>
            <w:vMerge w:val="restart"/>
          </w:tcPr>
          <w:p>
            <w:pPr>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(2)(4)</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Borders>
              <w:bottom w:val="single" w:sz="8" w:color="2C2C2C"/>
            </w:tcBorders>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jc w:val="center"/>
              <w:ind w:right="14"/>
              <w:spacing w:after="0"/>
              <w:rPr>
                <w:sz w:val="20"/>
                <w:szCs w:val="20"/>
                <w:color w:val="auto"/>
              </w:rPr>
            </w:pPr>
            <w:r>
              <w:rPr>
                <w:rFonts w:ascii="Times New Roman" w:cs="Times New Roman" w:eastAsia="Times New Roman" w:hAnsi="Times New Roman"/>
                <w:sz w:val="10"/>
                <w:szCs w:val="10"/>
                <w:color w:val="008000"/>
              </w:rPr>
              <w:t>(6)</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469,615</w:t>
            </w:r>
          </w:p>
        </w:tc>
        <w:tc>
          <w:tcPr>
            <w:tcW w:w="20" w:type="dxa"/>
            <w:vAlign w:val="bottom"/>
          </w:tcPr>
          <w:p>
            <w:pPr>
              <w:spacing w:after="0"/>
              <w:rPr>
                <w:sz w:val="15"/>
                <w:szCs w:val="15"/>
                <w:color w:val="auto"/>
              </w:rPr>
            </w:pP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Preferred</w:t>
            </w:r>
          </w:p>
        </w:tc>
        <w:tc>
          <w:tcPr>
            <w:tcW w:w="760" w:type="dxa"/>
            <w:vAlign w:val="bottom"/>
            <w:vMerge w:val="continue"/>
          </w:tcPr>
          <w:p>
            <w:pPr>
              <w:spacing w:after="0"/>
              <w:rPr>
                <w:sz w:val="4"/>
                <w:szCs w:val="4"/>
                <w:color w:val="auto"/>
              </w:rPr>
            </w:pP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01/30/2024</w:t>
            </w:r>
          </w:p>
        </w:tc>
        <w:tc>
          <w:tcPr>
            <w:tcW w:w="1020" w:type="dxa"/>
            <w:vAlign w:val="bottom"/>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469,615</w:t>
            </w:r>
          </w:p>
        </w:tc>
        <w:tc>
          <w:tcPr>
            <w:tcW w:w="7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4"/>
                <w:szCs w:val="4"/>
                <w:color w:val="auto"/>
              </w:rPr>
            </w:pP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320" w:type="dxa"/>
            <w:vAlign w:val="bottom"/>
          </w:tcPr>
          <w:p>
            <w:pPr>
              <w:spacing w:after="0"/>
              <w:rPr>
                <w:sz w:val="4"/>
                <w:szCs w:val="4"/>
                <w:color w:val="auto"/>
              </w:rPr>
            </w:pPr>
          </w:p>
        </w:tc>
        <w:tc>
          <w:tcPr>
            <w:tcW w:w="8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Borders>
              <w:right w:val="single" w:sz="8" w:color="2C2C2C"/>
            </w:tcBorders>
            <w:gridSpan w:val="3"/>
            <w:vMerge w:val="restart"/>
          </w:tcPr>
          <w:p>
            <w:pPr>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(3)(4)</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5"/>
          </w:tcPr>
          <w:p>
            <w:pPr>
              <w:ind w:left="60"/>
              <w:spacing w:after="0" w:line="225"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10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4"/>
          </w:tcPr>
          <w:p>
            <w:pPr>
              <w:ind w:left="20"/>
              <w:spacing w:after="0" w:line="214" w:lineRule="exact"/>
              <w:rPr>
                <w:rFonts w:ascii="Times New Roman" w:cs="Times New Roman" w:eastAsia="Times New Roman" w:hAnsi="Times New Roman"/>
                <w:sz w:val="20"/>
                <w:szCs w:val="20"/>
                <w:color w:val="0000EE"/>
                <w:w w:val="99"/>
              </w:rPr>
            </w:pPr>
            <w:hyperlink r:id="rId12">
              <w:r>
                <w:rPr>
                  <w:rFonts w:ascii="Times New Roman" w:cs="Times New Roman" w:eastAsia="Times New Roman" w:hAnsi="Times New Roman"/>
                  <w:sz w:val="20"/>
                  <w:szCs w:val="20"/>
                  <w:color w:val="0000EE"/>
                  <w:w w:val="99"/>
                </w:rPr>
                <w:t>ORBIMED ADVISORS LLC</w:t>
              </w:r>
            </w:hyperlink>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tcPr>
          <w:p>
            <w:pPr>
              <w:ind w:left="36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6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601 LEXINGTON AVENUE, 54TH FLOOR</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10022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tcPr>
          <w:p>
            <w:pPr>
              <w:ind w:left="36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-4266565</wp:posOffset>
            </wp:positionV>
            <wp:extent cx="28575" cy="27597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759710"/>
                    </a:xfrm>
                    <a:prstGeom prst="rect">
                      <a:avLst/>
                    </a:prstGeom>
                    <a:noFill/>
                  </pic:spPr>
                </pic:pic>
              </a:graphicData>
            </a:graphic>
          </wp:anchor>
        </w:drawing>
      </w:r>
    </w:p>
    <w:p>
      <w:pPr>
        <w:spacing w:after="0" w:line="1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5" w:right="359" w:bottom="0" w:gutter="0" w:footer="0" w:header="0"/>
          <w:type w:val="continuous"/>
        </w:sectPr>
      </w:pPr>
    </w:p>
    <w:p>
      <w:pPr>
        <w:ind w:left="120"/>
        <w:spacing w:after="0"/>
        <w:rPr>
          <w:rFonts w:ascii="Times New Roman" w:cs="Times New Roman" w:eastAsia="Times New Roman" w:hAnsi="Times New Roman"/>
          <w:sz w:val="20"/>
          <w:szCs w:val="20"/>
          <w:u w:val="single" w:color="auto"/>
          <w:color w:val="0000EE"/>
        </w:rPr>
      </w:pPr>
      <w:hyperlink r:id="rId15">
        <w:r>
          <w:rPr>
            <w:rFonts w:ascii="Times New Roman" w:cs="Times New Roman" w:eastAsia="Times New Roman" w:hAnsi="Times New Roman"/>
            <w:sz w:val="20"/>
            <w:szCs w:val="20"/>
            <w:u w:val="single" w:color="auto"/>
            <w:color w:val="0000EE"/>
          </w:rPr>
          <w:t>OrbiMed Capital GP VIII LLC</w:t>
        </w:r>
      </w:hyperlink>
    </w:p>
    <w:p>
      <w:pPr>
        <w:sectPr>
          <w:pgSz w:w="11900" w:h="16838" w:orient="portrait"/>
          <w:cols w:equalWidth="0" w:num="1">
            <w:col w:w="11080"/>
          </w:cols>
          <w:pgMar w:left="460" w:top="21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6"/>
        </w:trPr>
        <w:tc>
          <w:tcPr>
            <w:tcW w:w="8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26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42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601 LEXINGTON AVENUE, 54TH FLOOR</w:t>
            </w:r>
          </w:p>
        </w:tc>
      </w:tr>
      <w:tr>
        <w:trPr>
          <w:trHeight w:val="194"/>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54"/>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4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10022</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26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600" w:type="dxa"/>
            <w:vAlign w:val="bottom"/>
            <w:gridSpan w:val="5"/>
          </w:tcPr>
          <w:p>
            <w:pPr>
              <w:ind w:left="20"/>
              <w:spacing w:after="0" w:line="214"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OrbiMed Advisors IV Ltd</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96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26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42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601 LEXINGTON AVENUE, 54TH FLOOR</w:t>
            </w:r>
          </w:p>
        </w:tc>
      </w:tr>
      <w:tr>
        <w:trPr>
          <w:trHeight w:val="194"/>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54"/>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4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10022</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26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78"/>
        </w:trPr>
        <w:tc>
          <w:tcPr>
            <w:tcW w:w="100" w:type="dxa"/>
            <w:vAlign w:val="bottom"/>
            <w:tcBorders>
              <w:bottom w:val="single" w:sz="8" w:color="2C2C2C"/>
            </w:tcBorders>
            <w:gridSpan w:val="2"/>
          </w:tcPr>
          <w:p>
            <w:pPr>
              <w:spacing w:after="0"/>
              <w:rPr>
                <w:sz w:val="6"/>
                <w:szCs w:val="6"/>
                <w:color w:val="auto"/>
              </w:rPr>
            </w:pPr>
          </w:p>
        </w:tc>
        <w:tc>
          <w:tcPr>
            <w:tcW w:w="2100" w:type="dxa"/>
            <w:vAlign w:val="bottom"/>
            <w:tcBorders>
              <w:bottom w:val="single" w:sz="8" w:color="2C2C2C"/>
            </w:tcBorders>
            <w:gridSpan w:val="2"/>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600" w:type="dxa"/>
            <w:vAlign w:val="bottom"/>
            <w:gridSpan w:val="5"/>
          </w:tcPr>
          <w:p>
            <w:pPr>
              <w:ind w:left="20"/>
              <w:spacing w:after="0" w:line="214"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OrbiMed Asia GP IV, L.P.</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96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440" w:type="dxa"/>
            <w:vAlign w:val="bottom"/>
            <w:gridSpan w:val="3"/>
          </w:tcPr>
          <w:p>
            <w:pPr>
              <w:ind w:left="26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42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0000FF"/>
              </w:rPr>
              <w:t>601 LEXINGTON AVENUE, 54TH FLOOR</w:t>
            </w:r>
          </w:p>
        </w:tc>
      </w:tr>
      <w:tr>
        <w:trPr>
          <w:trHeight w:val="194"/>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54"/>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4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10022</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440" w:type="dxa"/>
            <w:vAlign w:val="bottom"/>
            <w:gridSpan w:val="3"/>
          </w:tcPr>
          <w:p>
            <w:pPr>
              <w:ind w:left="26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bl>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07335" cy="429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7335" cy="42900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preferred stock automatically converted into common stock immediately upon completion of the Issuer's initial public offering on a 15.21-for-1 basis.</w:t>
      </w:r>
    </w:p>
    <w:p>
      <w:pPr>
        <w:spacing w:after="0" w:line="39" w:lineRule="exact"/>
        <w:rPr>
          <w:rFonts w:ascii="Times New Roman" w:cs="Times New Roman" w:eastAsia="Times New Roman" w:hAnsi="Times New Roman"/>
          <w:sz w:val="13"/>
          <w:szCs w:val="13"/>
          <w:color w:val="008000"/>
        </w:rPr>
      </w:pPr>
    </w:p>
    <w:p>
      <w:pPr>
        <w:ind w:left="20" w:right="40" w:hanging="2"/>
        <w:spacing w:after="0" w:line="256"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held of record by OrbiMed Asia Partners IV, L.P. ("OAP IV"). OrbiMed Asia GP IV, L.P. ("Asia GP IV") is the general partner of OAP IV and OrbiMed Advisors IV Limited ("Advisors IV") is the general partner of Asia GP IV. OrbiMed Advisors LLC ("OrbiMed Advisors") is the advisory company of OAP IV. By virtue of such relationships, Asia GP IV, Advisors IV, and OrbiMed Advisors may be deemed to have voting power and investment power over the securities held by OAP IV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OAP IV.</w:t>
      </w:r>
    </w:p>
    <w:p>
      <w:pPr>
        <w:spacing w:after="0" w:line="15" w:lineRule="exact"/>
        <w:rPr>
          <w:rFonts w:ascii="Times New Roman" w:cs="Times New Roman" w:eastAsia="Times New Roman" w:hAnsi="Times New Roman"/>
          <w:sz w:val="12"/>
          <w:szCs w:val="12"/>
          <w:color w:val="008000"/>
        </w:rPr>
      </w:pPr>
    </w:p>
    <w:p>
      <w:pPr>
        <w:ind w:left="20" w:hanging="2"/>
        <w:spacing w:after="0" w:line="232"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of record by OrbiMed Private Investments VIII, L.P. ("OPI VIII"). OrbiMed Capital GP VIII LLC ("GP VIII") is the general partner of OPI VIII and OrbiMed Advisors is the managing member of GP VIII.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VIII.</w:t>
      </w:r>
    </w:p>
    <w:p>
      <w:pPr>
        <w:spacing w:after="0" w:line="26" w:lineRule="exact"/>
        <w:rPr>
          <w:rFonts w:ascii="Times New Roman" w:cs="Times New Roman" w:eastAsia="Times New Roman" w:hAnsi="Times New Roman"/>
          <w:sz w:val="13"/>
          <w:szCs w:val="13"/>
          <w:color w:val="008000"/>
        </w:rPr>
      </w:pPr>
    </w:p>
    <w:p>
      <w:pPr>
        <w:ind w:left="20" w:right="100" w:hanging="2"/>
        <w:spacing w:after="0" w:line="232"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 on Form 4 is jointly filed by OrbiMed Advisors, GP VIII, Advisors IV, and Asia GP IV. Each of the Reporting Persons disclaims beneficial ownership of the securities reported herein for purposes of Rule 16a-1(a) under the Securities Exchange Act of 1934, as amended (the "Exchange Act"), except to the extent of its pecuniary interest therein, if any. The Reporting Persons have designated a representative, Carl L. Gordon, a member of OrbiMed Advisors, to serve on the Issuer's board of directors. This report shall not be deemed an admission that any such entity or person is a beneficial owner of such securities for purpose of Section 16 of the Exchange Act, or for any other purpose.</w:t>
      </w:r>
    </w:p>
    <w:p>
      <w:pPr>
        <w:spacing w:after="0" w:line="26"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purchased in the Issuer's initial public offering.</w:t>
      </w:r>
    </w:p>
    <w:p>
      <w:pPr>
        <w:spacing w:after="0" w:line="39" w:lineRule="exact"/>
        <w:rPr>
          <w:rFonts w:ascii="Times New Roman" w:cs="Times New Roman" w:eastAsia="Times New Roman" w:hAnsi="Times New Roman"/>
          <w:sz w:val="13"/>
          <w:szCs w:val="13"/>
          <w:color w:val="008000"/>
        </w:rPr>
      </w:pPr>
    </w:p>
    <w:p>
      <w:pPr>
        <w:ind w:left="20" w:right="1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preferred stock were convertible into the Issuer's common stock in accordance with the Issuer's Restated Certificate of Incorporation, as amended, immediately upon completion of the Issuer's initial public offering.</w:t>
      </w:r>
    </w:p>
    <w:p>
      <w:pPr>
        <w:sectPr>
          <w:pgSz w:w="11900" w:h="16838" w:orient="portrait"/>
          <w:cols w:equalWidth="0" w:num="1">
            <w:col w:w="10920"/>
          </w:cols>
          <w:pgMar w:left="480" w:top="291" w:right="499" w:bottom="1440" w:gutter="0" w:footer="0" w:header="0"/>
        </w:sectPr>
      </w:pPr>
    </w:p>
    <w:p>
      <w:pPr>
        <w:spacing w:after="0" w:line="4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OrbiMed Advisors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1304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Douglas Coon,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8801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801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8261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82613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OrbiMed Capital GP VIII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1292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9286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Douglas Coon,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8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8261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82613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OrbiMed Advisors IV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1273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Douglas Coon,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18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8261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82613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OrbiMed Asia GP IV,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-4445</wp:posOffset>
            </wp:positionV>
            <wp:extent cx="1268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Douglas Coon,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10045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045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-12065</wp:posOffset>
            </wp:positionV>
            <wp:extent cx="8261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826135" cy="8255"/>
                    </a:xfrm>
                    <a:prstGeom prst="rect">
                      <a:avLst/>
                    </a:prstGeom>
                    <a:noFill/>
                  </pic:spPr>
                </pic:pic>
              </a:graphicData>
            </a:graphic>
          </wp:anchor>
        </w:drawing>
      </w:r>
    </w:p>
    <w:p>
      <w:pPr>
        <w:spacing w:after="0" w:line="36"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01/31/2024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01/31/2024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01/31/2024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01/31/2024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737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39" w:lineRule="exact"/>
        <w:rPr>
          <w:sz w:val="20"/>
          <w:szCs w:val="20"/>
          <w:color w:val="auto"/>
        </w:rPr>
      </w:pPr>
    </w:p>
    <w:p>
      <w:pPr>
        <w:sectPr>
          <w:pgSz w:w="11900" w:h="16838" w:orient="portrait"/>
          <w:cols w:equalWidth="0" w:num="2">
            <w:col w:w="8640" w:space="140"/>
            <w:col w:w="2140"/>
          </w:cols>
          <w:pgMar w:left="480" w:top="291" w:right="49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28"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29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2" Type="http://schemas.openxmlformats.org/officeDocument/2006/relationships/hyperlink" Target="http://www.sec.gov/cgi-bin/browse-edgar?action=getcompany&amp;CIK=0001055951" TargetMode="External"/><Relationship Id="rId13" Type="http://schemas.openxmlformats.org/officeDocument/2006/relationships/hyperlink" Target="http://www.sec.gov/cgi-bin/browse-edgar?action=getcompany&amp;CIK=0001868279" TargetMode="External"/><Relationship Id="rId15" Type="http://schemas.openxmlformats.org/officeDocument/2006/relationships/hyperlink" Target="http://www.sec.gov/cgi-bin/browse-edgar?action=getcompany&amp;CIK=0001845804" TargetMode="External"/><Relationship Id="rId16" Type="http://schemas.openxmlformats.org/officeDocument/2006/relationships/hyperlink" Target="http://www.sec.gov/cgi-bin/browse-edgar?action=getcompany&amp;CIK=0001966835" TargetMode="External"/><Relationship Id="rId17" Type="http://schemas.openxmlformats.org/officeDocument/2006/relationships/hyperlink" Target="http://www.sec.gov/cgi-bin/browse-edgar?action=getcompany&amp;CIK=00019668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2024-01-31T15:22:18Z</dcterms:created>
  <dcterms:modified xsi:type="dcterms:W3CDTF">2024-01-31T15:22:18Z</dcterms:modified>
</cp:coreProperties>
</file>