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ArriVent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04272N102</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04272N102</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Sofinnova Venture Partners XI, L.P. ("SVP XI")</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1,696,752.00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1,696,752.00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1,696,752.00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1,696,752 shares, except that Sofinnova Management XI, L.P. ("SM XI LP"), the general partner of SVP XI, may be deemed to have sole voting power, Sofinnova Management XI, L.L.C. ("SM XI LLC"), the general partner of SM XI LP, may be deemed to have sole voting power, and Dr. James I. Healy ("Healy") and Dr. Maha Katabi ("Katabi"), the managing members of SM XI LLC, may be deemed to have shared power to vote these shares. Note to Row 6: See response to row 5. Note to Row 7: 1,696,752 shares, except that SM XI LP, the general partner of SVP XI, may be deemed to have sole dispositive power, SM XI LLC, the general partner of SM XI LP, may be deemed to have sole dispositive power, and Healy and Katabi, the managing members of SM XI LLC, may be deemed to have shared dispositive power over these shares. Note to Row 8: See response to row 7.</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04272N102</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Sofinnova Management XI, L.P. ("SM XI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1,696,752.00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1,696,752.00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1,696,752.00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1,696,752 shares, all of which are owned directly by SVP XI. SM XI LP, the general partner of SVP XI, may be deemed to have sole voting power, SM XI LLC, the general partner of SM XI LP, may be deemed to have sole voting power, and Healy and Katabi, the managing members of SM XI LLC, may be deemed to have shared power to vote these shares. Note to Row 6: See response to row 5. Note to Row 7: 1,696,752 shares, all of which are owned directly by SVP XI. SM XI LP, the general partner of SVP XI, may be deemed to have sole dispositive power, SM XI LLC, the general partner of SM XI LP, may be deemed to have sole dispositive power, and Healy and Katabi, the managing members of SM XI LLC, may be deemed to have shared dispositive power over these shares. Note to Row 8: See response to row 7.</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04272N102</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Sofinnova Management XI, L.L.C. ("SM XI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1,696,752.00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1,696,752.00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1,696,752.00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1,696,752 shares, all of which are owned directly by SVP XI. SM XI LP, the general partner of SVP XI, may be deemed to have sole voting power, SM XI LLC, the general partner of SM XI LP, may be deemed to have sole voting power, and Healy and Katabi, the managing members of SM XI LLC, may be deemed to have shared power to vote these shares. Note to Row 6: See response to row 5. Note to Row 7: 1,696,752 shares, all of which are owned directly by SVP XI. SM XI LP, the general partner of SVP XI, may be deemed to have sole dispositive power, SM XI LLC, the general partner of SM XI LP, may be deemed to have sole dispositive power, and Healy and Katabi, the managing members of SM XI LLC, may be deemed to have shared dispositive power over these shares. Note to Row 8: See response to row 7.</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04272N102</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 James I. Healy ("Healy")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1,696,752.00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1,696,752.00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1,696,752.00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6: 1,696,752 shares, all of which are owned directly by SVP XI. SM XI LP, the general partner of SVP XI, and SM XI LLC, the general partner of SM XI LP, may be deemed to have sole voting power over the shares owned by SVP XI, and Healy, a managing member of SM XI LLC, and a director of the Issuer, may be deemed to have shared power to vote these shares. Note to Row 8: 1,696,752 shares, all of which are owned directly by SVP XI. SM XI LP, the general partner of SVP XI, and SM XI LLC, the general partner of SM XI LP, may be deemed to have sole dispositive power, and Healy, a managing member of SM XI LLC, and a director of the Issuer, may be deemed to have shared power to dispose of these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04272N102</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 Maha Katabi ("Katabi")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1,696,752.00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1,696,752.00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1,696,752.00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6: 1,696,752 shares, all of which are owned directly by SVP XI. SM XI LP, the general partner of SVP XI, and SM XI LLC, the general partner of SM XI LP, may be deemed to have sole voting power over the shares owned by SVP XI, and Katabi, a managing member of SM XI LLC, may be deemed to have shared power to vote these shares. Note to Row 8: 1,696,752 shares, all of which are owned directly by SVP XI. SM XI LP, the general partner of SVP XI, may be deemed to have sole dispositive power, SM XI LLC, the general partner of SM XI LP, may be deemed to have sole dispositive power, and Katabi, a managing member of SM XI LLC, may be deemed to have shared dispositive power over these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ArriVent Biopharma, Inc.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 Campus Boulevard Suite 100, Newtown Square, PA 19073</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2.</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Sofinnova Venture Partners XI, L.P. ("SVP XI"), Sofinnova Management XI, L.P. ("SM XI LP"), Sofinnova Management XI, L.L.C. ("SM XI LLC"), Dr. James I. Healy ("Healy") and Dr. Maha Katabi ("Katabi"). The foregoing entities and individuals are collectively referred to as the "Reporting Persons." This Amendment No. 1 to Schedule 13G (this "Amendment") amends and restates in its entirety the Statement on Schedule 13G that was initially filed on November 12, 2024 (the "Original Schedule 13G"), on behalf of the Reporting Persons, in respect of shares of Common Stock, $0.0001 Par Value per Share ("Common Stock"), of ArriVent Biopharma, Inc. (the "Issuer").</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for each of the Reporting Persons is: c/o Sofinnova Investments, Inc. 3000 Sand Hill Road, Bldg. 3, Suite 150 Menlo Park, CA 94025</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Citizenship: </w:t>
            </w:r>
          </w:p>
          <w:p>
            <w:pPr>
              <w:pStyle w:val="TableContents"/>
              <w:bidi w:val="0"/>
              <w:spacing w:before="0" w:after="0"/>
              <w:jc w:val="left"/>
              <w:rPr/>
            </w:pPr>
            <w:r>
              <w:rPr/>
              <w:t>Each of SVP XI and SM XI LP is a Delaware limited partnership. SM XI LLC is a Delaware limited liability company. Healy is a U.S. citizen. Katabi is a Canadian citizen.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jc w:val="left"/>
              <w:rPr/>
            </w:pPr>
            <w:r>
              <w:rPr/>
              <w:t xml:space="preserve">CUSIP No.: </w:t>
            </w:r>
          </w:p>
          <w:p>
            <w:pPr>
              <w:pStyle w:val="TableContents"/>
              <w:bidi w:val="0"/>
              <w:spacing w:before="0" w:after="0"/>
              <w:jc w:val="left"/>
              <w:rPr/>
            </w:pPr>
            <w:r>
              <w:rPr/>
              <w:t>04272N102</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3.</w:t>
            </w:r>
          </w:p>
        </w:tc>
        <w:tc>
          <w:tcPr>
            <w:tcW w:w="891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(f)</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(g)</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(h)</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(j)</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(k)</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cover page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cover page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cover page for each Reporting Person. * Except to the extent of a Reporting Person's pecuniary interest therein, each Reporting Person disclaims beneficial ownership of such shares of Common Stock, except for the shares, if any, such Reporting Person holds of record.</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Under certain circumstances set forth in the limited partnership agreement of each of SVP XI and SM XI LP and the limited liability company agreement of SM XI LLC, the general and limited partners or members, as the case may be, of each of such entities may be deemed to have the right to receive dividends from, or the proceeds from, the sale of shares of the Issuer owned by each such entity of which they are a partner or member, as the case may be.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8.</w:t>
            </w:r>
          </w:p>
        </w:tc>
        <w:tc>
          <w:tcPr>
            <w:tcW w:w="891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9.</w:t>
            </w:r>
          </w:p>
        </w:tc>
        <w:tc>
          <w:tcPr>
            <w:tcW w:w="891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942" w:type="dxa"/>
        <w:jc w:val="left"/>
        <w:tblInd w:w="0" w:type="dxa"/>
        <w:tblLayout w:type="fixed"/>
        <w:tblCellMar>
          <w:top w:w="28" w:type="dxa"/>
          <w:left w:w="28" w:type="dxa"/>
          <w:bottom w:w="28" w:type="dxa"/>
          <w:right w:w="28" w:type="dxa"/>
        </w:tblCellMar>
      </w:tblPr>
      <w:tblGrid>
        <w:gridCol w:w="4971"/>
        <w:gridCol w:w="4971"/>
      </w:tblGrid>
      <w:tr>
        <w:trPr/>
        <w:tc>
          <w:tcPr>
            <w:tcW w:w="4971" w:type="dxa"/>
            <w:tcBorders/>
            <w:vAlign w:val="center"/>
          </w:tcPr>
          <w:p>
            <w:pPr>
              <w:pStyle w:val="TableContents"/>
              <w:bidi w:val="0"/>
              <w:spacing w:before="0" w:after="0"/>
              <w:jc w:val="left"/>
              <w:rPr/>
            </w:pPr>
            <w:r>
              <w:rPr/>
              <w:t>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0"/>
                    <w:jc w:val="left"/>
                    <w:rPr/>
                  </w:pPr>
                  <w:r>
                    <w:rPr/>
                    <w:t>Sofinnova Venture Partners XI, L.P. ("SVP XI")</w:t>
                  </w:r>
                </w:p>
              </w:tc>
            </w:tr>
          </w:tbl>
          <w:p>
            <w:pPr>
              <w:pStyle w:val="TableContents"/>
              <w:bidi w:val="0"/>
              <w:spacing w:before="0" w:after="283"/>
              <w:jc w:val="left"/>
              <w:rPr/>
            </w:pPr>
            <w:r>
              <w:rPr/>
            </w:r>
          </w:p>
        </w:tc>
        <w:tc>
          <w:tcPr>
            <w:tcW w:w="4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Nathalie Auber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Nathalie Auber, Attorney-in-Fact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03/05/2026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9706" w:type="dxa"/>
        <w:jc w:val="left"/>
        <w:tblInd w:w="0" w:type="dxa"/>
        <w:tblLayout w:type="fixed"/>
        <w:tblCellMar>
          <w:top w:w="28" w:type="dxa"/>
          <w:left w:w="28" w:type="dxa"/>
          <w:bottom w:w="28" w:type="dxa"/>
          <w:right w:w="28" w:type="dxa"/>
        </w:tblCellMar>
      </w:tblPr>
      <w:tblGrid>
        <w:gridCol w:w="4853"/>
        <w:gridCol w:w="4853"/>
      </w:tblGrid>
      <w:tr>
        <w:trPr/>
        <w:tc>
          <w:tcPr>
            <w:tcW w:w="4853" w:type="dxa"/>
            <w:tcBorders/>
            <w:vAlign w:val="center"/>
          </w:tcPr>
          <w:p>
            <w:pPr>
              <w:pStyle w:val="TableContents"/>
              <w:bidi w:val="0"/>
              <w:spacing w:before="0" w:after="0"/>
              <w:jc w:val="left"/>
              <w:rPr/>
            </w:pPr>
            <w:r>
              <w:rPr/>
              <w:t> </w:t>
            </w:r>
          </w:p>
          <w:tbl>
            <w:tblPr>
              <w:tblW w:w="4696" w:type="dxa"/>
              <w:jc w:val="left"/>
              <w:tblInd w:w="0" w:type="dxa"/>
              <w:tblLayout w:type="fixed"/>
              <w:tblCellMar>
                <w:top w:w="28" w:type="dxa"/>
                <w:left w:w="28" w:type="dxa"/>
                <w:bottom w:w="28" w:type="dxa"/>
                <w:right w:w="28" w:type="dxa"/>
              </w:tblCellMar>
            </w:tblPr>
            <w:tblGrid>
              <w:gridCol w:w="4696"/>
            </w:tblGrid>
            <w:tr>
              <w:trPr/>
              <w:tc>
                <w:tcPr>
                  <w:tcW w:w="4696" w:type="dxa"/>
                  <w:tcBorders/>
                  <w:vAlign w:val="center"/>
                </w:tcPr>
                <w:p>
                  <w:pPr>
                    <w:pStyle w:val="TableContents"/>
                    <w:bidi w:val="0"/>
                    <w:spacing w:before="0" w:after="0"/>
                    <w:jc w:val="left"/>
                    <w:rPr/>
                  </w:pPr>
                  <w:r>
                    <w:rPr/>
                    <w:t>Sofinnova Management XI, L.P. ("SM XI LP")</w:t>
                  </w:r>
                </w:p>
              </w:tc>
            </w:tr>
          </w:tbl>
          <w:p>
            <w:pPr>
              <w:pStyle w:val="TableContents"/>
              <w:bidi w:val="0"/>
              <w:spacing w:before="0" w:after="283"/>
              <w:jc w:val="left"/>
              <w:rPr/>
            </w:pPr>
            <w:r>
              <w:rPr/>
            </w:r>
          </w:p>
        </w:tc>
        <w:tc>
          <w:tcPr>
            <w:tcW w:w="48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Nathalie Auber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Nathalie Auber, Attorney-in-Fact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03/05/2026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27"/>
        <w:gridCol w:w="5078"/>
      </w:tblGrid>
      <w:tr>
        <w:trPr/>
        <w:tc>
          <w:tcPr>
            <w:tcW w:w="5127" w:type="dxa"/>
            <w:tcBorders/>
            <w:vAlign w:val="center"/>
          </w:tcPr>
          <w:p>
            <w:pPr>
              <w:pStyle w:val="TableContents"/>
              <w:bidi w:val="0"/>
              <w:spacing w:before="0" w:after="0"/>
              <w:jc w:val="left"/>
              <w:rPr/>
            </w:pPr>
            <w:r>
              <w:rPr/>
              <w:t> </w:t>
            </w:r>
          </w:p>
          <w:tbl>
            <w:tblPr>
              <w:tblW w:w="5116" w:type="dxa"/>
              <w:jc w:val="left"/>
              <w:tblInd w:w="0" w:type="dxa"/>
              <w:tblLayout w:type="fixed"/>
              <w:tblCellMar>
                <w:top w:w="28" w:type="dxa"/>
                <w:left w:w="28" w:type="dxa"/>
                <w:bottom w:w="28" w:type="dxa"/>
                <w:right w:w="28" w:type="dxa"/>
              </w:tblCellMar>
            </w:tblPr>
            <w:tblGrid>
              <w:gridCol w:w="5116"/>
            </w:tblGrid>
            <w:tr>
              <w:trPr/>
              <w:tc>
                <w:tcPr>
                  <w:tcW w:w="5116" w:type="dxa"/>
                  <w:tcBorders/>
                  <w:vAlign w:val="center"/>
                </w:tcPr>
                <w:p>
                  <w:pPr>
                    <w:pStyle w:val="TableContents"/>
                    <w:bidi w:val="0"/>
                    <w:spacing w:before="0" w:after="0"/>
                    <w:jc w:val="left"/>
                    <w:rPr/>
                  </w:pPr>
                  <w:r>
                    <w:rPr/>
                    <w:t>Sofinnova Management XI, L.L.C. ("SM XI LLC")</w:t>
                  </w:r>
                </w:p>
              </w:tc>
            </w:tr>
          </w:tbl>
          <w:p>
            <w:pPr>
              <w:pStyle w:val="TableContents"/>
              <w:bidi w:val="0"/>
              <w:spacing w:before="0" w:after="283"/>
              <w:jc w:val="left"/>
              <w:rPr/>
            </w:pPr>
            <w:r>
              <w:rPr/>
            </w:r>
          </w:p>
        </w:tc>
        <w:tc>
          <w:tcPr>
            <w:tcW w:w="50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Nathalie Auber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Nathalie Auber, Attorney-in-Fact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03/05/2026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Dr. James I. Healy ("Healy")</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Nathalie Auber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Nathalie Auber, Attorney-in-Fact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03/05/2026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Dr. Maha Katabi ("Katabi")</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Nathalie Auber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Nathalie Auber, Attorney-in-Fact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03/05/2026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*Executed pursuant to a Power of Attorney already on file with the appropriate agencies.</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283"/>
              <w:jc w:val="center"/>
              <w:rPr>
                <w:b/>
              </w:rPr>
            </w:pPr>
            <w:r>
              <w:rPr>
                <w:b/>
              </w:rPr>
              <w:t xml:space="preserve">Exhibit Information </w:t>
            </w:r>
          </w:p>
        </w:tc>
      </w:tr>
      <w:tr>
        <w:trPr/>
        <w:tc>
          <w:tcPr>
            <w:tcW w:w="4396" w:type="dxa"/>
            <w:tcBorders/>
            <w:vAlign w:val="center"/>
          </w:tcPr>
          <w:p>
            <w:pPr>
              <w:pStyle w:val="TableContents"/>
              <w:bidi w:val="0"/>
              <w:spacing w:before="0" w:after="283"/>
              <w:jc w:val="left"/>
              <w:rPr/>
            </w:pPr>
            <w:r>
              <w:rPr/>
              <w:t>Exhibit Exhibit A: Agreement of Joint Filing</w:t>
            </w:r>
          </w:p>
        </w:tc>
      </w:tr>
    </w:tbl>
    <w:p>
      <w:pPr>
        <w:pStyle w:val="TextBody"/>
        <w:bidi w:val="0"/>
        <w:jc w:val="left"/>
        <w:rPr/>
      </w:pPr>
      <w:bookmarkStart w:id="32" w:name="tm267934d2_ex99-a.htm"/>
      <w:bookmarkStart w:id="33" w:name="kstm267934d2_ex99a"/>
      <w:bookmarkEnd w:id="32"/>
      <w:bookmarkEnd w:id="33"/>
      <w:r>
        <w:rPr/>
        <w:t> </w:t>
      </w:r>
      <w:r>
        <w:br w:type="page"/>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Agreement of Joint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a single Schedule 13G (or any amendment thereto) relating to the Common Stock of ArriVent Biopharma, Inc. shall be filed on behalf of each of the undersigned and that this Agreement shall be filed as an exhibit to such Schedule 13G.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11, 2024</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350"/>
        <w:gridCol w:w="3440"/>
      </w:tblGrid>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SOFINNOVA VENTURE PARTNERS XI, L.P.,</w:t>
              <w:br/>
              <w:t>a Delaware Limited Partnership</w:t>
            </w:r>
          </w:p>
        </w:tc>
      </w:tr>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SOFINNOVA MANAGEMENT XI, L.P.,</w:t>
              <w:br/>
              <w:t>a Delaware Limited Partnership</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SOFINNOVA MANAGEMENT XI, L.L.C.,</w:t>
              <w:br/>
              <w:t>a Delaware Limited Liability Company</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4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Nathalie Auber</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Nathalie Auber</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r>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SOFINNOVA MANAGEMENT XI, L.P.,</w:t>
              <w:br/>
              <w:t>a Delaware Limited Partnership</w:t>
            </w:r>
          </w:p>
        </w:tc>
      </w:tr>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SOFINNOVA MANAGEMENT XI, L.L.C.,</w:t>
              <w:br/>
              <w:t>a Delaware Limited Liability Company</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4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Nathalie Auber</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Nathalie Auber</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r>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SOFINNOVA MANAGEMENT XI, L.L.C.,</w:t>
              <w:br/>
              <w:t>a Delaware Limited Liability Company</w:t>
            </w:r>
          </w:p>
        </w:tc>
      </w:tr>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Nathalie Auber</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Nathalie Auber</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r>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JAMES I. HEALY</w:t>
            </w:r>
          </w:p>
        </w:tc>
      </w:tr>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MAHA KATABI</w:t>
            </w:r>
          </w:p>
        </w:tc>
      </w:tr>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4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Nathalie Auber</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Nathalie Auber</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pursuant to a Power of Attorney already on file with the appropriate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2609</Words>
  <Characters>12700</Characters>
  <CharactersWithSpaces>15252</CharactersWithSpaces>
  <Paragraphs>459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