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Zhengbin (Bing) Yao,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ArriVent Biopharma,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 Campus Boulevard, Suite 100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Newtown Square, PA 19073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ArriVent Biopharma,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0001868279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Zhengbin (Bing) Yao: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Prospectus Summary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Overview, page 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furmonertinib is currently approved in China to treat classical EGFRm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NSCLC. 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all statements related to safety and efficacy to clarify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they only relate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classical EGFRm NSCLC and are based on NMPA's authority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biopharmaceutical products in China. Remove all other statements related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safety and efficacy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your registration statement. Such conclusions are within the sole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authority of the FDA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equivalent foreign regulator. Such statements include, but are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 to,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vMerge w:val="restart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"Furmonertinib.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..has demonstrated compelling efficacy and safety results in clinical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Zhengbin (Bing) Yao, Ph.D.</w:t>
            </w:r>
          </w:p>
        </w:tc>
        <w:tc>
          <w:tcPr>
            <w:tcW w:w="5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(Bing) Yao,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LastNameZhengbin</w:t>
            </w:r>
          </w:p>
        </w:tc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ArriVent Biopharma, Inc.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27,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NameArriVent</w:t>
            </w:r>
          </w:p>
        </w:tc>
        <w:tc>
          <w:tcPr>
            <w:tcW w:w="5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Biopharma,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94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27, 2023 Page 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 in NSCLC patients across a broader set of EGFR mutations (EGFRm) than are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served by approved AGFR TKKIs." (pages 1 and 95);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 clinical trials to date, across a patient population of over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patients,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furmonertinib has demonstrated compelling activity against a broad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 of EGFRm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380"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NSCLC, including both classical and uncommon EGFRm. . ." (page 2); "Furmonertinib retains many of the key advantages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third-generation EGFR TKIs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first- and second-generation EGFR TKIs including overcoming T790M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mutations that confer resistance, while also targeting a broader set of EGFRm." (page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108);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"Furmonertinib is potentially differentiated from third-generation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EGFR TKIs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for classic EGFRm NSCLC by its observed clinical activity against exon 20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insertions in FAVOUR clinical trial and compelling preclinical data against PACC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mutations." (page 108).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reference your trial observations that are described in more detail elsewhere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drawing a conclusion that a product candidate that has not yet been approved 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description of clinical trials to describe the objective results, rather than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conclusions. For example, rather than indicating that the FAVOUR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a 79% overall response rate, identify the clinical endpoints that lead you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Allist to conclude that it was a positive response and indicate the number of such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observations. For instance, was the overall response rate intended to indicate an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elimination of all tumors, a reduction in the number of tumors, a reduction in size of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tumors, a decline in growth in the number of size of tumors, or some other measure?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discussion of the results of the ongoing Phase 1b clinical trial (the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FAVOUR trial) with disclosure that these are interim results are subject to change. We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disclosure to this effect on pages 24 and 121.</w:t>
      </w: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"compelling" safety results. It is inappropriate to state or imply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 product that is still in clinical trials is safe. Generally, we will allow statements that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have been no serious adverse events. However, we note your disclosure indicating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there were treatment-related adverse events that resulted in trial participants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discontinuing their participation in the FAVOUR trial; 5.6% of FURLONG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participants experienced Grade 3 treatment-related adverse events; and 6 FAVOUR trial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participants experiencing serious adverse events and 12 participants experiencing Grade 3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higher treatment-related events. We note that Grade 3 events are generally defined as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severe or medically significant, requiring hospitalization or prolongation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hospitalization, or disabling. A serious adverse event is generally defined as one resulting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death, life threatening situation, hospitalization (initial or prolonged), disability 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permanent damage. Please revise your summary to quantify the number of events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 the definition of serious adverse events and quantify the number of occurrences.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revise your risk factor titled "Use of furmonertinib or any future product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could be associated with adverse side events or other safety risks, which could</w:t>
      </w:r>
    </w:p>
    <w:p>
      <w:pPr>
        <w:ind w:right="727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Zhengbin (Bing) Yao, Ph.D. ArriVent Biopharma, Inc. September 27,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delay or preclude regulatory approval..." appearing on page 21 to describe the number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 that meet the definition of serious adverse event, including all events that require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hospitalization or result in a prolonged hospitalization, and the number of each type of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event, and quantify the number of participants who discontinued their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participation due to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treatment-related adverse events.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pipeline table currently indicates you have completed Phase 1 and Phase 2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for 1L NSCLC EGFR Exon 20 INS Mutations. However, it appears that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FURTHER and FAVOUR clinical trials are Phase 1b trials for Exon 20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PACC.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there is no disclosure of your Phase 2 trial for 1L NSCLC EGFR Exon 20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 Mutations. Please explain why you believe the table reflects the current status of your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of 1L NSCLC EGFR Exon 20 Ins Mutations. If you have conducted a Phase</w:t>
      </w:r>
    </w:p>
    <w:p>
      <w:pPr>
        <w:ind w:right="21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trial, please describe it and the objective results of the trial. Our Furmonertinib Development Initiative,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sub-heading states that this is "[y]our Furmonertinib Development Initiative" and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"have designed a robust global clinical development plan[]," but we note that the table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clinical trials sponsored by third-parties Allist and InnoCare that appear unrelated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current pipeline. Please clarify how these clinical trials related to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furmonertinib programs. To the extent they relate to separate Allist and Innocare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programs, unrelated your current pipeline, explain why they are part of your development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initiative and why it is appropriate for you to include them in this table. Alternatively,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them from the clinical trial table. Please also define the terms "1L" and "2L+"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the table included in this section.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explain what additional information this table provides. It appears the table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largely redundant of your pipeline table, but in a different format. For example, with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your Furvent trial, your pipeline table already indicates you are in Phase 3 trials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treatment of 1L NSCLC EGFR Exon 20 Ins Mutations,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next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is topline data. With respect to the additional data, such as the information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the FURLONG trial, it is not clear how it relates to your candidates in development.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Team and Approach , 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LastNameZhengbin (Bing) Yao, Ph.D.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limit the disclosure of specific investors on this page to those identified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NameArriVent</w:t>
      </w:r>
    </w:p>
    <w:p>
      <w:pPr>
        <w:ind w:left="74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StockholderBiopharma,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173. Unlike the other investors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mentioned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this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table on 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page,27,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Catalyst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5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</w:t>
            </w:r>
          </w:p>
        </w:tc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3 does not appear to be included in the Principal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 table.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Zhengbin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(Bing) Yao, Ph.D.</w:t>
            </w:r>
          </w:p>
        </w:tc>
        <w:tc>
          <w:tcPr>
            <w:tcW w:w="51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(Bing) Yao,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LastNameZhengbin</w:t>
            </w: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ArriVent Biopharma, Inc.</w:t>
            </w: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27,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NameArriVent</w:t>
            </w:r>
          </w:p>
        </w:tc>
        <w:tc>
          <w:tcPr>
            <w:tcW w:w="5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Biopharma,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27, 2023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Several of the ongoing clinical trials for our lead product candidate, furmonertinib, are being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outside the United States. . ., page 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which ongoing clinical trials for furmonertinib are being conducted outside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United States.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are required by the FDA to obtain approval of a companion diagnostic in connection with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of any of our product candidates..., page 36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you have any reason to believe the approval of a companion diagnostic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device will be required in connection with any of your product candidates, please expand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discuss the circumstances. For example, given that many of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 are studying the efficacy of furmonertinib for NSCLC in patients with specific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mutations, is it likely that a companion diagnostic will be required to determine whether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 has the specific mutation or a diagnostic test to make such a determination readily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available?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you are advancing your development of furmonertinib for three different NSCLC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indications, please revise your use of proceeds to discuss the proceeds you intend to use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 each of these programs and specify how far in the clinical development process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reach with the proceeds of this offering.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devote proceeds from the offering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pre-commercial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 activities of furmonertinib. Please clarify if this use is with respect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furmonertinib 1L NSCLC EGFR Exon m20 Ins Mutations. Additionally, clarify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activities are contingent on successful completion of Phase 3 trials. Clarify that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 activities are contingent on receiving regulatory approval.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98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that you track outsourced clinical and preclinical study costs and other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research and development costs associated with your lead product candidate,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furmonertinib. You also disclose elsewhere that furmonertinib is currently being evaluated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multiple clinical trials across a range of epidermal growth factor receptor (EGFR)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mutations in non-small cell lung cancer (NSCLC), including a pivotal Phase 3 clinical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in exon 20 insertion mutations. Please revise to further disclose the research and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expenses you tracked for furmonertinib by each individual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indication, or if you do not track by indication, disclose that fact. Please also expand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fluctuation disclosures here to provide more robust quantitative or qualitative discussions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change drivers, trend and uncertainties. Refer to Item 303(b)(2) of Regulation S-X.</w:t>
      </w:r>
    </w:p>
    <w:p>
      <w:pPr>
        <w:ind w:right="727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Zhengbin (Bing) Yao, Ph.D. ArriVent Biopharma, Inc. September 27,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right="68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 Cash Flows, page 102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that your net cash used in operating activities for 2021 includes a $42.9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non-cash charge for acquired in-process research and development related to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Allist License Agreement. Since $40.0 million of the $42.9 million was a cash payment,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quantify the amount of cash versus non-cash payments in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total.</w:t>
      </w:r>
    </w:p>
    <w:p>
      <w:pPr>
        <w:ind w:right="25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Policies, Significant Judgments and Use of Estimates Determination of Fair Value of Our Common Stock, page 104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ind w:right="2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ectPr>
          <w:pgSz w:w="11900" w:h="16865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initial public offering and the estimated offering price.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information will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 facilitate our review of your accounting for equity issuances, including stock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compensation. Please discuss with the staff how to submit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Delete your statement that furmonertinib has the potential to become the standard of care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first-line EGFRm NSCLC patients with PACC mutations given preclinical activity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observed against these mutations together with its safety results in clinical trials. Such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inappropriately assume regulatory approval and results relative to alternative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Furmonertinib Development Initiative, page 109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anti-tumor activity is a reduction in tumors or no growth in tumors.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quantify the low rate of discontinuation due to treatment-related adverse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111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"the data obtained as of June 15, 2023 in your Phase 1b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FAVOUR clinical trial. . .supports the use of furmonertinib as a first line therapy." We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that, according to your table appearing on pages 3 and 109, this Phase 1b is still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LastNameZhengbin (Bing) Yao, Ph.D.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ongoing, is intended to be a proof of concept trial, and the use of furmonertinib has not yet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beenNameArriVent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Biopharma,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3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approved for exon</w:t>
            </w:r>
          </w:p>
        </w:tc>
        <w:tc>
          <w:tcPr>
            <w:tcW w:w="4420" w:type="dxa"/>
            <w:vAlign w:val="bottom"/>
          </w:tcPr>
          <w:p>
            <w:pPr>
              <w:ind w:left="9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Inc.delete this statement and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similar statements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efficacy.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27, 2023 Page 5</w:t>
            </w: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Zhengbin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(Bing) Yao, Ph.D.</w:t>
            </w: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67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LastNameZhengbin   (Bing) Yao,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ArriVent Biopharma,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27,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NameArriVent</w:t>
            </w:r>
          </w:p>
        </w:tc>
        <w:tc>
          <w:tcPr>
            <w:tcW w:w="5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Biopharma,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27, 2023 Page 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6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FAVOUR - Ongoing Phase 1b Clinical Trial in NSCLC Patients with EGFR Exon 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Insertion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Mutations, page 120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380" w:right="4559" w:hanging="1372"/>
        <w:spacing w:after="0" w:line="250" w:lineRule="auto"/>
        <w:tabs>
          <w:tab w:leader="none" w:pos="959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meaning of the following: "ORR per RECIST 1.1 by BICR;" and "OS."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quantify the secondary end points and provide data from the trials so that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reader will be able to determine if the end points were met.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meaning of ECOG in the table on page 121.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FURLONG - Completed Phase 3 Clinical Trial in Classical EGFRm First-Line NSCLC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FURLONG clinical trial in China, please confirm the trial was a head-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to-head trial with gefitnib. Alternatively, remove the comparisons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gefitnib.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Licenses, Partnerships and Collaborations, page 128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include your collaboration with Beijing InnoCare Pharma Co.,</w:t>
      </w:r>
    </w:p>
    <w:p>
      <w:pPr>
        <w:ind w:left="1380" w:right="5079" w:hanging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 This disclosure should: describe the collaboration goal(s);</w:t>
      </w:r>
    </w:p>
    <w:p>
      <w:pPr>
        <w:ind w:left="1380" w:right="21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identify the pipeline assets related to the collaboration, and; describe and quantify the benefits and obligations under 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including quantifying payments made to date, aggregate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 w:line="193" w:lineRule="auto"/>
        <w:framePr w:w="1660" w:h="146" w:wrap="auto" w:vAnchor="page" w:hAnchor="page" w:x="2920" w:y="621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Biopharma,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payments, royalty rates or applicable ranges, and term and termination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provisions.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there is a written agreement underlying this collaboration, please file this agreement as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exhibit to the registration statement. Refer to Item 601(b)(10)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when your obligation to pay royalties for all licensed products expires.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Aarvik Research Collaboration Agreement, page 130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the research agreement is funded.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amount of the "one-time non-refundable payment," that you would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 to make to Aarvik if you exercised the Option.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when the obligation to pay royalties will expire if you exercise the Option.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Manufacturing, page 131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whether your two third-party contract manufacturers, Zhejiang Raybow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 Company., Ltd. and WuXi SynTheAll Pharmaceutical company, Ltd., are</w:t>
      </w:r>
    </w:p>
    <w:p>
      <w:pPr>
        <w:ind w:left="120" w:right="7279" w:firstLine="84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located in China. Zhengbin (Bing) Yao, Ph.D.</w:t>
      </w:r>
    </w:p>
    <w:p>
      <w:pPr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LastNameZhengbin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(Bing) Yao,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ArriVent Biopharma,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NameArriVent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27, 2023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173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in a footnote to the table all natural persons who have voting and/or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power over the shares held by LAV Fund VI, L.P. and the entities affiliated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Octagon Capital Advisors LP and Hillhouse Investment Management,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ind w:right="46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7. Convertible Preferred Stock and Common Stock Convertible Preferred Stock, page F-12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report the Series A and B convertible preferred stocks as permanent equity. Please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respond to the following comments: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your analysis of the applicable guidance to support your conclusion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these convertible preferred stocks should not be classified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temporary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equity following ASC 480-10-S99-3A. In that regard, we note your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as filed under Exhibit 3.1 includes redemption clauses under situations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deemed liquidation.</w:t>
      </w:r>
    </w:p>
    <w:p>
      <w:pPr>
        <w:ind w:right="19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expand your disclosures to include all key terms for these convertible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stocks, including any redemption features, as well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adjusting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mechanism for their conversion price.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in the equity section of the statement of financial position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of liquidation preference of these convertible preferred stocks if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considerably in excess of the par or stated value of the shares. Refer to ASC 505-10-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50-4.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11. Allist License Agreement, page F-17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following: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and elsewhere as appropriate to disclose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under the Joint Clinical Collaboration Agreement, including how costs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profit are shared between parties.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your consideration whether the agreement is subject to ASC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808,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6" w:name="page7"/>
    <w:bookmarkEnd w:id="6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Collaborative Arrangements.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 so, please revise to provide all the required disclosures under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64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ASC 808-10-50,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any profit sharing arrangement.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For the research and development expenses related to the Clinical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Collaboration with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nature of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Allist as you disclosed here, please also revise to disclose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costs and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Zhengbin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their related global clinical studies.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(Bing) Yao,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LastNameZhengbin   (Bing) Yao,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ArriVent Biopharma, Inc.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27,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NameArriVent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Biopharma,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27, 2023 Page 8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8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202-551-4391 or Kevin Vaughn at 202-551-3494 if you have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Dillon Hagius at 202-551-7967 or Suzanne Hayes at 202-551-3675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John Rudy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1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8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30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3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2024-02-26T00:14:52Z</dcterms:created>
  <dcterms:modified xsi:type="dcterms:W3CDTF">2024-02-26T00:14:52Z</dcterms:modified>
</cp:coreProperties>
</file>