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14177d1_8k.htm"/>
      <w:bookmarkStart w:id="1" w:name="kstm2614177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5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May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ARRIVENT BIOPHARMA, INC.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C_edei--EntityFileNumber_c20260511"/>
            <w:bookmarkEnd w:id="6"/>
            <w:r>
              <w:rPr>
                <w:rFonts w:ascii="Times New Roman;Times;Serif" w:hAnsi="Times New Roman;Times;Serif"/>
                <w:b/>
                <w:sz w:val="20"/>
              </w:rPr>
              <w:t>001-41929</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86-3336099</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3215"/>
        <w:gridCol w:w="60"/>
        <w:gridCol w:w="845"/>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18 Campus Boulevard, </w:t>
            </w:r>
            <w:bookmarkStart w:id="9" w:name="xdx_905_edei--EntityAddressAddressLine2_"/>
            <w:bookmarkEnd w:id="9"/>
            <w:r>
              <w:rPr>
                <w:rFonts w:ascii="Times New Roman;Times;Serif" w:hAnsi="Times New Roman;Times;Serif"/>
                <w:b/>
                <w:i w:val="false"/>
                <w:caps w:val="false"/>
                <w:smallCaps w:val="false"/>
                <w:sz w:val="20"/>
              </w:rPr>
              <w:t>Suite 100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Newtown Square, </w:t>
            </w:r>
            <w:bookmarkStart w:id="11" w:name="xdx_900_edei--EntityAddressStateOrProvin"/>
            <w:bookmarkEnd w:id="11"/>
            <w:r>
              <w:rPr>
                <w:rFonts w:ascii="Times New Roman;Times;Serif" w:hAnsi="Times New Roman;Times;Serif"/>
                <w:b/>
                <w:i w:val="false"/>
                <w:caps w:val="false"/>
                <w:smallCaps w:val="false"/>
                <w:sz w:val="20"/>
              </w:rPr>
              <w:t>PA</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b/>
                <w:sz w:val="20"/>
              </w:rPr>
            </w:pPr>
            <w:bookmarkStart w:id="12" w:name="xdx_90B_edei--EntityAddressPostalZipCode"/>
            <w:bookmarkEnd w:id="12"/>
            <w:r>
              <w:rPr>
                <w:rFonts w:ascii="Times New Roman;Times;Serif" w:hAnsi="Times New Roman;Times;Serif"/>
                <w:b/>
                <w:sz w:val="20"/>
              </w:rPr>
              <w:t>19073</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w:t>
      </w:r>
      <w:bookmarkStart w:id="13" w:name="xdx_909_edei--CityAreaCode_c20260511__20"/>
      <w:bookmarkEnd w:id="13"/>
      <w:r>
        <w:rPr>
          <w:rFonts w:ascii="Times New Roman;Times;Serif" w:hAnsi="Times New Roman;Times;Serif"/>
          <w:b/>
          <w:i w:val="false"/>
          <w:caps w:val="false"/>
          <w:smallCaps w:val="false"/>
          <w:sz w:val="20"/>
        </w:rPr>
        <w:t xml:space="preserve">628) </w:t>
      </w:r>
      <w:bookmarkStart w:id="14" w:name="xdx_906_edei--LocalPhoneNumber_c20260511"/>
      <w:bookmarkEnd w:id="14"/>
      <w:r>
        <w:rPr>
          <w:rFonts w:ascii="Times New Roman;Times;Serif" w:hAnsi="Times New Roman;Times;Serif"/>
          <w:b/>
          <w:i w:val="false"/>
          <w:caps w:val="false"/>
          <w:smallCaps w:val="false"/>
          <w:sz w:val="20"/>
        </w:rPr>
        <w:t>277-4836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0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4_edei--SolicitingMaterial_c202605"/>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1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A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440" w:type="dxa"/>
        <w:jc w:val="left"/>
        <w:tblInd w:w="0" w:type="dxa"/>
        <w:tblLayout w:type="fixed"/>
        <w:tblCellMar>
          <w:top w:w="0" w:type="dxa"/>
          <w:left w:w="0" w:type="dxa"/>
          <w:bottom w:w="30" w:type="dxa"/>
          <w:right w:w="0" w:type="dxa"/>
        </w:tblCellMar>
      </w:tblPr>
      <w:tblGrid>
        <w:gridCol w:w="3785"/>
        <w:gridCol w:w="60"/>
        <w:gridCol w:w="860"/>
        <w:gridCol w:w="60"/>
        <w:gridCol w:w="2675"/>
      </w:tblGrid>
      <w:tr>
        <w:trPr/>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78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F_edei--Security12bTitle_c20260511"/>
            <w:bookmarkEnd w:id="19"/>
            <w:r>
              <w:rPr>
                <w:rFonts w:ascii="Times New Roman;Times;Serif" w:hAnsi="Times New Roman;Times;Serif"/>
                <w:b/>
                <w:sz w:val="20"/>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6_edei--TradingSymbol_c20260511__2"/>
            <w:bookmarkEnd w:id="20"/>
            <w:r>
              <w:rPr>
                <w:rFonts w:ascii="Times New Roman;Times;Serif" w:hAnsi="Times New Roman;Times;Serif"/>
                <w:b/>
                <w:sz w:val="20"/>
              </w:rPr>
              <w:t>AVBP</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7_edei--SecurityExchangeName_c2026"/>
            <w:bookmarkEnd w:id="21"/>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C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A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ArriVent BioPharma, Inc. (the “Company”) filed with the Securities and Exchange Commission (the “SEC”) a prospectus supplement (the “Prospectus Supplement”), dated May 11, 2026, with respect to the Company’s existing “at the market offering” program (the “ATM Program”). Pursuant to the Prospectus Supplement, the Company may offer and sell shares of its common stock having an aggregate offering price of up to $250,000,000, from time to time, through Jefferies LLC as sales agent, pursuant to the Open Market Sale Agreement</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dated as of February 3, 2025, by and between the Company and Jefferies LLC (the “Sales Agreement”). The Prospectus Supplement was filed pursuant to the automatic shelf registration statement on Form S-3ASR (File No. 333-284661) previously filed with the SEC on February 3, 2025, which became effective upon the filing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Sales Agreement is filed as Exhibit 1.1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filing of the Prospectus Supplement, the Company is filing as Exhibit 5.1 hereto the opinion of its counsel, Mintz, Levin, Cohn, Ferris, Glovsky and Popeo,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9420"/>
      </w:tblGrid>
      <w:tr>
        <w:trPr/>
        <w:tc>
          <w:tcPr>
            <w:tcW w:w="7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vAlign w:val="center"/>
          </w:tcPr>
          <w:p>
            <w:pPr>
              <w:pStyle w:val="TableContents"/>
              <w:bidi w:val="0"/>
              <w:spacing w:before="0" w:after="283"/>
              <w:jc w:val="left"/>
              <w:rPr/>
            </w:pPr>
            <w:hyperlink r:id="rId2">
              <w:r>
                <w:rPr>
                  <w:rStyle w:val="InternetLink"/>
                  <w:sz w:val="20"/>
                </w:rPr>
                <w:t>1.1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3">
              <w:r>
                <w:rPr>
                  <w:rStyle w:val="InternetLink"/>
                  <w:rFonts w:ascii="Times New Roman;Times;Serif" w:hAnsi="Times New Roman;Times;Serif"/>
                  <w:sz w:val="20"/>
                </w:rPr>
                <w:t>Open Market Sale Agreement</w:t>
              </w:r>
            </w:hyperlink>
            <w:hyperlink r:id="rId4">
              <w:r>
                <w:rPr>
                  <w:rStyle w:val="InternetLink"/>
                  <w:rFonts w:ascii="Times New Roman;Times;Serif" w:hAnsi="Times New Roman;Times;Serif"/>
                  <w:position w:val="7"/>
                  <w:sz w:val="16"/>
                  <w:sz w:val="20"/>
                </w:rPr>
                <w:t>SM</w:t>
              </w:r>
            </w:hyperlink>
            <w:hyperlink r:id="rId5">
              <w:r>
                <w:rPr>
                  <w:rStyle w:val="InternetLink"/>
                  <w:rFonts w:ascii="Times New Roman;Times;Serif" w:hAnsi="Times New Roman;Times;Serif"/>
                  <w:sz w:val="20"/>
                </w:rPr>
                <w:t xml:space="preserve">, dated February 3, 2025, by and between ArriVent BioPharma, Inc. and Jefferies LLC (incorporated by reference to Exhibit 1.2 to the Registration Statement on Form S-3ASR (File No. 333-284661) filed with the Securities and Exchange Commission on February 3, 2025). </w:t>
              </w:r>
            </w:hyperlink>
          </w:p>
        </w:tc>
      </w:tr>
      <w:tr>
        <w:trPr/>
        <w:tc>
          <w:tcPr>
            <w:tcW w:w="725" w:type="dxa"/>
            <w:tcBorders/>
            <w:vAlign w:val="center"/>
          </w:tcPr>
          <w:p>
            <w:pPr>
              <w:pStyle w:val="TableContents"/>
              <w:bidi w:val="0"/>
              <w:spacing w:before="0" w:after="283"/>
              <w:jc w:val="left"/>
              <w:rPr/>
            </w:pPr>
            <w:r>
              <w:rPr/>
              <w:t> </w:t>
            </w:r>
          </w:p>
        </w:tc>
        <w:tc>
          <w:tcPr>
            <w:tcW w:w="9480" w:type="dxa"/>
            <w:gridSpan w:val="2"/>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614177d1_ex5-1.htm">
              <w:r>
                <w:rPr>
                  <w:rStyle w:val="InternetLink"/>
                  <w:sz w:val="20"/>
                </w:rPr>
                <w:t>5.1*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14177d1_ex5-1.htm">
              <w:r>
                <w:rPr>
                  <w:rStyle w:val="InternetLink"/>
                  <w:rFonts w:ascii="Times New Roman;Times;Serif" w:hAnsi="Times New Roman;Times;Serif"/>
                  <w:sz w:val="20"/>
                </w:rPr>
                <w:t xml:space="preserve">Opinion of Mintz, Levin, Cohn, Ferris, Glovsky and Popeo, P.C. </w:t>
              </w:r>
            </w:hyperlink>
          </w:p>
        </w:tc>
      </w:tr>
      <w:tr>
        <w:trPr/>
        <w:tc>
          <w:tcPr>
            <w:tcW w:w="725" w:type="dxa"/>
            <w:tcBorders/>
            <w:vAlign w:val="center"/>
          </w:tcPr>
          <w:p>
            <w:pPr>
              <w:pStyle w:val="TableContents"/>
              <w:bidi w:val="0"/>
              <w:spacing w:before="0" w:after="283"/>
              <w:jc w:val="left"/>
              <w:rPr/>
            </w:pPr>
            <w:r>
              <w:rPr/>
              <w:t> </w:t>
            </w:r>
          </w:p>
        </w:tc>
        <w:tc>
          <w:tcPr>
            <w:tcW w:w="9480" w:type="dxa"/>
            <w:gridSpan w:val="2"/>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614177d1_ex5-1.htm">
              <w:r>
                <w:rPr>
                  <w:rStyle w:val="InternetLink"/>
                  <w:rFonts w:ascii="Times New Roman;Times;Serif" w:hAnsi="Times New Roman;Times;Serif"/>
                  <w:sz w:val="20"/>
                </w:rPr>
                <w:t>23.1*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14177d1_ex5-1.htm">
              <w:r>
                <w:rPr>
                  <w:rStyle w:val="InternetLink"/>
                  <w:rFonts w:ascii="Times New Roman;Times;Serif" w:hAnsi="Times New Roman;Times;Serif"/>
                  <w:sz w:val="20"/>
                </w:rPr>
                <w:t xml:space="preserve">Consent of Mintz, Levin, Cohn, Ferris, Glovsky and Popeo, P.C. (included in Exhibit 5.1). </w:t>
              </w:r>
            </w:hyperlink>
          </w:p>
        </w:tc>
      </w:tr>
      <w:tr>
        <w:trPr/>
        <w:tc>
          <w:tcPr>
            <w:tcW w:w="725" w:type="dxa"/>
            <w:tcBorders/>
            <w:vAlign w:val="center"/>
          </w:tcPr>
          <w:p>
            <w:pPr>
              <w:pStyle w:val="TableContents"/>
              <w:bidi w:val="0"/>
              <w:spacing w:before="0" w:after="283"/>
              <w:jc w:val="left"/>
              <w:rPr/>
            </w:pPr>
            <w:r>
              <w:rPr/>
              <w:t> </w:t>
            </w:r>
          </w:p>
        </w:tc>
        <w:tc>
          <w:tcPr>
            <w:tcW w:w="9480" w:type="dxa"/>
            <w:gridSpan w:val="2"/>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 </w:t>
            </w:r>
          </w:p>
        </w:tc>
      </w:tr>
      <w:tr>
        <w:trPr/>
        <w:tc>
          <w:tcPr>
            <w:tcW w:w="785" w:type="dxa"/>
            <w:gridSpan w:val="2"/>
            <w:tcBorders/>
            <w:vAlign w:val="center"/>
          </w:tcPr>
          <w:p>
            <w:pPr>
              <w:pStyle w:val="TableContents"/>
              <w:bidi w:val="0"/>
              <w:spacing w:before="0" w:after="283"/>
              <w:jc w:val="left"/>
              <w:rPr/>
            </w:pPr>
            <w:r>
              <w:rPr/>
              <w:t>*</w:t>
            </w:r>
          </w:p>
        </w:tc>
        <w:tc>
          <w:tcPr>
            <w:tcW w:w="9420" w:type="dxa"/>
            <w:tcBorders/>
            <w:vAlign w:val="center"/>
          </w:tcPr>
          <w:p>
            <w:pPr>
              <w:pStyle w:val="TableContents"/>
              <w:bidi w:val="0"/>
              <w:spacing w:before="0" w:after="283"/>
              <w:jc w:val="left"/>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320"/>
        <w:gridCol w:w="3035"/>
      </w:tblGrid>
      <w:tr>
        <w:trPr/>
        <w:tc>
          <w:tcPr>
            <w:tcW w:w="75" w:type="dxa"/>
            <w:tcBorders/>
            <w:vAlign w:val="center"/>
          </w:tcPr>
          <w:p>
            <w:pPr>
              <w:pStyle w:val="TableContents"/>
              <w:bidi w:val="0"/>
              <w:spacing w:before="0" w:after="283"/>
              <w:jc w:val="left"/>
              <w:rPr/>
            </w:pPr>
            <w:r>
              <w:rPr/>
              <w:t> </w:t>
            </w:r>
          </w:p>
        </w:tc>
        <w:tc>
          <w:tcPr>
            <w:tcW w:w="33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ARRIVENT BIOPHARMA,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Winston Kung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Winston Kung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14177d1_ex5-1.htm"/>
      <w:bookmarkStart w:id="25" w:name="kstm2614177d1_ex51"/>
      <w:bookmarkEnd w:id="24"/>
      <w:bookmarkEnd w:id="2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3800" w:type="dxa"/>
        <w:jc w:val="left"/>
        <w:tblInd w:w="0" w:type="dxa"/>
        <w:tblLayout w:type="fixed"/>
        <w:tblCellMar>
          <w:top w:w="0" w:type="dxa"/>
          <w:left w:w="0" w:type="dxa"/>
          <w:bottom w:w="0" w:type="dxa"/>
          <w:right w:w="0" w:type="dxa"/>
        </w:tblCellMar>
      </w:tblPr>
      <w:tblGrid>
        <w:gridCol w:w="75"/>
        <w:gridCol w:w="1965"/>
        <w:gridCol w:w="1760"/>
      </w:tblGrid>
      <w:tr>
        <w:trPr/>
        <w:tc>
          <w:tcPr>
            <w:tcW w:w="75" w:type="dxa"/>
            <w:tcBorders/>
            <w:vAlign w:val="center"/>
          </w:tcPr>
          <w:p>
            <w:pPr>
              <w:pStyle w:val="TableContents"/>
              <w:bidi w:val="0"/>
              <w:spacing w:before="0" w:after="283"/>
              <w:jc w:val="left"/>
              <w:rPr/>
            </w:pPr>
            <w:r>
              <w:rPr/>
              <w:t> </w:t>
            </w:r>
          </w:p>
        </w:tc>
        <w:tc>
          <w:tcPr>
            <w:tcW w:w="1965" w:type="dxa"/>
            <w:tcBorders/>
            <w:vAlign w:val="center"/>
          </w:tcPr>
          <w:p>
            <w:pPr>
              <w:pStyle w:val="TableContents"/>
              <w:bidi w:val="0"/>
              <w:spacing w:before="0" w:after="283"/>
              <w:jc w:val="center"/>
              <w:rPr/>
            </w:pPr>
            <w:r>
              <w:rPr/>
              <w:drawing>
                <wp:inline distT="0" distB="0" distL="0" distR="0">
                  <wp:extent cx="1247775" cy="1228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247775" cy="1228725"/>
                          </a:xfrm>
                          <a:prstGeom prst="rect">
                            <a:avLst/>
                          </a:prstGeom>
                        </pic:spPr>
                      </pic:pic>
                    </a:graphicData>
                  </a:graphic>
                </wp:inline>
              </w:drawing>
            </w:r>
          </w:p>
        </w:tc>
        <w:tc>
          <w:tcPr>
            <w:tcW w:w="176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Financial Center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617-542-6000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www.mintz.com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w:t>
      </w:r>
      <w:r>
        <w:rPr>
          <w:rFonts w:ascii="Times New Roman;Times;Serif" w:hAnsi="Times New Roman;Times;Serif"/>
          <w:b w:val="false"/>
          <w:i w:val="false"/>
          <w:caps w:val="false"/>
          <w:smallCaps w:val="false"/>
          <w:sz w:val="20"/>
          <w:shd w:fill="FFFFFF" w:val="clear"/>
        </w:rPr>
        <w:t xml:space="preserve">11, </w:t>
      </w:r>
      <w:r>
        <w:rPr>
          <w:rFonts w:ascii="Times New Roman;Times;Serif" w:hAnsi="Times New Roman;Times;Serif"/>
          <w:b w:val="false"/>
          <w:i w:val="false"/>
          <w:caps w:val="false"/>
          <w:smallCaps w:val="false"/>
          <w:sz w:val="20"/>
        </w:rPr>
        <w:t>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ArriVent BioPharma,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Campus Boulevard, Suite 100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Newtown Square, PA 19073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have acted as counsel to ArriVent BioPharma, Inc., a Delaware corporation (the “</w:t>
      </w:r>
      <w:r>
        <w:rPr>
          <w:rFonts w:ascii="Times New Roman;Times;Serif" w:hAnsi="Times New Roman;Times;Serif"/>
          <w:b/>
          <w:i/>
          <w:caps w:val="false"/>
          <w:smallCaps w:val="false"/>
          <w:sz w:val="20"/>
          <w:shd w:fill="FFFFFF" w:val="clear"/>
        </w:rPr>
        <w:t>Company</w:t>
      </w:r>
      <w:r>
        <w:rPr>
          <w:rFonts w:ascii="Times New Roman;Times;Serif" w:hAnsi="Times New Roman;Times;Serif"/>
          <w:b w:val="false"/>
          <w:i w:val="false"/>
          <w:caps w:val="false"/>
          <w:smallCaps w:val="false"/>
          <w:sz w:val="20"/>
          <w:shd w:fill="FFFFFF" w:val="clear"/>
        </w:rPr>
        <w:t>”), with respect to certain matters in connection with the Automatic Shelf Registration Statement on Form S-3ASR (File No. 333-284661) (the “</w:t>
      </w:r>
      <w:r>
        <w:rPr>
          <w:rFonts w:ascii="Times New Roman;Times;Serif" w:hAnsi="Times New Roman;Times;Serif"/>
          <w:b/>
          <w:i/>
          <w:caps w:val="false"/>
          <w:smallCaps w:val="false"/>
          <w:sz w:val="20"/>
          <w:shd w:fill="FFFFFF" w:val="clear"/>
        </w:rPr>
        <w:t>Registration Statement</w:t>
      </w:r>
      <w:r>
        <w:rPr>
          <w:rFonts w:ascii="Times New Roman;Times;Serif" w:hAnsi="Times New Roman;Times;Serif"/>
          <w:b w:val="false"/>
          <w:i w:val="false"/>
          <w:caps w:val="false"/>
          <w:smallCaps w:val="false"/>
          <w:sz w:val="20"/>
          <w:shd w:fill="FFFFFF" w:val="clear"/>
        </w:rPr>
        <w:t>”), filed with the Securities and Exchange Commission (the “</w:t>
      </w:r>
      <w:r>
        <w:rPr>
          <w:rFonts w:ascii="Times New Roman;Times;Serif" w:hAnsi="Times New Roman;Times;Serif"/>
          <w:b/>
          <w:i/>
          <w:caps w:val="false"/>
          <w:smallCaps w:val="false"/>
          <w:sz w:val="20"/>
          <w:shd w:fill="FFFFFF" w:val="clear"/>
        </w:rPr>
        <w:t>Commission</w:t>
      </w:r>
      <w:r>
        <w:rPr>
          <w:rFonts w:ascii="Times New Roman;Times;Serif" w:hAnsi="Times New Roman;Times;Serif"/>
          <w:b w:val="false"/>
          <w:i w:val="false"/>
          <w:caps w:val="false"/>
          <w:smallCaps w:val="false"/>
          <w:sz w:val="20"/>
          <w:shd w:fill="FFFFFF" w:val="clear"/>
        </w:rPr>
        <w:t>”) under the Securities Act of 1933, as amended (the “</w:t>
      </w:r>
      <w:r>
        <w:rPr>
          <w:rFonts w:ascii="Times New Roman;Times;Serif" w:hAnsi="Times New Roman;Times;Serif"/>
          <w:b/>
          <w:i/>
          <w:caps w:val="false"/>
          <w:smallCaps w:val="false"/>
          <w:sz w:val="20"/>
          <w:shd w:fill="FFFFFF" w:val="clear"/>
        </w:rPr>
        <w:t>Act</w:t>
      </w:r>
      <w:r>
        <w:rPr>
          <w:rFonts w:ascii="Times New Roman;Times;Serif" w:hAnsi="Times New Roman;Times;Serif"/>
          <w:b w:val="false"/>
          <w:i w:val="false"/>
          <w:caps w:val="false"/>
          <w:smallCaps w:val="false"/>
          <w:sz w:val="20"/>
          <w:shd w:fill="FFFFFF" w:val="clear"/>
        </w:rPr>
        <w:t>”), the related prospectus dated February 3, 2025 included within the Registration Statement (the “</w:t>
      </w:r>
      <w:r>
        <w:rPr>
          <w:rFonts w:ascii="Times New Roman;Times;Serif" w:hAnsi="Times New Roman;Times;Serif"/>
          <w:b/>
          <w:i/>
          <w:caps w:val="false"/>
          <w:smallCaps w:val="false"/>
          <w:sz w:val="20"/>
          <w:shd w:fill="FFFFFF" w:val="clear"/>
        </w:rPr>
        <w:t>Base Prospectus</w:t>
      </w:r>
      <w:r>
        <w:rPr>
          <w:rFonts w:ascii="Times New Roman;Times;Serif" w:hAnsi="Times New Roman;Times;Serif"/>
          <w:b w:val="false"/>
          <w:i w:val="false"/>
          <w:caps w:val="false"/>
          <w:smallCaps w:val="false"/>
          <w:sz w:val="20"/>
          <w:shd w:fill="FFFFFF" w:val="clear"/>
        </w:rPr>
        <w:t>”) and the prospectus supplement dated May 11, 2026, relating to the issue and sale of up to $250,000,000 of shares of the Company’s common stock, par value $0.0001 per share (the “</w:t>
      </w:r>
      <w:r>
        <w:rPr>
          <w:rFonts w:ascii="Times New Roman;Times;Serif" w:hAnsi="Times New Roman;Times;Serif"/>
          <w:b/>
          <w:i/>
          <w:caps w:val="false"/>
          <w:smallCaps w:val="false"/>
          <w:sz w:val="20"/>
          <w:shd w:fill="FFFFFF" w:val="clear"/>
        </w:rPr>
        <w:t>Shares</w:t>
      </w:r>
      <w:r>
        <w:rPr>
          <w:rFonts w:ascii="Times New Roman;Times;Serif" w:hAnsi="Times New Roman;Times;Serif"/>
          <w:b w:val="false"/>
          <w:i w:val="false"/>
          <w:caps w:val="false"/>
          <w:smallCaps w:val="false"/>
          <w:sz w:val="20"/>
          <w:shd w:fill="FFFFFF" w:val="clear"/>
        </w:rPr>
        <w:t>”), each filed with the Commission pursuant to Rule 424(b) promulgated under the Act (together with the Base Prospectus, the “</w:t>
      </w:r>
      <w:r>
        <w:rPr>
          <w:rFonts w:ascii="Times New Roman;Times;Serif" w:hAnsi="Times New Roman;Times;Serif"/>
          <w:b/>
          <w:i/>
          <w:caps w:val="false"/>
          <w:smallCaps w:val="false"/>
          <w:sz w:val="20"/>
          <w:shd w:fill="FFFFFF" w:val="clear"/>
        </w:rPr>
        <w:t>Prospectus</w:t>
      </w:r>
      <w:r>
        <w:rPr>
          <w:rFonts w:ascii="Times New Roman;Times;Serif" w:hAnsi="Times New Roman;Times;Serif"/>
          <w:b w:val="false"/>
          <w:i w:val="false"/>
          <w:caps w:val="false"/>
          <w:smallCaps w:val="false"/>
          <w:sz w:val="20"/>
          <w:shd w:fill="FFFFFF" w:val="clear"/>
        </w:rPr>
        <w:t>”). The Shares are to be sold by the Company in accordance with that certain Sales Agreement, dated February 3, 2025, between the Company and Jefferies LLC (the “</w:t>
      </w:r>
      <w:r>
        <w:rPr>
          <w:rFonts w:ascii="Times New Roman;Times;Serif" w:hAnsi="Times New Roman;Times;Serif"/>
          <w:b/>
          <w:i/>
          <w:caps w:val="false"/>
          <w:smallCaps w:val="false"/>
          <w:sz w:val="20"/>
          <w:shd w:fill="FFFFFF" w:val="clear"/>
        </w:rPr>
        <w:t>Sales Agreement</w:t>
      </w:r>
      <w:r>
        <w:rPr>
          <w:rFonts w:ascii="Times New Roman;Times;Serif" w:hAnsi="Times New Roman;Times;Serif"/>
          <w:b w:val="false"/>
          <w:i w:val="false"/>
          <w:caps w:val="false"/>
          <w:smallCaps w:val="false"/>
          <w:sz w:val="20"/>
          <w:shd w:fill="FFFFFF" w:val="clear"/>
        </w:rPr>
        <w:t>”), as described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the Company’s Amended and Restated Certificate of Incorporation and Amended and Restated Bylaws, both as currently in effect, such other records of the corporate proceedings of the Company, and certificates of the Company’s officers as we have deemed relevant, as well as the Registration Statement and the exhibits thereto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the legal capacity of natural persons, the authenticity of all documents submitted to us as originals, the conformity to original documents of all documents submitted to us as certified, photostatic or facsimile copies and the authenticity of the originals of such copies.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limitations set forth below, we are of the opinion that the Shares, when issued by the Company out of the Company’s duly authorized common stock and issued and delivered by the Company against payment therefor as contemplated by the Sales Agreement, on terms approved by the Board of Directors of the Company, or a duly authorized committee thereof, will be duly and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as to certain matters on information obtained from public officials, officers of the Company, and other sources believed by us to be responsible.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4" w:space="1" w:color="000000"/>
        </w:pBdr>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Boston       Los Angeles       MIAMI      New York       San Diego       San Francisco       toronto      Washington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Mintz, Levin, Cohn, Ferris, Glovsky and Popeo,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65" w:type="dxa"/>
        <w:jc w:val="left"/>
        <w:tblInd w:w="0" w:type="dxa"/>
        <w:tblLayout w:type="fixed"/>
        <w:tblCellMar>
          <w:top w:w="0" w:type="dxa"/>
          <w:left w:w="0" w:type="dxa"/>
          <w:bottom w:w="0" w:type="dxa"/>
          <w:right w:w="0" w:type="dxa"/>
        </w:tblCellMar>
      </w:tblPr>
      <w:tblGrid>
        <w:gridCol w:w="1220"/>
        <w:gridCol w:w="945"/>
      </w:tblGrid>
      <w:tr>
        <w:trPr/>
        <w:tc>
          <w:tcPr>
            <w:tcW w:w="122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MINTZ</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tc>
        <w:tc>
          <w:tcPr>
            <w:tcW w:w="945" w:type="dxa"/>
            <w:tcBorders/>
            <w:vAlign w:val="center"/>
          </w:tcPr>
          <w:p>
            <w:pPr>
              <w:pStyle w:val="TableContents"/>
              <w:bidi w:val="0"/>
              <w:spacing w:before="0" w:after="283"/>
              <w:jc w:val="right"/>
              <w:rPr/>
            </w:pPr>
            <w:r>
              <w:rPr/>
              <w:drawing>
                <wp:inline distT="0" distB="0" distL="0" distR="0">
                  <wp:extent cx="552450"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552450" cy="657225"/>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a Current Report on Form 8-K in accordance with the requirements of Item 601(b)(5) of Regulation S-K under the Act and to the use of this firm’s name therein and in the Prospectus under the caption “Legal Matters.” In giving such consent, we do not hereby admit that we are in the category of persons whose consent is required under Section 7 of the Act or the rules and regulations of the Commission.</w:t>
      </w:r>
    </w:p>
    <w:p>
      <w:pPr>
        <w:pStyle w:val="TextBody"/>
        <w:bidi w:val="0"/>
        <w:spacing w:before="0" w:after="0"/>
        <w:ind w:left="0" w:right="0" w:hanging="0"/>
        <w:jc w:val="left"/>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75"/>
        <w:gridCol w:w="4565"/>
      </w:tblGrid>
      <w:tr>
        <w:trPr/>
        <w:tc>
          <w:tcPr>
            <w:tcW w:w="7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Mintz, Levin, Cohn, Ferris, Glovsky and Popeo, P.C. </w:t>
            </w:r>
          </w:p>
        </w:tc>
      </w:tr>
      <w:tr>
        <w:trPr/>
        <w:tc>
          <w:tcPr>
            <w:tcW w:w="7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 Levin, Cohn, Ferris, Glovsky and Popeo, P.C.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8279/000110465925008356/tm254783d2_ex1-2.htm" TargetMode="External"/><Relationship Id="rId3" Type="http://schemas.openxmlformats.org/officeDocument/2006/relationships/hyperlink" Target="https://www.sec.gov/Archives/edgar/data/1868279/000110465925008356/tm254783d2_ex1-2.htm" TargetMode="External"/><Relationship Id="rId4" Type="http://schemas.openxmlformats.org/officeDocument/2006/relationships/hyperlink" Target="https://www.sec.gov/Archives/edgar/data/1868279/000110465925008356/tm254783d2_ex1-2.htm" TargetMode="External"/><Relationship Id="rId5" Type="http://schemas.openxmlformats.org/officeDocument/2006/relationships/hyperlink" Target="https://www.sec.gov/Archives/edgar/data/1868279/000110465925008356/tm254783d2_ex1-2.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1298</Words>
  <Characters>6901</Characters>
  <CharactersWithSpaces>8265</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