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3, 2025</w:t>
      </w:r>
    </w:p>
    <w:p>
      <w:pPr>
        <w:spacing w:after="0" w:line="2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ArriVent BioPharma,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7" w:lineRule="exact"/>
        <w:rPr>
          <w:sz w:val="24"/>
          <w:szCs w:val="24"/>
          <w:color w:val="auto"/>
        </w:rPr>
      </w:pPr>
    </w:p>
    <w:tbl>
      <w:tblPr>
        <w:tblLayout w:type="fixed"/>
        <w:tblInd w:w="148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86-3336099</w:t>
            </w:r>
          </w:p>
        </w:tc>
      </w:tr>
      <w:tr>
        <w:trPr>
          <w:trHeight w:val="216"/>
        </w:trPr>
        <w:tc>
          <w:tcPr>
            <w:tcW w:w="418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62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6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Campus Boulevard,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Newtown Square, PA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of registrant’s principal executive offices)</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 2024 Employee, Director and Consultant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Zhengbin (Bing) Yao,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Campus Boulevard,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Newtown Square, PA 19073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(628) 277-4836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T. Rudy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T. Simpson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Nishant M. Dharia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0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0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3"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registers an aggregate of 1,685,338 additional shares (the “Shares”) of common stock, par value $0.0001 per share, of ArriVent BioPharma, Inc. (the “Registrant”), reserved under the ArriVent BioPharma, Inc. 2024 Employee, Director and Consultant Equity Incentive Plan (the “2024 Plan”), representing an increase of 1,685,338 shares reserved under the 2024 Plan effective January 1, 2025 by operation of the 2024 Plan’s “evergreen” provision. This registration statement registers additional securities of the same class as other securities for which a registration statement filed on Form S-8 (File No. 333-276840) relating to an employee benefit plan is effective. The information contained in the Registrant’s registration statement on </w:t>
      </w:r>
      <w:hyperlink r:id="rId17">
        <w:r>
          <w:rPr>
            <w:rFonts w:ascii="Times New Roman" w:cs="Times New Roman" w:eastAsia="Times New Roman" w:hAnsi="Times New Roman"/>
            <w:sz w:val="18"/>
            <w:szCs w:val="18"/>
            <w:u w:val="single" w:color="auto"/>
            <w:color w:val="0000EE"/>
          </w:rPr>
          <w:t>Form S-8 filed with the Securities and Exchange Commission on February 2, 2024 (File No. 333-276840)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hereby incorporated by reference pursuant to General Instruction E of Form S-8.</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0"/>
        </w:trPr>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Schedule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8"/>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4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3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Amended and Restated Certificate of Incorporation.</w:t>
              </w:r>
            </w:hyperlink>
          </w:p>
        </w:tc>
        <w:tc>
          <w:tcPr>
            <w:tcW w:w="2500" w:type="dxa"/>
            <w:vAlign w:val="bottom"/>
            <w:gridSpan w:val="7"/>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001-41929</w:t>
            </w: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3.1</w:t>
            </w: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January 30, 2024</w:t>
            </w: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3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Amended and Restated Bylaws.</w:t>
              </w:r>
            </w:hyperlink>
          </w:p>
        </w:tc>
        <w:tc>
          <w:tcPr>
            <w:tcW w:w="3940" w:type="dxa"/>
            <w:vAlign w:val="bottom"/>
            <w:gridSpan w:val="9"/>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001-41929</w:t>
            </w: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January 30, 2024</w:t>
            </w: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Specimen Common Stock Certificate.</w:t>
              </w:r>
            </w:hyperlink>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333-276397</w:t>
            </w: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January 5, 2024</w:t>
            </w:r>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240" w:type="dxa"/>
            <w:vAlign w:val="bottom"/>
            <w:gridSpan w:val="13"/>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Amended and Restated Investors’ Rights Agreement, dated as of December 16, 2022.</w:t>
              </w:r>
            </w:hyperlink>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333-276397</w:t>
            </w: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4.2</w:t>
            </w:r>
          </w:p>
        </w:tc>
        <w:tc>
          <w:tcPr>
            <w:tcW w:w="14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January 5, 2024</w:t>
            </w: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6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Opinion of Mintz, Levin, Cohn, Ferris, Glovsky and Popeo, P.C.</w:t>
            </w:r>
          </w:p>
        </w:tc>
        <w:tc>
          <w:tcPr>
            <w:tcW w:w="1520" w:type="dxa"/>
            <w:vAlign w:val="bottom"/>
            <w:tcBorders>
              <w:top w:val="single" w:sz="8" w:color="0000EE"/>
            </w:tcBorders>
            <w:gridSpan w:val="4"/>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2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Mintz, Levin, Cohn, Ferris, Glovsky and Popeo, P.C. (included in Exhibit</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5.</w:t>
            </w:r>
            <w:r>
              <w:rPr>
                <w:rFonts w:ascii="Times New Roman" w:cs="Times New Roman" w:eastAsia="Times New Roman" w:hAnsi="Times New Roman"/>
                <w:sz w:val="18"/>
                <w:szCs w:val="18"/>
                <w:u w:val="single" w:color="auto"/>
                <w:color w:val="0000EE"/>
                <w:w w:val="90"/>
              </w:rPr>
              <w:t>1)</w:t>
            </w:r>
            <w:r>
              <w:rPr>
                <w:rFonts w:ascii="Times New Roman" w:cs="Times New Roman" w:eastAsia="Times New Roman" w:hAnsi="Times New Roman"/>
                <w:sz w:val="18"/>
                <w:szCs w:val="18"/>
                <w:color w:val="0000EE"/>
                <w:w w:val="90"/>
              </w:rPr>
              <w:t>.</w:t>
            </w:r>
          </w:p>
        </w:tc>
        <w:tc>
          <w:tcPr>
            <w:tcW w:w="9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Consent of KPMG LLP.</w:t>
            </w:r>
          </w:p>
        </w:tc>
        <w:tc>
          <w:tcPr>
            <w:tcW w:w="450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of this Registration Statement).</w:t>
            </w:r>
          </w:p>
        </w:tc>
        <w:tc>
          <w:tcPr>
            <w:tcW w:w="30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2024 Employee, Director and Consultant Equity Incentive Plan, form of stock option</w:t>
              </w:r>
            </w:hyperlink>
          </w:p>
        </w:tc>
        <w:tc>
          <w:tcPr>
            <w:tcW w:w="12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6240" w:type="dxa"/>
            <w:vAlign w:val="bottom"/>
            <w:gridSpan w:val="13"/>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agreement and form of restricted stock agreement thereunder.</w:t>
              </w:r>
            </w:hyperlink>
          </w:p>
        </w:tc>
        <w:tc>
          <w:tcPr>
            <w:tcW w:w="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333-276397</w:t>
            </w:r>
          </w:p>
        </w:tc>
        <w:tc>
          <w:tcPr>
            <w:tcW w:w="8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20" w:type="dxa"/>
            <w:vAlign w:val="bottom"/>
          </w:tcPr>
          <w:p>
            <w:pPr>
              <w:jc w:val="center"/>
              <w:ind w:left="90"/>
              <w:spacing w:after="0" w:line="196" w:lineRule="exact"/>
              <w:rPr>
                <w:sz w:val="20"/>
                <w:szCs w:val="20"/>
                <w:color w:val="auto"/>
              </w:rPr>
            </w:pPr>
            <w:r>
              <w:rPr>
                <w:rFonts w:ascii="Times New Roman" w:cs="Times New Roman" w:eastAsia="Times New Roman" w:hAnsi="Times New Roman"/>
                <w:sz w:val="18"/>
                <w:szCs w:val="18"/>
                <w:color w:val="auto"/>
              </w:rPr>
              <w:t>January 22, 2024</w:t>
            </w: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3200" w:type="dxa"/>
            <w:vAlign w:val="bottom"/>
            <w:tcBorders>
              <w:top w:val="single" w:sz="8" w:color="0000EE"/>
            </w:tcBorders>
            <w:gridSpan w:val="5"/>
          </w:tcPr>
          <w:p>
            <w:pPr>
              <w:spacing w:after="0"/>
              <w:rPr>
                <w:sz w:val="24"/>
                <w:szCs w:val="24"/>
                <w:color w:val="auto"/>
              </w:rPr>
            </w:pPr>
          </w:p>
        </w:tc>
        <w:tc>
          <w:tcPr>
            <w:tcW w:w="182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compensation plan or contract.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180" w:firstLine="324"/>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Newtown Square, Pennsylvania, on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March, 2025.</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ARRIVENT BIOPHARMA,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Zhengbin (Bing) Yao,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Zhengbin (Bing) Yao, Ph.D.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Zhengbin (Bing) Yao, Ph.D. and Winston Kung, MBA,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Zhengbin (Bing) Yao, Ph.D.</w:t>
            </w:r>
          </w:p>
        </w:tc>
        <w:tc>
          <w:tcPr>
            <w:tcW w:w="120" w:type="dxa"/>
            <w:vAlign w:val="bottom"/>
          </w:tcPr>
          <w:p>
            <w:pPr>
              <w:spacing w:after="0"/>
              <w:rPr>
                <w:sz w:val="24"/>
                <w:szCs w:val="24"/>
                <w:color w:val="auto"/>
              </w:rPr>
            </w:pPr>
          </w:p>
        </w:tc>
        <w:tc>
          <w:tcPr>
            <w:tcW w:w="4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2480" w:type="dxa"/>
            <w:vAlign w:val="bottom"/>
          </w:tcPr>
          <w:p>
            <w:pPr>
              <w:spacing w:after="0"/>
              <w:rPr>
                <w:sz w:val="24"/>
                <w:szCs w:val="24"/>
                <w:color w:val="auto"/>
              </w:rPr>
            </w:pPr>
          </w:p>
        </w:tc>
      </w:tr>
      <w:tr>
        <w:trPr>
          <w:trHeight w:val="228"/>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Zhengbin (Bing) Yao, Ph.D.</w:t>
            </w:r>
          </w:p>
        </w:tc>
        <w:tc>
          <w:tcPr>
            <w:tcW w:w="120" w:type="dxa"/>
            <w:vAlign w:val="bottom"/>
          </w:tcPr>
          <w:p>
            <w:pPr>
              <w:spacing w:after="0"/>
              <w:rPr>
                <w:sz w:val="19"/>
                <w:szCs w:val="19"/>
                <w:color w:val="auto"/>
              </w:rPr>
            </w:pPr>
          </w:p>
        </w:tc>
        <w:tc>
          <w:tcPr>
            <w:tcW w:w="4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414"/>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 MBA</w:t>
            </w:r>
          </w:p>
        </w:tc>
        <w:tc>
          <w:tcPr>
            <w:tcW w:w="120" w:type="dxa"/>
            <w:vAlign w:val="bottom"/>
          </w:tcPr>
          <w:p>
            <w:pPr>
              <w:spacing w:after="0"/>
              <w:rPr>
                <w:sz w:val="24"/>
                <w:szCs w:val="24"/>
                <w:color w:val="auto"/>
              </w:rPr>
            </w:pPr>
          </w:p>
        </w:tc>
        <w:tc>
          <w:tcPr>
            <w:tcW w:w="4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2480" w:type="dxa"/>
            <w:vAlign w:val="bottom"/>
          </w:tcPr>
          <w:p>
            <w:pPr>
              <w:spacing w:after="0"/>
              <w:rPr>
                <w:sz w:val="24"/>
                <w:szCs w:val="24"/>
                <w:color w:val="auto"/>
              </w:rPr>
            </w:pPr>
          </w:p>
        </w:tc>
      </w:tr>
      <w:tr>
        <w:trPr>
          <w:trHeight w:val="176"/>
        </w:trPr>
        <w:tc>
          <w:tcPr>
            <w:tcW w:w="4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Winston Kung, MBA</w:t>
            </w:r>
          </w:p>
        </w:tc>
        <w:tc>
          <w:tcPr>
            <w:tcW w:w="120" w:type="dxa"/>
            <w:vAlign w:val="bottom"/>
          </w:tcPr>
          <w:p>
            <w:pPr>
              <w:spacing w:after="0"/>
              <w:rPr>
                <w:sz w:val="15"/>
                <w:szCs w:val="15"/>
                <w:color w:val="auto"/>
              </w:rPr>
            </w:pPr>
          </w:p>
        </w:tc>
        <w:tc>
          <w:tcPr>
            <w:tcW w:w="42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March 3, 2025</w:t>
            </w:r>
          </w:p>
        </w:tc>
      </w:tr>
      <w:tr>
        <w:trPr>
          <w:trHeight w:val="236"/>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2480" w:type="dxa"/>
            <w:vAlign w:val="bottom"/>
          </w:tcPr>
          <w:p>
            <w:pPr>
              <w:spacing w:after="0"/>
              <w:rPr>
                <w:sz w:val="20"/>
                <w:szCs w:val="20"/>
                <w:color w:val="auto"/>
              </w:rPr>
            </w:pPr>
          </w:p>
        </w:tc>
      </w:tr>
      <w:tr>
        <w:trPr>
          <w:trHeight w:val="432"/>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Carl L. Gordon, Ph.D., CFA</w:t>
            </w:r>
          </w:p>
        </w:tc>
        <w:tc>
          <w:tcPr>
            <w:tcW w:w="120" w:type="dxa"/>
            <w:vAlign w:val="bottom"/>
          </w:tcPr>
          <w:p>
            <w:pPr>
              <w:spacing w:after="0"/>
              <w:rPr>
                <w:sz w:val="24"/>
                <w:szCs w:val="24"/>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Carl L. Gordon, Ph.D., CFA</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Healy, M.D., Ph.D.</w:t>
            </w:r>
          </w:p>
        </w:tc>
        <w:tc>
          <w:tcPr>
            <w:tcW w:w="120" w:type="dxa"/>
            <w:vAlign w:val="bottom"/>
          </w:tcPr>
          <w:p>
            <w:pPr>
              <w:spacing w:after="0"/>
              <w:rPr>
                <w:sz w:val="24"/>
                <w:szCs w:val="24"/>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Healy, M.D., Ph.D.</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Hohneker, M.D.</w:t>
            </w:r>
          </w:p>
        </w:tc>
        <w:tc>
          <w:tcPr>
            <w:tcW w:w="120" w:type="dxa"/>
            <w:vAlign w:val="bottom"/>
          </w:tcPr>
          <w:p>
            <w:pPr>
              <w:spacing w:after="0"/>
              <w:rPr>
                <w:sz w:val="24"/>
                <w:szCs w:val="24"/>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Hohneker, M.D.</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Stuart Lutzker, M.D., Ph.D.</w:t>
            </w:r>
          </w:p>
        </w:tc>
        <w:tc>
          <w:tcPr>
            <w:tcW w:w="120" w:type="dxa"/>
            <w:vAlign w:val="bottom"/>
          </w:tcPr>
          <w:p>
            <w:pPr>
              <w:spacing w:after="0"/>
              <w:rPr>
                <w:sz w:val="24"/>
                <w:szCs w:val="24"/>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President of Research and Development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Stuart Lutzker, M.D., Ph.D.</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W. Nolet</w:t>
            </w:r>
          </w:p>
        </w:tc>
        <w:tc>
          <w:tcPr>
            <w:tcW w:w="120" w:type="dxa"/>
            <w:vAlign w:val="bottom"/>
          </w:tcPr>
          <w:p>
            <w:pPr>
              <w:spacing w:after="0"/>
              <w:rPr>
                <w:sz w:val="24"/>
                <w:szCs w:val="24"/>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Chris W. Nolet</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4"/>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Kristine Peterson</w:t>
            </w:r>
          </w:p>
        </w:tc>
        <w:tc>
          <w:tcPr>
            <w:tcW w:w="120" w:type="dxa"/>
            <w:vAlign w:val="bottom"/>
          </w:tcPr>
          <w:p>
            <w:pPr>
              <w:spacing w:after="0"/>
              <w:rPr>
                <w:sz w:val="24"/>
                <w:szCs w:val="24"/>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 2025</w:t>
            </w:r>
          </w:p>
        </w:tc>
      </w:tr>
      <w:tr>
        <w:trPr>
          <w:trHeight w:val="228"/>
        </w:trPr>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1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0"/>
        </w:trPr>
        <w:tc>
          <w:tcPr>
            <w:tcW w:w="43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28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9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-119380</wp:posOffset>
            </wp:positionV>
            <wp:extent cx="771525" cy="977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71525" cy="977265"/>
                    </a:xfrm>
                    <a:prstGeom prst="rect">
                      <a:avLst/>
                    </a:prstGeom>
                    <a:noFill/>
                  </pic:spPr>
                </pic:pic>
              </a:graphicData>
            </a:graphic>
          </wp:anchor>
        </w:drawing>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617 542 6000</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ArriVent BioPharma,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Campus Boulevard,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Newtown Square, PA 19073</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acted as legal counsel to ArriVent BioPharma,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1,685,338 shares (the “Shares”) of the Company’s common stock, $0.0001 par value per share, that may be issued pursuant to the Company’s 2024 Employee, Director and Consultant Equity Incentive Plan (the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Amended and Restated Certificate of Incorporation and Amended and Restated Bylaws, each as currently in effect; the Plan; such other records of the corporate proceedings of the Company and certificates of the Company’s officers as we have deemed relevant; and the Registration Statement and the exhibits thereto.</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the authenticity of the originals of such copies, and the truth and correctness of any representations and warranties contained therein. In addition, we have assumed that the Company will receive any required consideration in accordance with the terms of the Plan.</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when issued and delivered in accordance with the terms of the Plan will be validly issued, fully paid and non-assessable.</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7" w:lineRule="exact"/>
        <w:rPr>
          <w:sz w:val="20"/>
          <w:szCs w:val="20"/>
          <w:color w:val="auto"/>
        </w:rPr>
      </w:pPr>
    </w:p>
    <w:p>
      <w:pPr>
        <w:spacing w:after="0"/>
        <w:tabs>
          <w:tab w:leader="none" w:pos="1420" w:val="left"/>
          <w:tab w:leader="none" w:pos="3080" w:val="left"/>
          <w:tab w:leader="none" w:pos="4240" w:val="left"/>
          <w:tab w:leader="none" w:pos="5580" w:val="left"/>
          <w:tab w:leader="none" w:pos="6820" w:val="left"/>
          <w:tab w:leader="none" w:pos="8560" w:val="left"/>
          <w:tab w:leader="none" w:pos="10020" w:val="left"/>
        </w:tabs>
        <w:rPr>
          <w:sz w:val="20"/>
          <w:szCs w:val="20"/>
          <w:color w:val="auto"/>
        </w:rPr>
      </w:pPr>
      <w:r>
        <w:rPr>
          <w:rFonts w:ascii="Times New Roman" w:cs="Times New Roman" w:eastAsia="Times New Roman" w:hAnsi="Times New Roman"/>
          <w:sz w:val="18"/>
          <w:szCs w:val="18"/>
          <w:color w:val="auto"/>
        </w:rPr>
        <w:t>BOSTON</w:t>
      </w:r>
      <w:r>
        <w:rPr>
          <w:sz w:val="20"/>
          <w:szCs w:val="20"/>
          <w:color w:val="auto"/>
        </w:rPr>
        <w:tab/>
      </w:r>
      <w:r>
        <w:rPr>
          <w:rFonts w:ascii="Times New Roman" w:cs="Times New Roman" w:eastAsia="Times New Roman" w:hAnsi="Times New Roman"/>
          <w:sz w:val="18"/>
          <w:szCs w:val="18"/>
          <w:color w:val="auto"/>
        </w:rPr>
        <w:t>LOS ANGELES</w:t>
      </w:r>
      <w:r>
        <w:rPr>
          <w:sz w:val="20"/>
          <w:szCs w:val="20"/>
          <w:color w:val="auto"/>
        </w:rPr>
        <w:tab/>
      </w:r>
      <w:r>
        <w:rPr>
          <w:rFonts w:ascii="Times New Roman" w:cs="Times New Roman" w:eastAsia="Times New Roman" w:hAnsi="Times New Roman"/>
          <w:sz w:val="18"/>
          <w:szCs w:val="18"/>
          <w:color w:val="auto"/>
        </w:rPr>
        <w:t>MIAMI</w:t>
      </w:r>
      <w:r>
        <w:rPr>
          <w:sz w:val="20"/>
          <w:szCs w:val="20"/>
          <w:color w:val="auto"/>
        </w:rPr>
        <w:tab/>
      </w:r>
      <w:r>
        <w:rPr>
          <w:rFonts w:ascii="Times New Roman" w:cs="Times New Roman" w:eastAsia="Times New Roman" w:hAnsi="Times New Roman"/>
          <w:sz w:val="18"/>
          <w:szCs w:val="18"/>
          <w:color w:val="auto"/>
        </w:rPr>
        <w:t>NEW YORK</w:t>
      </w:r>
      <w:r>
        <w:rPr>
          <w:sz w:val="20"/>
          <w:szCs w:val="20"/>
          <w:color w:val="auto"/>
        </w:rPr>
        <w:tab/>
      </w:r>
      <w:r>
        <w:rPr>
          <w:rFonts w:ascii="Times New Roman" w:cs="Times New Roman" w:eastAsia="Times New Roman" w:hAnsi="Times New Roman"/>
          <w:sz w:val="18"/>
          <w:szCs w:val="18"/>
          <w:color w:val="auto"/>
        </w:rPr>
        <w:t>SAN DIEGO</w:t>
        <w:tab/>
        <w:t>SAN FRANCISCO</w:t>
      </w:r>
      <w:r>
        <w:rPr>
          <w:sz w:val="20"/>
          <w:szCs w:val="20"/>
          <w:color w:val="auto"/>
        </w:rPr>
        <w:tab/>
      </w:r>
      <w:r>
        <w:rPr>
          <w:rFonts w:ascii="Times New Roman" w:cs="Times New Roman" w:eastAsia="Times New Roman" w:hAnsi="Times New Roman"/>
          <w:sz w:val="18"/>
          <w:szCs w:val="18"/>
          <w:color w:val="auto"/>
        </w:rPr>
        <w:t>TORONTO</w:t>
      </w:r>
      <w:r>
        <w:rPr>
          <w:sz w:val="20"/>
          <w:szCs w:val="20"/>
          <w:color w:val="auto"/>
        </w:rPr>
        <w:tab/>
      </w:r>
      <w:r>
        <w:rPr>
          <w:rFonts w:ascii="Times New Roman" w:cs="Times New Roman" w:eastAsia="Times New Roman" w:hAnsi="Times New Roman"/>
          <w:sz w:val="17"/>
          <w:szCs w:val="17"/>
          <w:color w:val="auto"/>
        </w:rPr>
        <w:t>WASHINGTON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6680200</wp:posOffset>
            </wp:positionH>
            <wp:positionV relativeFrom="page">
              <wp:posOffset>586105</wp:posOffset>
            </wp:positionV>
            <wp:extent cx="57404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74040" cy="643255"/>
                    </a:xfrm>
                    <a:prstGeom prst="rect">
                      <a:avLst/>
                    </a:prstGeom>
                    <a:noFill/>
                  </pic:spPr>
                </pic:pic>
              </a:graphicData>
            </a:graphic>
          </wp:anchor>
        </w:drawing>
        <w:t>MINTZ</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Mintz, Levin, Cohn, Ferris, Glovsky and Popeo, P.C.</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03"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3, 2025, with respect to the financial statements of ArriVent BioPharma, Inc., incorporated herein by reference.</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ARRIVENT BIOPHARMA,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940" w:type="dxa"/>
            <w:vAlign w:val="bottom"/>
            <w:tcBorders>
              <w:top w:val="single" w:sz="8" w:color="auto"/>
              <w:left w:val="single" w:sz="8" w:color="auto"/>
              <w:right w:val="single" w:sz="8" w:color="auto"/>
            </w:tcBorders>
          </w:tcPr>
          <w:p>
            <w:pPr>
              <w:spacing w:after="0"/>
              <w:rPr>
                <w:sz w:val="24"/>
                <w:szCs w:val="24"/>
                <w:color w:val="auto"/>
              </w:rPr>
            </w:pPr>
          </w:p>
        </w:tc>
        <w:tc>
          <w:tcPr>
            <w:tcW w:w="212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spacing w:after="0"/>
              <w:rPr>
                <w:sz w:val="24"/>
                <w:szCs w:val="24"/>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2240" w:type="dxa"/>
            <w:vAlign w:val="bottom"/>
            <w:tcBorders>
              <w:top w:val="single" w:sz="8" w:color="auto"/>
              <w:right w:val="single" w:sz="8" w:color="auto"/>
            </w:tcBorders>
          </w:tcPr>
          <w:p>
            <w:pPr>
              <w:spacing w:after="0"/>
              <w:rPr>
                <w:sz w:val="24"/>
                <w:szCs w:val="24"/>
                <w:color w:val="auto"/>
              </w:rPr>
            </w:pPr>
          </w:p>
        </w:tc>
        <w:tc>
          <w:tcPr>
            <w:tcW w:w="1240" w:type="dxa"/>
            <w:vAlign w:val="bottom"/>
            <w:tcBorders>
              <w:top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2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00" w:type="dxa"/>
            <w:vAlign w:val="bottom"/>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24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100" w:type="dxa"/>
            <w:vAlign w:val="bottom"/>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Calculation</w:t>
            </w:r>
          </w:p>
        </w:tc>
        <w:tc>
          <w:tcPr>
            <w:tcW w:w="12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 Per</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Offering</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c>
          <w:tcPr>
            <w:tcW w:w="0" w:type="dxa"/>
            <w:vAlign w:val="bottom"/>
          </w:tcPr>
          <w:p>
            <w:pPr>
              <w:spacing w:after="0"/>
              <w:rPr>
                <w:sz w:val="1"/>
                <w:szCs w:val="1"/>
                <w:color w:val="auto"/>
              </w:rPr>
            </w:pPr>
          </w:p>
        </w:tc>
      </w:tr>
      <w:tr>
        <w:trPr>
          <w:trHeight w:val="248"/>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Type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Rule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0" w:type="dxa"/>
            <w:vAlign w:val="bottom"/>
          </w:tcPr>
          <w:p>
            <w:pPr>
              <w:spacing w:after="0"/>
              <w:rPr>
                <w:sz w:val="1"/>
                <w:szCs w:val="1"/>
                <w:color w:val="auto"/>
              </w:rPr>
            </w:pPr>
          </w:p>
        </w:tc>
      </w:tr>
      <w:tr>
        <w:trPr>
          <w:trHeight w:val="425"/>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$0.0001 par</w:t>
            </w:r>
          </w:p>
        </w:tc>
        <w:tc>
          <w:tcPr>
            <w:tcW w:w="100" w:type="dxa"/>
            <w:vAlign w:val="bottom"/>
          </w:tcPr>
          <w:p>
            <w:pPr>
              <w:spacing w:after="0"/>
              <w:rPr>
                <w:sz w:val="24"/>
                <w:szCs w:val="24"/>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457(c) and</w:t>
            </w:r>
          </w:p>
        </w:tc>
        <w:tc>
          <w:tcPr>
            <w:tcW w:w="12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40" w:type="dxa"/>
            <w:vAlign w:val="bottom"/>
            <w:tcBorders>
              <w:left w:val="single" w:sz="8" w:color="auto"/>
              <w:right w:val="single" w:sz="8" w:color="auto"/>
            </w:tcBorders>
          </w:tcPr>
          <w:p>
            <w:pPr>
              <w:spacing w:after="0"/>
              <w:rPr>
                <w:sz w:val="16"/>
                <w:szCs w:val="16"/>
                <w:color w:val="auto"/>
              </w:rPr>
            </w:pPr>
          </w:p>
        </w:tc>
        <w:tc>
          <w:tcPr>
            <w:tcW w:w="212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 per share</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22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1,685,338(1)</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$25.51(2)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$42,992,972.38</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$6,582.23</w:t>
            </w:r>
          </w:p>
        </w:tc>
        <w:tc>
          <w:tcPr>
            <w:tcW w:w="0" w:type="dxa"/>
            <w:vAlign w:val="bottom"/>
          </w:tcPr>
          <w:p>
            <w:pPr>
              <w:spacing w:after="0"/>
              <w:rPr>
                <w:sz w:val="1"/>
                <w:szCs w:val="1"/>
                <w:color w:val="auto"/>
              </w:rPr>
            </w:pPr>
          </w:p>
        </w:tc>
      </w:tr>
      <w:tr>
        <w:trPr>
          <w:trHeight w:val="223"/>
        </w:trPr>
        <w:tc>
          <w:tcPr>
            <w:tcW w:w="940" w:type="dxa"/>
            <w:vAlign w:val="bottom"/>
            <w:tcBorders>
              <w:left w:val="single" w:sz="8" w:color="auto"/>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8"/>
              </w:rPr>
              <w:t>Total Offering Amount</w:t>
            </w:r>
          </w:p>
        </w:tc>
        <w:tc>
          <w:tcPr>
            <w:tcW w:w="12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$42,992,972.38</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$6,582.23</w:t>
            </w:r>
          </w:p>
        </w:tc>
        <w:tc>
          <w:tcPr>
            <w:tcW w:w="0" w:type="dxa"/>
            <w:vAlign w:val="bottom"/>
          </w:tcPr>
          <w:p>
            <w:pPr>
              <w:spacing w:after="0"/>
              <w:rPr>
                <w:sz w:val="1"/>
                <w:szCs w:val="1"/>
                <w:color w:val="auto"/>
              </w:rPr>
            </w:pPr>
          </w:p>
        </w:tc>
      </w:tr>
      <w:tr>
        <w:trPr>
          <w:trHeight w:val="433"/>
        </w:trPr>
        <w:tc>
          <w:tcPr>
            <w:tcW w:w="940" w:type="dxa"/>
            <w:vAlign w:val="bottom"/>
            <w:tcBorders>
              <w:left w:val="single" w:sz="8" w:color="auto"/>
              <w:bottom w:val="single" w:sz="8" w:color="auto"/>
            </w:tcBorders>
          </w:tcPr>
          <w:p>
            <w:pPr>
              <w:spacing w:after="0"/>
              <w:rPr>
                <w:sz w:val="24"/>
                <w:szCs w:val="24"/>
                <w:color w:val="auto"/>
              </w:rPr>
            </w:pPr>
          </w:p>
        </w:tc>
        <w:tc>
          <w:tcPr>
            <w:tcW w:w="308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9"/>
        </w:trPr>
        <w:tc>
          <w:tcPr>
            <w:tcW w:w="940" w:type="dxa"/>
            <w:vAlign w:val="bottom"/>
            <w:tcBorders>
              <w:left w:val="single" w:sz="8" w:color="auto"/>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8"/>
              </w:rPr>
              <w:t>Net Fee Due</w:t>
            </w: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$6,582.23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right="20" w:hanging="345"/>
        <w:spacing w:after="0" w:line="268" w:lineRule="auto"/>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par value $0.0001 per share (“Common Stock”), of ArriVent BioPharma, Inc. (the “Registrant”) stated above consists of additional shares of Common Stock available for issuance under the ArriVent BioPharma, Inc. 2024 Employee, Director and Consultant Equity Incentive Plan (the “2024 Plan”), by operation of the 2024 Plan’s “evergreen” provision. The maximum number of shares which may be sold upon the exercise of options or issuance of stock-based awards granted under the 2024 Plan is subject to adjustment in accordance with certain anti-dilution and other provisions of the 2024 Plan. Accordingly, pursuant to Rule 416 under the Securities Act of 1933, as amended (the “Securities Act”), this registration statement covers, in addition to the number of shares stated above, an indeterminate number of shares which may be subject to grant or otherwise issuable after the operation of any such anti-dilution and other provisions.</w:t>
      </w:r>
    </w:p>
    <w:p>
      <w:pPr>
        <w:spacing w:after="0" w:line="2" w:lineRule="exact"/>
        <w:rPr>
          <w:rFonts w:ascii="Times New Roman" w:cs="Times New Roman" w:eastAsia="Times New Roman" w:hAnsi="Times New Roman"/>
          <w:sz w:val="17"/>
          <w:szCs w:val="17"/>
          <w:color w:val="auto"/>
        </w:rPr>
      </w:pPr>
    </w:p>
    <w:p>
      <w:pPr>
        <w:jc w:val="both"/>
        <w:ind w:left="920" w:right="20" w:hanging="345"/>
        <w:spacing w:after="0" w:line="255"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Rule 457(h) promulgated under the Securities Act on the basis of the average of the high and the low price of the Registrant’s Common Stock as reported on The Nasdaq Stock Market on 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60"/>
      </w:cols>
      <w:pgMar w:left="320" w:top="36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jpe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jpe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17" Type="http://schemas.openxmlformats.org/officeDocument/2006/relationships/hyperlink" Target="https://www.sec.gov/Archives/edgar/data/1868279/000110465924010025/tm244436d1_s8.htm" TargetMode="External"/><Relationship Id="rId18" Type="http://schemas.openxmlformats.org/officeDocument/2006/relationships/hyperlink" Target="https://www.sec.gov/Archives/edgar/data/1868279/000110465924008228/tm2321853d25_ex3-1.htm" TargetMode="External"/><Relationship Id="rId19" Type="http://schemas.openxmlformats.org/officeDocument/2006/relationships/hyperlink" Target="https://www.sec.gov/Archives/edgar/data/1868279/000110465924008228/tm2321853d25_ex3-2.htm" TargetMode="External"/><Relationship Id="rId20" Type="http://schemas.openxmlformats.org/officeDocument/2006/relationships/hyperlink" Target="https://www.sec.gov/Archives/edgar/data/1868279/000110465924001804/tm2321853d13_ex4-1.htm" TargetMode="External"/><Relationship Id="rId21" Type="http://schemas.openxmlformats.org/officeDocument/2006/relationships/hyperlink" Target="https://www.sec.gov/Archives/edgar/data/1868279/000110465924001804/tm2321853d13_ex4-2.htm" TargetMode="External"/><Relationship Id="rId22" Type="http://schemas.openxmlformats.org/officeDocument/2006/relationships/hyperlink" Target="https://www.sec.gov/Archives/edgar/data/1868279/000110465924005364/tm2321853d16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2025-03-03T06:39:44Z</dcterms:created>
  <dcterms:modified xsi:type="dcterms:W3CDTF">2025-03-03T06:39:44Z</dcterms:modified>
</cp:coreProperties>
</file>