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095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095365"/>
                    </a:xfrm>
                    <a:prstGeom prst="rect">
                      <a:avLst/>
                    </a:prstGeom>
                    <a:noFill/>
                  </pic:spPr>
                </pic:pic>
              </a:graphicData>
            </a:graphic>
          </wp:anchor>
        </w:drawing>
      </w:r>
    </w:p>
    <w:p>
      <w:pPr>
        <w:sectPr>
          <w:pgSz w:w="11900" w:h="16865"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Lutzker Stuart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ArriVent Biopharma,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AVBP</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65"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C/O ARRIVENT BIOPHARMA,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18 CAMPUS BOULEVARD,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0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27"/>
        </w:trPr>
        <w:tc>
          <w:tcPr>
            <w:tcW w:w="110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NEWTOWN</w:t>
            </w:r>
          </w:p>
        </w:tc>
        <w:tc>
          <w:tcPr>
            <w:tcW w:w="6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19073</w:t>
            </w:r>
          </w:p>
        </w:tc>
      </w:tr>
      <w:tr>
        <w:trPr>
          <w:trHeight w:val="254"/>
        </w:trPr>
        <w:tc>
          <w:tcPr>
            <w:tcW w:w="11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SQUARE</w:t>
            </w: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tbl>
      <w:tblPr>
        <w:tblLayout w:type="fixed"/>
        <w:tblInd w:w="183" w:type="dxa"/>
        <w:tblCellMar>
          <w:top w:w="0" w:type="dxa"/>
          <w:left w:w="0" w:type="dxa"/>
          <w:bottom w:w="0" w:type="dxa"/>
          <w:right w:w="0" w:type="dxa"/>
        </w:tblCellMar>
      </w:tblPr>
      <w:tr>
        <w:trPr>
          <w:trHeight w:val="254"/>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863"/>
        <w:spacing w:after="0"/>
        <w:rPr>
          <w:sz w:val="20"/>
          <w:szCs w:val="20"/>
          <w:color w:val="auto"/>
        </w:rPr>
      </w:pPr>
      <w:r>
        <w:rPr>
          <w:rFonts w:ascii="Times New Roman" w:cs="Times New Roman" w:eastAsia="Times New Roman" w:hAnsi="Times New Roman"/>
          <w:sz w:val="20"/>
          <w:szCs w:val="20"/>
          <w:color w:val="0000FF"/>
        </w:rPr>
        <w:t>President of R&amp;D</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554" w:lineRule="exact"/>
        <w:rPr>
          <w:sz w:val="24"/>
          <w:szCs w:val="24"/>
          <w:color w:val="auto"/>
        </w:rPr>
      </w:pPr>
    </w:p>
    <w:p>
      <w:pPr>
        <w:sectPr>
          <w:pgSz w:w="11900" w:h="16865" w:orient="portrait"/>
          <w:cols w:equalWidth="0" w:num="3">
            <w:col w:w="4277" w:space="720"/>
            <w:col w:w="3003" w:space="269"/>
            <w:col w:w="2671"/>
          </w:cols>
          <w:pgMar w:left="480" w:top="230" w:right="479" w:bottom="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147,744</w:t>
            </w:r>
            <w:r>
              <w:rPr>
                <w:rFonts w:ascii="Times New Roman" w:cs="Times New Roman" w:eastAsia="Times New Roman" w:hAnsi="Times New Roman"/>
                <w:sz w:val="25"/>
                <w:szCs w:val="25"/>
                <w:color w:val="008000"/>
                <w:vertAlign w:val="superscript"/>
              </w:rPr>
              <w:t>(1)</w:t>
            </w:r>
          </w:p>
        </w:tc>
        <w:tc>
          <w:tcPr>
            <w:tcW w:w="10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540" w:type="dxa"/>
            <w:vAlign w:val="bottom"/>
            <w:tcBorders>
              <w:top w:val="single" w:sz="8" w:color="2C2C2C"/>
            </w:tcBorders>
            <w:gridSpan w:val="6"/>
          </w:tcPr>
          <w:p>
            <w:pPr>
              <w:ind w:left="1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2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100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180"/>
              <w:spacing w:after="0"/>
              <w:rPr>
                <w:sz w:val="20"/>
                <w:szCs w:val="20"/>
                <w:color w:val="auto"/>
              </w:rPr>
            </w:pPr>
            <w:r>
              <w:rPr>
                <w:rFonts w:ascii="Arial" w:cs="Arial" w:eastAsia="Arial" w:hAnsi="Arial"/>
                <w:sz w:val="15"/>
                <w:szCs w:val="15"/>
                <w:b w:val="1"/>
                <w:bCs w:val="1"/>
                <w:color w:val="auto"/>
              </w:rPr>
              <w:t>of 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09/07/2031</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20"/>
                <w:szCs w:val="20"/>
                <w:color w:val="0000FF"/>
                <w:w w:val="99"/>
              </w:rPr>
              <w:t>65,746</w:t>
            </w:r>
            <w:r>
              <w:rPr>
                <w:rFonts w:ascii="Times New Roman" w:cs="Times New Roman" w:eastAsia="Times New Roman" w:hAnsi="Times New Roman"/>
                <w:sz w:val="25"/>
                <w:szCs w:val="25"/>
                <w:color w:val="008000"/>
                <w:w w:val="99"/>
                <w:vertAlign w:val="superscript"/>
              </w:rPr>
              <w:t>(3)</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2.28</w:t>
            </w:r>
            <w:r>
              <w:rPr>
                <w:rFonts w:ascii="Times New Roman" w:cs="Times New Roman" w:eastAsia="Times New Roman" w:hAnsi="Times New Roman"/>
                <w:sz w:val="25"/>
                <w:szCs w:val="25"/>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01/31/2032</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20"/>
                <w:szCs w:val="20"/>
                <w:color w:val="0000FF"/>
                <w:w w:val="99"/>
              </w:rPr>
              <w:t>24,983</w:t>
            </w:r>
            <w:r>
              <w:rPr>
                <w:rFonts w:ascii="Times New Roman" w:cs="Times New Roman" w:eastAsia="Times New Roman" w:hAnsi="Times New Roman"/>
                <w:sz w:val="25"/>
                <w:szCs w:val="25"/>
                <w:color w:val="008000"/>
                <w:w w:val="99"/>
                <w:vertAlign w:val="superscript"/>
              </w:rPr>
              <w:t>(3)</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2.28</w:t>
            </w:r>
            <w:r>
              <w:rPr>
                <w:rFonts w:ascii="Times New Roman" w:cs="Times New Roman" w:eastAsia="Times New Roman" w:hAnsi="Times New Roman"/>
                <w:sz w:val="25"/>
                <w:szCs w:val="25"/>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01/31/2032</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20"/>
                <w:szCs w:val="20"/>
                <w:color w:val="0000FF"/>
                <w:w w:val="99"/>
              </w:rPr>
              <w:t>42,735</w:t>
            </w:r>
            <w:r>
              <w:rPr>
                <w:rFonts w:ascii="Times New Roman" w:cs="Times New Roman" w:eastAsia="Times New Roman" w:hAnsi="Times New Roman"/>
                <w:sz w:val="25"/>
                <w:szCs w:val="25"/>
                <w:color w:val="008000"/>
                <w:w w:val="99"/>
                <w:vertAlign w:val="superscript"/>
              </w:rPr>
              <w:t>(3)</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2.28</w:t>
            </w:r>
            <w:r>
              <w:rPr>
                <w:rFonts w:ascii="Times New Roman" w:cs="Times New Roman" w:eastAsia="Times New Roman" w:hAnsi="Times New Roman"/>
                <w:sz w:val="25"/>
                <w:szCs w:val="25"/>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01/31/2033</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20"/>
                <w:szCs w:val="20"/>
                <w:color w:val="0000FF"/>
                <w:w w:val="99"/>
              </w:rPr>
              <w:t>42,734</w:t>
            </w:r>
            <w:r>
              <w:rPr>
                <w:rFonts w:ascii="Times New Roman" w:cs="Times New Roman" w:eastAsia="Times New Roman" w:hAnsi="Times New Roman"/>
                <w:sz w:val="25"/>
                <w:szCs w:val="25"/>
                <w:color w:val="008000"/>
                <w:w w:val="99"/>
                <w:vertAlign w:val="superscript"/>
              </w:rPr>
              <w:t>(3)</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3.65</w:t>
            </w:r>
            <w:r>
              <w:rPr>
                <w:rFonts w:ascii="Times New Roman" w:cs="Times New Roman" w:eastAsia="Times New Roman" w:hAnsi="Times New Roman"/>
                <w:sz w:val="25"/>
                <w:szCs w:val="25"/>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12/31/2033</w:t>
            </w:r>
          </w:p>
        </w:tc>
        <w:tc>
          <w:tcPr>
            <w:tcW w:w="1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20"/>
                <w:szCs w:val="20"/>
                <w:color w:val="0000FF"/>
                <w:w w:val="99"/>
              </w:rPr>
              <w:t>49,309</w:t>
            </w:r>
            <w:r>
              <w:rPr>
                <w:rFonts w:ascii="Times New Roman" w:cs="Times New Roman" w:eastAsia="Times New Roman" w:hAnsi="Times New Roman"/>
                <w:sz w:val="25"/>
                <w:szCs w:val="25"/>
                <w:color w:val="008000"/>
                <w:w w:val="99"/>
                <w:vertAlign w:val="superscript"/>
              </w:rPr>
              <w:t>(3)</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7.76</w:t>
            </w:r>
            <w:r>
              <w:rPr>
                <w:rFonts w:ascii="Times New Roman" w:cs="Times New Roman" w:eastAsia="Times New Roman" w:hAnsi="Times New Roman"/>
                <w:sz w:val="25"/>
                <w:szCs w:val="25"/>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the 15.21-for-1 reverse stock split of the Issuer's common stock effected on January 23, 2024 in connection with the Issuer's initial public offering.</w:t>
      </w:r>
    </w:p>
    <w:p>
      <w:pPr>
        <w:spacing w:after="0" w:line="52" w:lineRule="exact"/>
        <w:rPr>
          <w:rFonts w:ascii="Times New Roman" w:cs="Times New Roman" w:eastAsia="Times New Roman" w:hAnsi="Times New Roman"/>
          <w:sz w:val="15"/>
          <w:szCs w:val="15"/>
          <w:color w:val="008000"/>
        </w:rPr>
      </w:pPr>
    </w:p>
    <w:p>
      <w:pPr>
        <w:ind w:left="40" w:right="5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vested as to 25% on September 8, 2022, with the remainder vesting in 36 equal monthly installments thereafter, subject to the Reporting Person's continued service through the applicable vesting date.</w:t>
      </w:r>
    </w:p>
    <w:p>
      <w:pPr>
        <w:spacing w:after="0" w:line="17" w:lineRule="exact"/>
        <w:rPr>
          <w:rFonts w:ascii="Times New Roman" w:cs="Times New Roman" w:eastAsia="Times New Roman" w:hAnsi="Times New Roman"/>
          <w:sz w:val="15"/>
          <w:szCs w:val="15"/>
          <w:color w:val="008000"/>
        </w:rPr>
      </w:pPr>
    </w:p>
    <w:p>
      <w:pPr>
        <w:ind w:left="40" w:right="1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the 15.21-for-1 reverse stock split of the Issuer's common stock effected on January 23, 2024 in connection with the Issuer's initial public offering, pursuant to which (i) the number of shares of common stock underlying the option was divided by 15.21 and (ii) the exercise price of the option was multiplied by 15.21.</w:t>
      </w:r>
    </w:p>
    <w:p>
      <w:pPr>
        <w:spacing w:after="0" w:line="17" w:lineRule="exact"/>
        <w:rPr>
          <w:rFonts w:ascii="Times New Roman" w:cs="Times New Roman" w:eastAsia="Times New Roman" w:hAnsi="Times New Roman"/>
          <w:sz w:val="15"/>
          <w:szCs w:val="15"/>
          <w:color w:val="008000"/>
        </w:rPr>
      </w:pPr>
    </w:p>
    <w:p>
      <w:pPr>
        <w:ind w:left="40" w:right="1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vested as to 25% on February 1, 2023, with the remainder vesting in 36 equal monthly installments thereafter, subject to the Reporting Person's continued service through the applicable vesting date.</w:t>
      </w:r>
    </w:p>
    <w:p>
      <w:pPr>
        <w:spacing w:after="0" w:line="17" w:lineRule="exact"/>
        <w:rPr>
          <w:rFonts w:ascii="Times New Roman" w:cs="Times New Roman" w:eastAsia="Times New Roman" w:hAnsi="Times New Roman"/>
          <w:sz w:val="15"/>
          <w:szCs w:val="15"/>
          <w:color w:val="008000"/>
        </w:rPr>
      </w:pPr>
    </w:p>
    <w:p>
      <w:pPr>
        <w:ind w:left="40" w:right="2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as to 25% on February 1, 2024, with the remainder vesting in 36 equal monthly installments thereafter, subject to the Reporting Person's continued service through the applicable vesting date.</w:t>
      </w:r>
    </w:p>
    <w:p>
      <w:pPr>
        <w:spacing w:after="0" w:line="17" w:lineRule="exact"/>
        <w:rPr>
          <w:rFonts w:ascii="Times New Roman" w:cs="Times New Roman" w:eastAsia="Times New Roman" w:hAnsi="Times New Roman"/>
          <w:sz w:val="15"/>
          <w:szCs w:val="15"/>
          <w:color w:val="008000"/>
        </w:rPr>
      </w:pPr>
    </w:p>
    <w:p>
      <w:pPr>
        <w:ind w:left="40" w:right="3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as to 25% on January 1, 2025, with the remainder vesting in 36 equal monthly installments thereafter, subject to the Reporting Person's continued service through the applicable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James Kastenmayer,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16141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6141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Stuart 01/25/2024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Lutzker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854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8544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65"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2"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James Paul Kastenmayer of ArriVent BioPharma, Inc. (the “Company”), the Company’s General Counsel, and John T. Rudy, Nishant Dharia, Raven Sun, Gianna M. Nappi, Elana L. Brockmann, Robyn M. Frattali and Elizabeth J Barber of Mintz, Levin, Cohn, Ferris, Glovsky and Popeo, P.C., signing singly, with full power of substitution, the undersigned’s true and lawful attorney-in-fact to:</w:t>
      </w:r>
    </w:p>
    <w:p>
      <w:pPr>
        <w:spacing w:after="0" w:line="200" w:lineRule="exact"/>
        <w:rPr>
          <w:sz w:val="20"/>
          <w:szCs w:val="20"/>
          <w:color w:val="auto"/>
        </w:rPr>
      </w:pPr>
    </w:p>
    <w:p>
      <w:pPr>
        <w:ind w:left="1440" w:hanging="720"/>
        <w:spacing w:after="0" w:line="282"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of the Company, forms and authentication documents for EDGAR Filing Access;</w:t>
      </w:r>
    </w:p>
    <w:p>
      <w:pPr>
        <w:spacing w:after="0" w:line="179" w:lineRule="exact"/>
        <w:rPr>
          <w:rFonts w:ascii="Times New Roman" w:cs="Times New Roman" w:eastAsia="Times New Roman" w:hAnsi="Times New Roman"/>
          <w:sz w:val="20"/>
          <w:szCs w:val="20"/>
          <w:color w:val="auto"/>
        </w:rPr>
      </w:pPr>
    </w:p>
    <w:p>
      <w:pPr>
        <w:ind w:left="1440" w:hanging="720"/>
        <w:spacing w:after="0" w:line="282"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forms and authentication documents;</w:t>
      </w:r>
    </w:p>
    <w:p>
      <w:pPr>
        <w:spacing w:after="0" w:line="179" w:lineRule="exact"/>
        <w:rPr>
          <w:rFonts w:ascii="Times New Roman" w:cs="Times New Roman" w:eastAsia="Times New Roman" w:hAnsi="Times New Roman"/>
          <w:sz w:val="20"/>
          <w:szCs w:val="20"/>
          <w:color w:val="auto"/>
        </w:rPr>
      </w:pPr>
    </w:p>
    <w:p>
      <w:pPr>
        <w:jc w:val="both"/>
        <w:ind w:left="1440" w:hanging="720"/>
        <w:spacing w:after="0" w:line="282"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of the Company, Forms 3, 4 and 5 in accordance with Section 16(a) of the Securities Exchange Act of 1934, as amended, and the rules thereunder;</w:t>
      </w:r>
    </w:p>
    <w:p>
      <w:pPr>
        <w:spacing w:after="0" w:line="179"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Form 3, 4 or 5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1440" w:hanging="720"/>
        <w:spacing w:after="0" w:line="258"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461010</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74" w:right="479" w:bottom="1440" w:gutter="0" w:footer="0" w:header="0"/>
        </w:sectPr>
      </w:pPr>
    </w:p>
    <w:bookmarkStart w:id="3" w:name="page4"/>
    <w:bookmarkEnd w:id="3"/>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set forth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Date: January 18, 2024</w:t>
            </w:r>
          </w:p>
        </w:tc>
        <w:tc>
          <w:tcPr>
            <w:tcW w:w="7240" w:type="dxa"/>
            <w:vAlign w:val="bottom"/>
            <w:gridSpan w:val="2"/>
          </w:tcPr>
          <w:p>
            <w:pPr>
              <w:ind w:left="1780"/>
              <w:spacing w:after="0"/>
              <w:rPr>
                <w:sz w:val="20"/>
                <w:szCs w:val="20"/>
                <w:color w:val="auto"/>
              </w:rPr>
            </w:pPr>
            <w:r>
              <w:rPr>
                <w:rFonts w:ascii="Times New Roman" w:cs="Times New Roman" w:eastAsia="Times New Roman" w:hAnsi="Times New Roman"/>
                <w:sz w:val="20"/>
                <w:szCs w:val="20"/>
                <w:color w:val="auto"/>
              </w:rPr>
              <w:t>By:   /s/ Stuart Lutzker</w:t>
            </w:r>
          </w:p>
        </w:tc>
      </w:tr>
      <w:tr>
        <w:trPr>
          <w:trHeight w:val="255"/>
        </w:trPr>
        <w:tc>
          <w:tcPr>
            <w:tcW w:w="37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Name: Stuart Lutzker</w:t>
            </w:r>
          </w:p>
        </w:tc>
      </w:tr>
      <w:tr>
        <w:trPr>
          <w:trHeight w:val="730"/>
        </w:trPr>
        <w:tc>
          <w:tcPr>
            <w:tcW w:w="37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9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009257" TargetMode="External"/><Relationship Id="rId11" Type="http://schemas.openxmlformats.org/officeDocument/2006/relationships/hyperlink" Target="http://www.sec.gov/cgi-bin/browse-edgar?action=getcompany&amp;CIK=0001868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2024-01-25T19:43:18Z</dcterms:created>
  <dcterms:modified xsi:type="dcterms:W3CDTF">2024-01-25T19:43:18Z</dcterms:modified>
</cp:coreProperties>
</file>