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SCHEDULE 13G</w:t>
      </w:r>
    </w:p>
    <w:p>
      <w:pPr>
        <w:spacing w:after="0" w:line="2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ArriVent BioPharma,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04272N 102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January 26,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52"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11" w:lineRule="exact"/>
        <w:rPr>
          <w:sz w:val="24"/>
          <w:szCs w:val="24"/>
          <w:color w:val="auto"/>
        </w:rPr>
      </w:pPr>
    </w:p>
    <w:p>
      <w:pPr>
        <w:ind w:left="340"/>
        <w:spacing w:after="0" w:line="207" w:lineRule="exact"/>
        <w:rPr>
          <w:sz w:val="24"/>
          <w:szCs w:val="24"/>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Rule 13d-1(d)</w:t>
      </w:r>
    </w:p>
    <w:p>
      <w:pPr>
        <w:spacing w:after="0" w:line="265" w:lineRule="exact"/>
        <w:rPr>
          <w:sz w:val="24"/>
          <w:szCs w:val="24"/>
          <w:color w:val="auto"/>
        </w:rPr>
      </w:pPr>
    </w:p>
    <w:p>
      <w:pPr>
        <w:ind w:left="340" w:hanging="324"/>
        <w:spacing w:after="0" w:line="282" w:lineRule="auto"/>
        <w:rPr>
          <w:sz w:val="24"/>
          <w:szCs w:val="24"/>
          <w:color w:val="auto"/>
        </w:rPr>
      </w:pPr>
      <w:r>
        <w:rPr>
          <w:rFonts w:ascii="Times New Roman" w:cs="Times New Roman" w:eastAsia="Times New Roman" w:hAnsi="Times New Roman"/>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as amended (</w:t>
      </w:r>
      <w:r>
        <w:rPr>
          <w:rFonts w:ascii="Times New Roman" w:cs="Times New Roman" w:eastAsia="Times New Roman" w:hAnsi="Times New Roman"/>
          <w:sz w:val="18"/>
          <w:szCs w:val="18"/>
          <w:b w:val="1"/>
          <w:bCs w:val="1"/>
          <w:i w:val="1"/>
          <w:iCs w:val="1"/>
          <w:color w:val="auto"/>
        </w:rPr>
        <w:t>“Act”</w:t>
      </w:r>
      <w:r>
        <w:rPr>
          <w:rFonts w:ascii="Times New Roman" w:cs="Times New Roman" w:eastAsia="Times New Roman" w:hAnsi="Times New Roman"/>
          <w:sz w:val="18"/>
          <w:szCs w:val="18"/>
          <w:color w:val="auto"/>
        </w:rPr>
        <w:t xml:space="preserve">) or otherwise subject to the liabilities of that section of the Act but shall be subject to all other provisions of the Act (however, </w:t>
      </w:r>
      <w:r>
        <w:rPr>
          <w:rFonts w:ascii="Times New Roman" w:cs="Times New Roman" w:eastAsia="Times New Roman" w:hAnsi="Times New Roman"/>
          <w:sz w:val="18"/>
          <w:szCs w:val="18"/>
          <w:i w:val="1"/>
          <w:iCs w:val="1"/>
          <w:color w:val="auto"/>
        </w:rPr>
        <w:t xml:space="preserve">see </w:t>
      </w:r>
      <w:r>
        <w:rPr>
          <w:rFonts w:ascii="Times New Roman" w:cs="Times New Roman" w:eastAsia="Times New Roman" w:hAnsi="Times New Roman"/>
          <w:sz w:val="18"/>
          <w:szCs w:val="18"/>
          <w:color w:val="auto"/>
        </w:rPr>
        <w:t>the</w:t>
      </w:r>
      <w:r>
        <w:rPr>
          <w:rFonts w:ascii="Times New Roman" w:cs="Times New Roman" w:eastAsia="Times New Roman" w:hAnsi="Times New Roman"/>
          <w:sz w:val="18"/>
          <w:szCs w:val="18"/>
          <w:i w:val="1"/>
          <w:iCs w:val="1"/>
          <w:color w:val="auto"/>
        </w:rPr>
        <w:t xml:space="preserve"> Notes</w:t>
      </w: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594995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tabs>
          <w:tab w:leader="none" w:pos="10400" w:val="left"/>
        </w:tabs>
        <w:rPr>
          <w:sz w:val="20"/>
          <w:szCs w:val="20"/>
          <w:color w:val="auto"/>
        </w:rPr>
      </w:pPr>
      <w:r>
        <w:rPr>
          <w:rFonts w:ascii="Times New Roman" w:cs="Times New Roman" w:eastAsia="Times New Roman" w:hAnsi="Times New Roman"/>
          <w:sz w:val="18"/>
          <w:szCs w:val="18"/>
          <w:b w:val="1"/>
          <w:bCs w:val="1"/>
          <w:color w:val="auto"/>
        </w:rPr>
        <w:t>CUSIP No. 04272N 102</w:t>
      </w:r>
      <w:r>
        <w:rPr>
          <w:sz w:val="20"/>
          <w:szCs w:val="20"/>
          <w:color w:val="auto"/>
        </w:rPr>
        <w:tab/>
      </w:r>
      <w:r>
        <w:rPr>
          <w:rFonts w:ascii="Times New Roman" w:cs="Times New Roman" w:eastAsia="Times New Roman" w:hAnsi="Times New Roman"/>
          <w:sz w:val="18"/>
          <w:szCs w:val="18"/>
          <w:color w:val="auto"/>
        </w:rPr>
        <w:t>Page 2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59836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5983605"/>
                    </a:xfrm>
                    <a:prstGeom prst="rect">
                      <a:avLst/>
                    </a:prstGeom>
                    <a:noFill/>
                  </pic:spPr>
                </pic:pic>
              </a:graphicData>
            </a:graphic>
          </wp:anchor>
        </w:drawing>
      </w:r>
    </w:p>
    <w:p>
      <w:pPr>
        <w:spacing w:after="0" w:line="290" w:lineRule="exact"/>
        <w:rPr>
          <w:sz w:val="20"/>
          <w:szCs w:val="20"/>
          <w:color w:val="auto"/>
        </w:rPr>
      </w:pPr>
    </w:p>
    <w:p>
      <w:pPr>
        <w:ind w:left="920" w:hanging="788"/>
        <w:spacing w:after="0"/>
        <w:tabs>
          <w:tab w:leader="none" w:pos="9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w:t>
      </w:r>
    </w:p>
    <w:p>
      <w:pPr>
        <w:spacing w:after="0" w:line="221" w:lineRule="exact"/>
        <w:rPr>
          <w:rFonts w:ascii="Times New Roman" w:cs="Times New Roman" w:eastAsia="Times New Roman" w:hAnsi="Times New Roman"/>
          <w:sz w:val="18"/>
          <w:szCs w:val="18"/>
          <w:color w:val="auto"/>
        </w:rPr>
      </w:pPr>
    </w:p>
    <w:p>
      <w:pPr>
        <w:ind w:left="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LAV Fund VI, L.P. (“LAVVI”)</w:t>
      </w:r>
    </w:p>
    <w:p>
      <w:pPr>
        <w:spacing w:after="0" w:line="148" w:lineRule="exact"/>
        <w:rPr>
          <w:rFonts w:ascii="Times New Roman" w:cs="Times New Roman" w:eastAsia="Times New Roman" w:hAnsi="Times New Roman"/>
          <w:sz w:val="18"/>
          <w:szCs w:val="18"/>
          <w:color w:val="auto"/>
        </w:rPr>
      </w:pPr>
    </w:p>
    <w:p>
      <w:pPr>
        <w:ind w:left="920" w:hanging="788"/>
        <w:spacing w:after="0"/>
        <w:tabs>
          <w:tab w:leader="none" w:pos="9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184" w:lineRule="exact"/>
        <w:rPr>
          <w:rFonts w:ascii="Times New Roman" w:cs="Times New Roman" w:eastAsia="Times New Roman" w:hAnsi="Times New Roman"/>
          <w:sz w:val="18"/>
          <w:szCs w:val="18"/>
          <w:color w:val="auto"/>
        </w:rPr>
      </w:pPr>
    </w:p>
    <w:p>
      <w:pPr>
        <w:ind w:left="1180" w:hanging="251"/>
        <w:spacing w:after="0" w:line="207" w:lineRule="exact"/>
        <w:tabs>
          <w:tab w:leader="none" w:pos="1180" w:val="left"/>
        </w:tabs>
        <w:numPr>
          <w:ilvl w:val="1"/>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69" w:lineRule="exact"/>
        <w:rPr>
          <w:rFonts w:ascii="Times New Roman" w:cs="Times New Roman" w:eastAsia="Times New Roman" w:hAnsi="Times New Roman"/>
          <w:sz w:val="18"/>
          <w:szCs w:val="18"/>
          <w:color w:val="auto"/>
        </w:rPr>
      </w:pPr>
    </w:p>
    <w:p>
      <w:pPr>
        <w:ind w:left="1180" w:hanging="251"/>
        <w:spacing w:after="0" w:line="207" w:lineRule="exact"/>
        <w:tabs>
          <w:tab w:leader="none" w:pos="1180" w:val="left"/>
        </w:tabs>
        <w:numPr>
          <w:ilvl w:val="1"/>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24" w:lineRule="exact"/>
        <w:rPr>
          <w:rFonts w:ascii="Times New Roman" w:cs="Times New Roman" w:eastAsia="Times New Roman" w:hAnsi="Times New Roman"/>
          <w:sz w:val="18"/>
          <w:szCs w:val="18"/>
          <w:color w:val="auto"/>
        </w:rPr>
      </w:pPr>
    </w:p>
    <w:p>
      <w:pPr>
        <w:ind w:left="920" w:hanging="788"/>
        <w:spacing w:after="0"/>
        <w:tabs>
          <w:tab w:leader="none" w:pos="9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376" w:lineRule="exact"/>
        <w:rPr>
          <w:rFonts w:ascii="Times New Roman" w:cs="Times New Roman" w:eastAsia="Times New Roman" w:hAnsi="Times New Roman"/>
          <w:sz w:val="18"/>
          <w:szCs w:val="18"/>
          <w:color w:val="auto"/>
        </w:rPr>
      </w:pPr>
    </w:p>
    <w:p>
      <w:pPr>
        <w:ind w:left="920" w:hanging="788"/>
        <w:spacing w:after="0"/>
        <w:tabs>
          <w:tab w:leader="none" w:pos="9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21" w:lineRule="exact"/>
        <w:rPr>
          <w:rFonts w:ascii="Times New Roman" w:cs="Times New Roman" w:eastAsia="Times New Roman" w:hAnsi="Times New Roman"/>
          <w:sz w:val="18"/>
          <w:szCs w:val="18"/>
          <w:color w:val="auto"/>
        </w:rPr>
      </w:pPr>
    </w:p>
    <w:p>
      <w:pPr>
        <w:ind w:left="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Cayman Islands</w:t>
      </w:r>
    </w:p>
    <w:p>
      <w:pPr>
        <w:spacing w:after="0" w:line="148" w:lineRule="exact"/>
        <w:rPr>
          <w:rFonts w:ascii="Times New Roman" w:cs="Times New Roman" w:eastAsia="Times New Roman" w:hAnsi="Times New Roman"/>
          <w:sz w:val="18"/>
          <w:szCs w:val="18"/>
          <w:color w:val="auto"/>
        </w:rPr>
      </w:pPr>
    </w:p>
    <w:p>
      <w:pPr>
        <w:ind w:left="2940" w:hanging="783"/>
        <w:spacing w:after="0"/>
        <w:tabs>
          <w:tab w:leader="none" w:pos="294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21" w:lineRule="exact"/>
        <w:rPr>
          <w:sz w:val="20"/>
          <w:szCs w:val="20"/>
          <w:color w:val="auto"/>
        </w:rPr>
      </w:pPr>
    </w:p>
    <w:tbl>
      <w:tblPr>
        <w:tblLayout w:type="fixed"/>
        <w:tblInd w:w="560" w:type="dxa"/>
        <w:tblCellMar>
          <w:top w:w="0" w:type="dxa"/>
          <w:left w:w="0" w:type="dxa"/>
          <w:bottom w:w="0" w:type="dxa"/>
          <w:right w:w="0" w:type="dxa"/>
        </w:tblCellMar>
      </w:tblPr>
      <w:tr>
        <w:trPr>
          <w:trHeight w:val="238"/>
        </w:trPr>
        <w:tc>
          <w:tcPr>
            <w:tcW w:w="14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6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61"/>
        </w:trPr>
        <w:tc>
          <w:tcPr>
            <w:tcW w:w="1480" w:type="dxa"/>
            <w:vAlign w:val="bottom"/>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w w:val="99"/>
              </w:rPr>
              <w:t>Number of</w:t>
            </w:r>
          </w:p>
        </w:tc>
        <w:tc>
          <w:tcPr>
            <w:tcW w:w="580" w:type="dxa"/>
            <w:vAlign w:val="bottom"/>
            <w:tcBorders>
              <w:bottom w:val="single" w:sz="8" w:color="auto"/>
            </w:tcBorders>
          </w:tcPr>
          <w:p>
            <w:pPr>
              <w:spacing w:after="0"/>
              <w:rPr>
                <w:sz w:val="5"/>
                <w:szCs w:val="5"/>
                <w:color w:val="auto"/>
              </w:rPr>
            </w:pPr>
          </w:p>
        </w:tc>
        <w:tc>
          <w:tcPr>
            <w:tcW w:w="86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480" w:type="dxa"/>
            <w:vAlign w:val="bottom"/>
            <w:vMerge w:val="continue"/>
          </w:tcPr>
          <w:p>
            <w:pPr>
              <w:spacing w:after="0"/>
              <w:rPr>
                <w:sz w:val="18"/>
                <w:szCs w:val="18"/>
                <w:color w:val="auto"/>
              </w:rPr>
            </w:pPr>
          </w:p>
        </w:tc>
        <w:tc>
          <w:tcPr>
            <w:tcW w:w="5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6.</w:t>
            </w:r>
          </w:p>
        </w:tc>
        <w:tc>
          <w:tcPr>
            <w:tcW w:w="8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1"/>
        </w:trPr>
        <w:tc>
          <w:tcPr>
            <w:tcW w:w="148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w w:val="99"/>
              </w:rPr>
              <w:t>Shares</w:t>
            </w:r>
          </w:p>
        </w:tc>
        <w:tc>
          <w:tcPr>
            <w:tcW w:w="580" w:type="dxa"/>
            <w:vAlign w:val="bottom"/>
          </w:tcPr>
          <w:p>
            <w:pPr>
              <w:spacing w:after="0"/>
              <w:rPr>
                <w:sz w:val="18"/>
                <w:szCs w:val="18"/>
                <w:color w:val="auto"/>
              </w:rPr>
            </w:pPr>
          </w:p>
        </w:tc>
        <w:tc>
          <w:tcPr>
            <w:tcW w:w="8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48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w w:val="99"/>
              </w:rPr>
              <w:t>Beneficially</w:t>
            </w:r>
          </w:p>
        </w:tc>
        <w:tc>
          <w:tcPr>
            <w:tcW w:w="580" w:type="dxa"/>
            <w:vAlign w:val="bottom"/>
          </w:tcPr>
          <w:p>
            <w:pPr>
              <w:spacing w:after="0"/>
              <w:rPr>
                <w:sz w:val="19"/>
                <w:szCs w:val="19"/>
                <w:color w:val="auto"/>
              </w:rPr>
            </w:pPr>
          </w:p>
        </w:tc>
        <w:tc>
          <w:tcPr>
            <w:tcW w:w="86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1,966,123</w:t>
            </w:r>
          </w:p>
        </w:tc>
        <w:tc>
          <w:tcPr>
            <w:tcW w:w="0" w:type="dxa"/>
            <w:vAlign w:val="bottom"/>
          </w:tcPr>
          <w:p>
            <w:pPr>
              <w:spacing w:after="0"/>
              <w:rPr>
                <w:sz w:val="1"/>
                <w:szCs w:val="1"/>
                <w:color w:val="auto"/>
              </w:rPr>
            </w:pPr>
          </w:p>
        </w:tc>
      </w:tr>
      <w:tr>
        <w:trPr>
          <w:trHeight w:val="115"/>
        </w:trPr>
        <w:tc>
          <w:tcPr>
            <w:tcW w:w="1480" w:type="dxa"/>
            <w:vAlign w:val="bottom"/>
            <w:vMerge w:val="restart"/>
          </w:tcPr>
          <w:p>
            <w:pPr>
              <w:jc w:val="center"/>
              <w:ind w:right="450"/>
              <w:spacing w:after="0"/>
              <w:rPr>
                <w:sz w:val="20"/>
                <w:szCs w:val="20"/>
                <w:color w:val="auto"/>
              </w:rPr>
            </w:pPr>
            <w:r>
              <w:rPr>
                <w:rFonts w:ascii="Times New Roman" w:cs="Times New Roman" w:eastAsia="Times New Roman" w:hAnsi="Times New Roman"/>
                <w:sz w:val="18"/>
                <w:szCs w:val="18"/>
                <w:color w:val="auto"/>
                <w:w w:val="99"/>
              </w:rPr>
              <w:t>Owned by</w:t>
            </w:r>
          </w:p>
        </w:tc>
        <w:tc>
          <w:tcPr>
            <w:tcW w:w="580" w:type="dxa"/>
            <w:vAlign w:val="bottom"/>
            <w:tcBorders>
              <w:bottom w:val="single" w:sz="8" w:color="auto"/>
            </w:tcBorders>
          </w:tcPr>
          <w:p>
            <w:pPr>
              <w:spacing w:after="0"/>
              <w:rPr>
                <w:sz w:val="10"/>
                <w:szCs w:val="10"/>
                <w:color w:val="auto"/>
              </w:rPr>
            </w:pPr>
          </w:p>
        </w:tc>
        <w:tc>
          <w:tcPr>
            <w:tcW w:w="86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480" w:type="dxa"/>
            <w:vAlign w:val="bottom"/>
            <w:vMerge w:val="continue"/>
          </w:tcPr>
          <w:p>
            <w:pPr>
              <w:spacing w:after="0"/>
              <w:rPr>
                <w:sz w:val="6"/>
                <w:szCs w:val="6"/>
                <w:color w:val="auto"/>
              </w:rPr>
            </w:pPr>
          </w:p>
        </w:tc>
        <w:tc>
          <w:tcPr>
            <w:tcW w:w="5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7.</w:t>
            </w:r>
          </w:p>
        </w:tc>
        <w:tc>
          <w:tcPr>
            <w:tcW w:w="862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48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w w:val="99"/>
              </w:rPr>
              <w:t>Each</w:t>
            </w:r>
          </w:p>
        </w:tc>
        <w:tc>
          <w:tcPr>
            <w:tcW w:w="580" w:type="dxa"/>
            <w:vAlign w:val="bottom"/>
            <w:vMerge w:val="continue"/>
          </w:tcPr>
          <w:p>
            <w:pPr>
              <w:spacing w:after="0"/>
              <w:rPr>
                <w:sz w:val="18"/>
                <w:szCs w:val="18"/>
                <w:color w:val="auto"/>
              </w:rPr>
            </w:pPr>
          </w:p>
        </w:tc>
        <w:tc>
          <w:tcPr>
            <w:tcW w:w="8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w w:val="99"/>
              </w:rPr>
              <w:t>Reporting</w:t>
            </w:r>
          </w:p>
        </w:tc>
        <w:tc>
          <w:tcPr>
            <w:tcW w:w="580" w:type="dxa"/>
            <w:vAlign w:val="bottom"/>
          </w:tcPr>
          <w:p>
            <w:pPr>
              <w:spacing w:after="0"/>
              <w:rPr>
                <w:sz w:val="18"/>
                <w:szCs w:val="18"/>
                <w:color w:val="auto"/>
              </w:rPr>
            </w:pPr>
          </w:p>
        </w:tc>
        <w:tc>
          <w:tcPr>
            <w:tcW w:w="8620" w:type="dxa"/>
            <w:vAlign w:val="bottom"/>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234"/>
        </w:trPr>
        <w:tc>
          <w:tcPr>
            <w:tcW w:w="148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w w:val="99"/>
              </w:rPr>
              <w:t>Person With:</w:t>
            </w:r>
          </w:p>
        </w:tc>
        <w:tc>
          <w:tcPr>
            <w:tcW w:w="580" w:type="dxa"/>
            <w:vAlign w:val="bottom"/>
          </w:tcPr>
          <w:p>
            <w:pPr>
              <w:spacing w:after="0"/>
              <w:rPr>
                <w:sz w:val="20"/>
                <w:szCs w:val="20"/>
                <w:color w:val="auto"/>
              </w:rPr>
            </w:pPr>
          </w:p>
        </w:tc>
        <w:tc>
          <w:tcPr>
            <w:tcW w:w="86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2940" w:hanging="783"/>
        <w:spacing w:after="0"/>
        <w:tabs>
          <w:tab w:leader="none" w:pos="294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221" w:lineRule="exact"/>
        <w:rPr>
          <w:rFonts w:ascii="Times New Roman" w:cs="Times New Roman" w:eastAsia="Times New Roman" w:hAnsi="Times New Roman"/>
          <w:sz w:val="18"/>
          <w:szCs w:val="18"/>
          <w:color w:val="auto"/>
        </w:rPr>
      </w:pPr>
    </w:p>
    <w:p>
      <w:pPr>
        <w:ind w:left="29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1,966,123</w:t>
      </w:r>
    </w:p>
    <w:p>
      <w:pPr>
        <w:spacing w:after="0" w:line="148" w:lineRule="exact"/>
        <w:rPr>
          <w:rFonts w:ascii="Times New Roman" w:cs="Times New Roman" w:eastAsia="Times New Roman" w:hAnsi="Times New Roman"/>
          <w:sz w:val="18"/>
          <w:szCs w:val="18"/>
          <w:color w:val="auto"/>
        </w:rPr>
      </w:pPr>
    </w:p>
    <w:p>
      <w:pPr>
        <w:ind w:left="920" w:hanging="788"/>
        <w:spacing w:after="0"/>
        <w:tabs>
          <w:tab w:leader="none" w:pos="9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21" w:lineRule="exact"/>
        <w:rPr>
          <w:rFonts w:ascii="Times New Roman" w:cs="Times New Roman" w:eastAsia="Times New Roman" w:hAnsi="Times New Roman"/>
          <w:sz w:val="18"/>
          <w:szCs w:val="18"/>
          <w:color w:val="auto"/>
        </w:rPr>
      </w:pPr>
    </w:p>
    <w:p>
      <w:pPr>
        <w:ind w:left="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1,966,123</w:t>
      </w:r>
    </w:p>
    <w:p>
      <w:pPr>
        <w:spacing w:after="0" w:line="107" w:lineRule="exact"/>
        <w:rPr>
          <w:rFonts w:ascii="Times New Roman" w:cs="Times New Roman" w:eastAsia="Times New Roman" w:hAnsi="Times New Roman"/>
          <w:sz w:val="18"/>
          <w:szCs w:val="18"/>
          <w:color w:val="auto"/>
        </w:rPr>
      </w:pPr>
    </w:p>
    <w:p>
      <w:pPr>
        <w:ind w:left="920" w:hanging="788"/>
        <w:spacing w:after="0" w:line="207" w:lineRule="exact"/>
        <w:tabs>
          <w:tab w:leader="none" w:pos="9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ind w:left="920" w:hanging="788"/>
        <w:spacing w:after="0"/>
        <w:tabs>
          <w:tab w:leader="none" w:pos="9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21" w:lineRule="exact"/>
        <w:rPr>
          <w:rFonts w:ascii="Times New Roman" w:cs="Times New Roman" w:eastAsia="Times New Roman" w:hAnsi="Times New Roman"/>
          <w:sz w:val="18"/>
          <w:szCs w:val="18"/>
          <w:color w:val="auto"/>
        </w:rPr>
      </w:pPr>
    </w:p>
    <w:p>
      <w:pPr>
        <w:ind w:left="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6.2%(1)</w:t>
      </w:r>
    </w:p>
    <w:p>
      <w:pPr>
        <w:spacing w:after="0" w:line="148" w:lineRule="exact"/>
        <w:rPr>
          <w:rFonts w:ascii="Times New Roman" w:cs="Times New Roman" w:eastAsia="Times New Roman" w:hAnsi="Times New Roman"/>
          <w:sz w:val="18"/>
          <w:szCs w:val="18"/>
          <w:color w:val="auto"/>
        </w:rPr>
      </w:pPr>
    </w:p>
    <w:p>
      <w:pPr>
        <w:ind w:left="920" w:hanging="788"/>
        <w:spacing w:after="0"/>
        <w:tabs>
          <w:tab w:leader="none" w:pos="9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21" w:lineRule="exact"/>
        <w:rPr>
          <w:rFonts w:ascii="Times New Roman" w:cs="Times New Roman" w:eastAsia="Times New Roman" w:hAnsi="Times New Roman"/>
          <w:sz w:val="18"/>
          <w:szCs w:val="18"/>
          <w:color w:val="auto"/>
        </w:rPr>
      </w:pPr>
    </w:p>
    <w:p>
      <w:pPr>
        <w:ind w:left="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PN</w:t>
      </w:r>
    </w:p>
    <w:p>
      <w:pPr>
        <w:spacing w:after="0" w:line="310"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on 31,956,657 shares of common stock outstanding upon the closing of the Issuer’s initial public offering, as set forth in the prospectus dated January 25, 2024 filed with the Securities and Exchange Commission on January 26,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tabs>
          <w:tab w:leader="none" w:pos="10400" w:val="left"/>
        </w:tabs>
        <w:rPr>
          <w:sz w:val="20"/>
          <w:szCs w:val="20"/>
          <w:color w:val="auto"/>
        </w:rPr>
      </w:pPr>
      <w:r>
        <w:rPr>
          <w:rFonts w:ascii="Times New Roman" w:cs="Times New Roman" w:eastAsia="Times New Roman" w:hAnsi="Times New Roman"/>
          <w:sz w:val="18"/>
          <w:szCs w:val="18"/>
          <w:b w:val="1"/>
          <w:bCs w:val="1"/>
          <w:color w:val="auto"/>
        </w:rPr>
        <w:t>CUSIP No. 04272N 102</w:t>
      </w:r>
      <w:r>
        <w:rPr>
          <w:sz w:val="20"/>
          <w:szCs w:val="20"/>
          <w:color w:val="auto"/>
        </w:rPr>
        <w:tab/>
      </w:r>
      <w:r>
        <w:rPr>
          <w:rFonts w:ascii="Times New Roman" w:cs="Times New Roman" w:eastAsia="Times New Roman" w:hAnsi="Times New Roman"/>
          <w:sz w:val="18"/>
          <w:szCs w:val="18"/>
          <w:color w:val="auto"/>
        </w:rPr>
        <w:t>Page 3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59836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5983605"/>
                    </a:xfrm>
                    <a:prstGeom prst="rect">
                      <a:avLst/>
                    </a:prstGeom>
                    <a:noFill/>
                  </pic:spPr>
                </pic:pic>
              </a:graphicData>
            </a:graphic>
          </wp:anchor>
        </w:drawing>
      </w:r>
    </w:p>
    <w:p>
      <w:pPr>
        <w:spacing w:after="0" w:line="290" w:lineRule="exact"/>
        <w:rPr>
          <w:sz w:val="20"/>
          <w:szCs w:val="20"/>
          <w:color w:val="auto"/>
        </w:rPr>
      </w:pPr>
    </w:p>
    <w:p>
      <w:pPr>
        <w:ind w:left="920" w:hanging="788"/>
        <w:spacing w:after="0"/>
        <w:tabs>
          <w:tab w:leader="none" w:pos="9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w:t>
      </w:r>
    </w:p>
    <w:p>
      <w:pPr>
        <w:spacing w:after="0" w:line="221" w:lineRule="exact"/>
        <w:rPr>
          <w:rFonts w:ascii="Times New Roman" w:cs="Times New Roman" w:eastAsia="Times New Roman" w:hAnsi="Times New Roman"/>
          <w:sz w:val="18"/>
          <w:szCs w:val="18"/>
          <w:color w:val="auto"/>
        </w:rPr>
      </w:pPr>
    </w:p>
    <w:p>
      <w:pPr>
        <w:ind w:left="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LAV Star Limited (“STAR”)</w:t>
      </w:r>
    </w:p>
    <w:p>
      <w:pPr>
        <w:spacing w:after="0" w:line="148" w:lineRule="exact"/>
        <w:rPr>
          <w:rFonts w:ascii="Times New Roman" w:cs="Times New Roman" w:eastAsia="Times New Roman" w:hAnsi="Times New Roman"/>
          <w:sz w:val="18"/>
          <w:szCs w:val="18"/>
          <w:color w:val="auto"/>
        </w:rPr>
      </w:pPr>
    </w:p>
    <w:p>
      <w:pPr>
        <w:ind w:left="920" w:hanging="788"/>
        <w:spacing w:after="0"/>
        <w:tabs>
          <w:tab w:leader="none" w:pos="9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184" w:lineRule="exact"/>
        <w:rPr>
          <w:rFonts w:ascii="Times New Roman" w:cs="Times New Roman" w:eastAsia="Times New Roman" w:hAnsi="Times New Roman"/>
          <w:sz w:val="18"/>
          <w:szCs w:val="18"/>
          <w:color w:val="auto"/>
        </w:rPr>
      </w:pPr>
    </w:p>
    <w:p>
      <w:pPr>
        <w:ind w:left="1180" w:hanging="251"/>
        <w:spacing w:after="0" w:line="207" w:lineRule="exact"/>
        <w:tabs>
          <w:tab w:leader="none" w:pos="1180" w:val="left"/>
        </w:tabs>
        <w:numPr>
          <w:ilvl w:val="1"/>
          <w:numId w:val="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69" w:lineRule="exact"/>
        <w:rPr>
          <w:rFonts w:ascii="Times New Roman" w:cs="Times New Roman" w:eastAsia="Times New Roman" w:hAnsi="Times New Roman"/>
          <w:sz w:val="18"/>
          <w:szCs w:val="18"/>
          <w:color w:val="auto"/>
        </w:rPr>
      </w:pPr>
    </w:p>
    <w:p>
      <w:pPr>
        <w:ind w:left="1180" w:hanging="251"/>
        <w:spacing w:after="0" w:line="207" w:lineRule="exact"/>
        <w:tabs>
          <w:tab w:leader="none" w:pos="1180" w:val="left"/>
        </w:tabs>
        <w:numPr>
          <w:ilvl w:val="1"/>
          <w:numId w:val="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24" w:lineRule="exact"/>
        <w:rPr>
          <w:rFonts w:ascii="Times New Roman" w:cs="Times New Roman" w:eastAsia="Times New Roman" w:hAnsi="Times New Roman"/>
          <w:sz w:val="18"/>
          <w:szCs w:val="18"/>
          <w:color w:val="auto"/>
        </w:rPr>
      </w:pPr>
    </w:p>
    <w:p>
      <w:pPr>
        <w:ind w:left="920" w:hanging="788"/>
        <w:spacing w:after="0"/>
        <w:tabs>
          <w:tab w:leader="none" w:pos="9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376" w:lineRule="exact"/>
        <w:rPr>
          <w:rFonts w:ascii="Times New Roman" w:cs="Times New Roman" w:eastAsia="Times New Roman" w:hAnsi="Times New Roman"/>
          <w:sz w:val="18"/>
          <w:szCs w:val="18"/>
          <w:color w:val="auto"/>
        </w:rPr>
      </w:pPr>
    </w:p>
    <w:p>
      <w:pPr>
        <w:ind w:left="920" w:hanging="788"/>
        <w:spacing w:after="0"/>
        <w:tabs>
          <w:tab w:leader="none" w:pos="9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21" w:lineRule="exact"/>
        <w:rPr>
          <w:rFonts w:ascii="Times New Roman" w:cs="Times New Roman" w:eastAsia="Times New Roman" w:hAnsi="Times New Roman"/>
          <w:sz w:val="18"/>
          <w:szCs w:val="18"/>
          <w:color w:val="auto"/>
        </w:rPr>
      </w:pPr>
    </w:p>
    <w:p>
      <w:pPr>
        <w:ind w:left="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British Virgin Islands</w:t>
      </w:r>
    </w:p>
    <w:p>
      <w:pPr>
        <w:spacing w:after="0" w:line="148" w:lineRule="exact"/>
        <w:rPr>
          <w:rFonts w:ascii="Times New Roman" w:cs="Times New Roman" w:eastAsia="Times New Roman" w:hAnsi="Times New Roman"/>
          <w:sz w:val="18"/>
          <w:szCs w:val="18"/>
          <w:color w:val="auto"/>
        </w:rPr>
      </w:pPr>
    </w:p>
    <w:p>
      <w:pPr>
        <w:ind w:left="2940" w:hanging="783"/>
        <w:spacing w:after="0"/>
        <w:tabs>
          <w:tab w:leader="none" w:pos="2940"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21" w:lineRule="exact"/>
        <w:rPr>
          <w:sz w:val="20"/>
          <w:szCs w:val="20"/>
          <w:color w:val="auto"/>
        </w:rPr>
      </w:pPr>
    </w:p>
    <w:tbl>
      <w:tblPr>
        <w:tblLayout w:type="fixed"/>
        <w:tblInd w:w="560" w:type="dxa"/>
        <w:tblCellMar>
          <w:top w:w="0" w:type="dxa"/>
          <w:left w:w="0" w:type="dxa"/>
          <w:bottom w:w="0" w:type="dxa"/>
          <w:right w:w="0" w:type="dxa"/>
        </w:tblCellMar>
      </w:tblPr>
      <w:tr>
        <w:trPr>
          <w:trHeight w:val="238"/>
        </w:trPr>
        <w:tc>
          <w:tcPr>
            <w:tcW w:w="14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6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61"/>
        </w:trPr>
        <w:tc>
          <w:tcPr>
            <w:tcW w:w="1480" w:type="dxa"/>
            <w:vAlign w:val="bottom"/>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w w:val="99"/>
              </w:rPr>
              <w:t>Number of</w:t>
            </w:r>
          </w:p>
        </w:tc>
        <w:tc>
          <w:tcPr>
            <w:tcW w:w="580" w:type="dxa"/>
            <w:vAlign w:val="bottom"/>
            <w:tcBorders>
              <w:bottom w:val="single" w:sz="8" w:color="auto"/>
            </w:tcBorders>
          </w:tcPr>
          <w:p>
            <w:pPr>
              <w:spacing w:after="0"/>
              <w:rPr>
                <w:sz w:val="5"/>
                <w:szCs w:val="5"/>
                <w:color w:val="auto"/>
              </w:rPr>
            </w:pPr>
          </w:p>
        </w:tc>
        <w:tc>
          <w:tcPr>
            <w:tcW w:w="86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480" w:type="dxa"/>
            <w:vAlign w:val="bottom"/>
            <w:vMerge w:val="continue"/>
          </w:tcPr>
          <w:p>
            <w:pPr>
              <w:spacing w:after="0"/>
              <w:rPr>
                <w:sz w:val="18"/>
                <w:szCs w:val="18"/>
                <w:color w:val="auto"/>
              </w:rPr>
            </w:pPr>
          </w:p>
        </w:tc>
        <w:tc>
          <w:tcPr>
            <w:tcW w:w="5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6.</w:t>
            </w:r>
          </w:p>
        </w:tc>
        <w:tc>
          <w:tcPr>
            <w:tcW w:w="8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1"/>
        </w:trPr>
        <w:tc>
          <w:tcPr>
            <w:tcW w:w="148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w w:val="99"/>
              </w:rPr>
              <w:t>Shares</w:t>
            </w:r>
          </w:p>
        </w:tc>
        <w:tc>
          <w:tcPr>
            <w:tcW w:w="580" w:type="dxa"/>
            <w:vAlign w:val="bottom"/>
          </w:tcPr>
          <w:p>
            <w:pPr>
              <w:spacing w:after="0"/>
              <w:rPr>
                <w:sz w:val="18"/>
                <w:szCs w:val="18"/>
                <w:color w:val="auto"/>
              </w:rPr>
            </w:pPr>
          </w:p>
        </w:tc>
        <w:tc>
          <w:tcPr>
            <w:tcW w:w="8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48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w w:val="99"/>
              </w:rPr>
              <w:t>Beneficially</w:t>
            </w:r>
          </w:p>
        </w:tc>
        <w:tc>
          <w:tcPr>
            <w:tcW w:w="580" w:type="dxa"/>
            <w:vAlign w:val="bottom"/>
          </w:tcPr>
          <w:p>
            <w:pPr>
              <w:spacing w:after="0"/>
              <w:rPr>
                <w:sz w:val="19"/>
                <w:szCs w:val="19"/>
                <w:color w:val="auto"/>
              </w:rPr>
            </w:pPr>
          </w:p>
        </w:tc>
        <w:tc>
          <w:tcPr>
            <w:tcW w:w="86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40,000</w:t>
            </w:r>
          </w:p>
        </w:tc>
        <w:tc>
          <w:tcPr>
            <w:tcW w:w="0" w:type="dxa"/>
            <w:vAlign w:val="bottom"/>
          </w:tcPr>
          <w:p>
            <w:pPr>
              <w:spacing w:after="0"/>
              <w:rPr>
                <w:sz w:val="1"/>
                <w:szCs w:val="1"/>
                <w:color w:val="auto"/>
              </w:rPr>
            </w:pPr>
          </w:p>
        </w:tc>
      </w:tr>
      <w:tr>
        <w:trPr>
          <w:trHeight w:val="115"/>
        </w:trPr>
        <w:tc>
          <w:tcPr>
            <w:tcW w:w="1480" w:type="dxa"/>
            <w:vAlign w:val="bottom"/>
            <w:vMerge w:val="restart"/>
          </w:tcPr>
          <w:p>
            <w:pPr>
              <w:jc w:val="center"/>
              <w:ind w:right="450"/>
              <w:spacing w:after="0"/>
              <w:rPr>
                <w:sz w:val="20"/>
                <w:szCs w:val="20"/>
                <w:color w:val="auto"/>
              </w:rPr>
            </w:pPr>
            <w:r>
              <w:rPr>
                <w:rFonts w:ascii="Times New Roman" w:cs="Times New Roman" w:eastAsia="Times New Roman" w:hAnsi="Times New Roman"/>
                <w:sz w:val="18"/>
                <w:szCs w:val="18"/>
                <w:color w:val="auto"/>
                <w:w w:val="99"/>
              </w:rPr>
              <w:t>Owned by</w:t>
            </w:r>
          </w:p>
        </w:tc>
        <w:tc>
          <w:tcPr>
            <w:tcW w:w="580" w:type="dxa"/>
            <w:vAlign w:val="bottom"/>
            <w:tcBorders>
              <w:bottom w:val="single" w:sz="8" w:color="auto"/>
            </w:tcBorders>
          </w:tcPr>
          <w:p>
            <w:pPr>
              <w:spacing w:after="0"/>
              <w:rPr>
                <w:sz w:val="10"/>
                <w:szCs w:val="10"/>
                <w:color w:val="auto"/>
              </w:rPr>
            </w:pPr>
          </w:p>
        </w:tc>
        <w:tc>
          <w:tcPr>
            <w:tcW w:w="86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480" w:type="dxa"/>
            <w:vAlign w:val="bottom"/>
            <w:vMerge w:val="continue"/>
          </w:tcPr>
          <w:p>
            <w:pPr>
              <w:spacing w:after="0"/>
              <w:rPr>
                <w:sz w:val="6"/>
                <w:szCs w:val="6"/>
                <w:color w:val="auto"/>
              </w:rPr>
            </w:pPr>
          </w:p>
        </w:tc>
        <w:tc>
          <w:tcPr>
            <w:tcW w:w="5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7.</w:t>
            </w:r>
          </w:p>
        </w:tc>
        <w:tc>
          <w:tcPr>
            <w:tcW w:w="862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48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w w:val="99"/>
              </w:rPr>
              <w:t>Each</w:t>
            </w:r>
          </w:p>
        </w:tc>
        <w:tc>
          <w:tcPr>
            <w:tcW w:w="580" w:type="dxa"/>
            <w:vAlign w:val="bottom"/>
            <w:vMerge w:val="continue"/>
          </w:tcPr>
          <w:p>
            <w:pPr>
              <w:spacing w:after="0"/>
              <w:rPr>
                <w:sz w:val="18"/>
                <w:szCs w:val="18"/>
                <w:color w:val="auto"/>
              </w:rPr>
            </w:pPr>
          </w:p>
        </w:tc>
        <w:tc>
          <w:tcPr>
            <w:tcW w:w="8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w w:val="99"/>
              </w:rPr>
              <w:t>Reporting</w:t>
            </w:r>
          </w:p>
        </w:tc>
        <w:tc>
          <w:tcPr>
            <w:tcW w:w="580" w:type="dxa"/>
            <w:vAlign w:val="bottom"/>
          </w:tcPr>
          <w:p>
            <w:pPr>
              <w:spacing w:after="0"/>
              <w:rPr>
                <w:sz w:val="18"/>
                <w:szCs w:val="18"/>
                <w:color w:val="auto"/>
              </w:rPr>
            </w:pPr>
          </w:p>
        </w:tc>
        <w:tc>
          <w:tcPr>
            <w:tcW w:w="8620" w:type="dxa"/>
            <w:vAlign w:val="bottom"/>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234"/>
        </w:trPr>
        <w:tc>
          <w:tcPr>
            <w:tcW w:w="148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w w:val="99"/>
              </w:rPr>
              <w:t>Person With:</w:t>
            </w:r>
          </w:p>
        </w:tc>
        <w:tc>
          <w:tcPr>
            <w:tcW w:w="580" w:type="dxa"/>
            <w:vAlign w:val="bottom"/>
          </w:tcPr>
          <w:p>
            <w:pPr>
              <w:spacing w:after="0"/>
              <w:rPr>
                <w:sz w:val="20"/>
                <w:szCs w:val="20"/>
                <w:color w:val="auto"/>
              </w:rPr>
            </w:pPr>
          </w:p>
        </w:tc>
        <w:tc>
          <w:tcPr>
            <w:tcW w:w="86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2940" w:hanging="783"/>
        <w:spacing w:after="0"/>
        <w:tabs>
          <w:tab w:leader="none" w:pos="2940"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221" w:lineRule="exact"/>
        <w:rPr>
          <w:rFonts w:ascii="Times New Roman" w:cs="Times New Roman" w:eastAsia="Times New Roman" w:hAnsi="Times New Roman"/>
          <w:sz w:val="18"/>
          <w:szCs w:val="18"/>
          <w:color w:val="auto"/>
        </w:rPr>
      </w:pPr>
    </w:p>
    <w:p>
      <w:pPr>
        <w:ind w:left="29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40,000</w:t>
      </w:r>
    </w:p>
    <w:p>
      <w:pPr>
        <w:spacing w:after="0" w:line="148" w:lineRule="exact"/>
        <w:rPr>
          <w:rFonts w:ascii="Times New Roman" w:cs="Times New Roman" w:eastAsia="Times New Roman" w:hAnsi="Times New Roman"/>
          <w:sz w:val="18"/>
          <w:szCs w:val="18"/>
          <w:color w:val="auto"/>
        </w:rPr>
      </w:pPr>
    </w:p>
    <w:p>
      <w:pPr>
        <w:ind w:left="920" w:hanging="788"/>
        <w:spacing w:after="0"/>
        <w:tabs>
          <w:tab w:leader="none" w:pos="9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21" w:lineRule="exact"/>
        <w:rPr>
          <w:rFonts w:ascii="Times New Roman" w:cs="Times New Roman" w:eastAsia="Times New Roman" w:hAnsi="Times New Roman"/>
          <w:sz w:val="18"/>
          <w:szCs w:val="18"/>
          <w:color w:val="auto"/>
        </w:rPr>
      </w:pPr>
    </w:p>
    <w:p>
      <w:pPr>
        <w:ind w:left="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40,000</w:t>
      </w:r>
    </w:p>
    <w:p>
      <w:pPr>
        <w:spacing w:after="0" w:line="107" w:lineRule="exact"/>
        <w:rPr>
          <w:rFonts w:ascii="Times New Roman" w:cs="Times New Roman" w:eastAsia="Times New Roman" w:hAnsi="Times New Roman"/>
          <w:sz w:val="18"/>
          <w:szCs w:val="18"/>
          <w:color w:val="auto"/>
        </w:rPr>
      </w:pPr>
    </w:p>
    <w:p>
      <w:pPr>
        <w:ind w:left="920" w:hanging="788"/>
        <w:spacing w:after="0" w:line="207" w:lineRule="exact"/>
        <w:tabs>
          <w:tab w:leader="none" w:pos="9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ind w:left="920" w:hanging="788"/>
        <w:spacing w:after="0"/>
        <w:tabs>
          <w:tab w:leader="none" w:pos="9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21" w:lineRule="exact"/>
        <w:rPr>
          <w:rFonts w:ascii="Times New Roman" w:cs="Times New Roman" w:eastAsia="Times New Roman" w:hAnsi="Times New Roman"/>
          <w:sz w:val="18"/>
          <w:szCs w:val="18"/>
          <w:color w:val="auto"/>
        </w:rPr>
      </w:pPr>
    </w:p>
    <w:p>
      <w:pPr>
        <w:ind w:left="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0.1%(1)</w:t>
      </w:r>
    </w:p>
    <w:p>
      <w:pPr>
        <w:spacing w:after="0" w:line="148" w:lineRule="exact"/>
        <w:rPr>
          <w:rFonts w:ascii="Times New Roman" w:cs="Times New Roman" w:eastAsia="Times New Roman" w:hAnsi="Times New Roman"/>
          <w:sz w:val="18"/>
          <w:szCs w:val="18"/>
          <w:color w:val="auto"/>
        </w:rPr>
      </w:pPr>
    </w:p>
    <w:p>
      <w:pPr>
        <w:ind w:left="920" w:hanging="788"/>
        <w:spacing w:after="0"/>
        <w:tabs>
          <w:tab w:leader="none" w:pos="9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21" w:lineRule="exact"/>
        <w:rPr>
          <w:rFonts w:ascii="Times New Roman" w:cs="Times New Roman" w:eastAsia="Times New Roman" w:hAnsi="Times New Roman"/>
          <w:sz w:val="18"/>
          <w:szCs w:val="18"/>
          <w:color w:val="auto"/>
        </w:rPr>
      </w:pPr>
    </w:p>
    <w:p>
      <w:pPr>
        <w:ind w:left="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OO</w:t>
      </w:r>
    </w:p>
    <w:p>
      <w:pPr>
        <w:spacing w:after="0" w:line="310"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on 31,956,657 shares of common stock outstanding upon the closing of the Issuer’s initial public offering, as set forth in the prospectus dated January 25, 2024 filed with the Securities and Exchange Commission on January 26,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spacing w:after="0"/>
        <w:tabs>
          <w:tab w:leader="none" w:pos="10400" w:val="left"/>
        </w:tabs>
        <w:rPr>
          <w:sz w:val="20"/>
          <w:szCs w:val="20"/>
          <w:color w:val="auto"/>
        </w:rPr>
      </w:pPr>
      <w:r>
        <w:rPr>
          <w:rFonts w:ascii="Times New Roman" w:cs="Times New Roman" w:eastAsia="Times New Roman" w:hAnsi="Times New Roman"/>
          <w:sz w:val="18"/>
          <w:szCs w:val="18"/>
          <w:b w:val="1"/>
          <w:bCs w:val="1"/>
          <w:color w:val="auto"/>
        </w:rPr>
        <w:t>CUSIP No. 04272N 102</w:t>
      </w:r>
      <w:r>
        <w:rPr>
          <w:sz w:val="20"/>
          <w:szCs w:val="20"/>
          <w:color w:val="auto"/>
        </w:rPr>
        <w:tab/>
      </w:r>
      <w:r>
        <w:rPr>
          <w:rFonts w:ascii="Times New Roman" w:cs="Times New Roman" w:eastAsia="Times New Roman" w:hAnsi="Times New Roman"/>
          <w:sz w:val="18"/>
          <w:szCs w:val="18"/>
          <w:color w:val="auto"/>
        </w:rPr>
        <w:t>Page 4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59836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5983605"/>
                    </a:xfrm>
                    <a:prstGeom prst="rect">
                      <a:avLst/>
                    </a:prstGeom>
                    <a:noFill/>
                  </pic:spPr>
                </pic:pic>
              </a:graphicData>
            </a:graphic>
          </wp:anchor>
        </w:drawing>
      </w:r>
    </w:p>
    <w:p>
      <w:pPr>
        <w:spacing w:after="0" w:line="290" w:lineRule="exact"/>
        <w:rPr>
          <w:sz w:val="20"/>
          <w:szCs w:val="20"/>
          <w:color w:val="auto"/>
        </w:rPr>
      </w:pPr>
    </w:p>
    <w:p>
      <w:pPr>
        <w:ind w:left="920" w:hanging="788"/>
        <w:spacing w:after="0"/>
        <w:tabs>
          <w:tab w:leader="none" w:pos="9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w:t>
      </w:r>
    </w:p>
    <w:p>
      <w:pPr>
        <w:spacing w:after="0" w:line="221" w:lineRule="exact"/>
        <w:rPr>
          <w:rFonts w:ascii="Times New Roman" w:cs="Times New Roman" w:eastAsia="Times New Roman" w:hAnsi="Times New Roman"/>
          <w:sz w:val="18"/>
          <w:szCs w:val="18"/>
          <w:color w:val="auto"/>
        </w:rPr>
      </w:pPr>
    </w:p>
    <w:p>
      <w:pPr>
        <w:ind w:left="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LAV Star Opportunities Limited (“STAR Opportunities”)</w:t>
      </w:r>
    </w:p>
    <w:p>
      <w:pPr>
        <w:spacing w:after="0" w:line="148" w:lineRule="exact"/>
        <w:rPr>
          <w:rFonts w:ascii="Times New Roman" w:cs="Times New Roman" w:eastAsia="Times New Roman" w:hAnsi="Times New Roman"/>
          <w:sz w:val="18"/>
          <w:szCs w:val="18"/>
          <w:color w:val="auto"/>
        </w:rPr>
      </w:pPr>
    </w:p>
    <w:p>
      <w:pPr>
        <w:ind w:left="920" w:hanging="788"/>
        <w:spacing w:after="0"/>
        <w:tabs>
          <w:tab w:leader="none" w:pos="9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184" w:lineRule="exact"/>
        <w:rPr>
          <w:rFonts w:ascii="Times New Roman" w:cs="Times New Roman" w:eastAsia="Times New Roman" w:hAnsi="Times New Roman"/>
          <w:sz w:val="18"/>
          <w:szCs w:val="18"/>
          <w:color w:val="auto"/>
        </w:rPr>
      </w:pPr>
    </w:p>
    <w:p>
      <w:pPr>
        <w:ind w:left="1180" w:hanging="251"/>
        <w:spacing w:after="0" w:line="207" w:lineRule="exact"/>
        <w:tabs>
          <w:tab w:leader="none" w:pos="1180" w:val="left"/>
        </w:tabs>
        <w:numPr>
          <w:ilvl w:val="1"/>
          <w:numId w:val="1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69" w:lineRule="exact"/>
        <w:rPr>
          <w:rFonts w:ascii="Times New Roman" w:cs="Times New Roman" w:eastAsia="Times New Roman" w:hAnsi="Times New Roman"/>
          <w:sz w:val="18"/>
          <w:szCs w:val="18"/>
          <w:color w:val="auto"/>
        </w:rPr>
      </w:pPr>
    </w:p>
    <w:p>
      <w:pPr>
        <w:ind w:left="1180" w:hanging="251"/>
        <w:spacing w:after="0" w:line="207" w:lineRule="exact"/>
        <w:tabs>
          <w:tab w:leader="none" w:pos="1180" w:val="left"/>
        </w:tabs>
        <w:numPr>
          <w:ilvl w:val="1"/>
          <w:numId w:val="1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24" w:lineRule="exact"/>
        <w:rPr>
          <w:rFonts w:ascii="Times New Roman" w:cs="Times New Roman" w:eastAsia="Times New Roman" w:hAnsi="Times New Roman"/>
          <w:sz w:val="18"/>
          <w:szCs w:val="18"/>
          <w:color w:val="auto"/>
        </w:rPr>
      </w:pPr>
    </w:p>
    <w:p>
      <w:pPr>
        <w:ind w:left="920" w:hanging="788"/>
        <w:spacing w:after="0"/>
        <w:tabs>
          <w:tab w:leader="none" w:pos="9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376" w:lineRule="exact"/>
        <w:rPr>
          <w:rFonts w:ascii="Times New Roman" w:cs="Times New Roman" w:eastAsia="Times New Roman" w:hAnsi="Times New Roman"/>
          <w:sz w:val="18"/>
          <w:szCs w:val="18"/>
          <w:color w:val="auto"/>
        </w:rPr>
      </w:pPr>
    </w:p>
    <w:p>
      <w:pPr>
        <w:ind w:left="920" w:hanging="788"/>
        <w:spacing w:after="0"/>
        <w:tabs>
          <w:tab w:leader="none" w:pos="9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21" w:lineRule="exact"/>
        <w:rPr>
          <w:rFonts w:ascii="Times New Roman" w:cs="Times New Roman" w:eastAsia="Times New Roman" w:hAnsi="Times New Roman"/>
          <w:sz w:val="18"/>
          <w:szCs w:val="18"/>
          <w:color w:val="auto"/>
        </w:rPr>
      </w:pPr>
    </w:p>
    <w:p>
      <w:pPr>
        <w:ind w:left="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British Virgin Islands</w:t>
      </w:r>
    </w:p>
    <w:p>
      <w:pPr>
        <w:spacing w:after="0" w:line="148" w:lineRule="exact"/>
        <w:rPr>
          <w:rFonts w:ascii="Times New Roman" w:cs="Times New Roman" w:eastAsia="Times New Roman" w:hAnsi="Times New Roman"/>
          <w:sz w:val="18"/>
          <w:szCs w:val="18"/>
          <w:color w:val="auto"/>
        </w:rPr>
      </w:pPr>
    </w:p>
    <w:p>
      <w:pPr>
        <w:ind w:left="2940" w:hanging="783"/>
        <w:spacing w:after="0"/>
        <w:tabs>
          <w:tab w:leader="none" w:pos="2940"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21" w:lineRule="exact"/>
        <w:rPr>
          <w:sz w:val="20"/>
          <w:szCs w:val="20"/>
          <w:color w:val="auto"/>
        </w:rPr>
      </w:pPr>
    </w:p>
    <w:tbl>
      <w:tblPr>
        <w:tblLayout w:type="fixed"/>
        <w:tblInd w:w="560" w:type="dxa"/>
        <w:tblCellMar>
          <w:top w:w="0" w:type="dxa"/>
          <w:left w:w="0" w:type="dxa"/>
          <w:bottom w:w="0" w:type="dxa"/>
          <w:right w:w="0" w:type="dxa"/>
        </w:tblCellMar>
      </w:tblPr>
      <w:tr>
        <w:trPr>
          <w:trHeight w:val="238"/>
        </w:trPr>
        <w:tc>
          <w:tcPr>
            <w:tcW w:w="14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6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61"/>
        </w:trPr>
        <w:tc>
          <w:tcPr>
            <w:tcW w:w="1480" w:type="dxa"/>
            <w:vAlign w:val="bottom"/>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w w:val="99"/>
              </w:rPr>
              <w:t>Number of</w:t>
            </w:r>
          </w:p>
        </w:tc>
        <w:tc>
          <w:tcPr>
            <w:tcW w:w="580" w:type="dxa"/>
            <w:vAlign w:val="bottom"/>
            <w:tcBorders>
              <w:bottom w:val="single" w:sz="8" w:color="auto"/>
            </w:tcBorders>
          </w:tcPr>
          <w:p>
            <w:pPr>
              <w:spacing w:after="0"/>
              <w:rPr>
                <w:sz w:val="5"/>
                <w:szCs w:val="5"/>
                <w:color w:val="auto"/>
              </w:rPr>
            </w:pPr>
          </w:p>
        </w:tc>
        <w:tc>
          <w:tcPr>
            <w:tcW w:w="86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480" w:type="dxa"/>
            <w:vAlign w:val="bottom"/>
            <w:vMerge w:val="continue"/>
          </w:tcPr>
          <w:p>
            <w:pPr>
              <w:spacing w:after="0"/>
              <w:rPr>
                <w:sz w:val="18"/>
                <w:szCs w:val="18"/>
                <w:color w:val="auto"/>
              </w:rPr>
            </w:pPr>
          </w:p>
        </w:tc>
        <w:tc>
          <w:tcPr>
            <w:tcW w:w="5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6.</w:t>
            </w:r>
          </w:p>
        </w:tc>
        <w:tc>
          <w:tcPr>
            <w:tcW w:w="8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1"/>
        </w:trPr>
        <w:tc>
          <w:tcPr>
            <w:tcW w:w="148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w w:val="99"/>
              </w:rPr>
              <w:t>Shares</w:t>
            </w:r>
          </w:p>
        </w:tc>
        <w:tc>
          <w:tcPr>
            <w:tcW w:w="580" w:type="dxa"/>
            <w:vAlign w:val="bottom"/>
          </w:tcPr>
          <w:p>
            <w:pPr>
              <w:spacing w:after="0"/>
              <w:rPr>
                <w:sz w:val="18"/>
                <w:szCs w:val="18"/>
                <w:color w:val="auto"/>
              </w:rPr>
            </w:pPr>
          </w:p>
        </w:tc>
        <w:tc>
          <w:tcPr>
            <w:tcW w:w="8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48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w w:val="99"/>
              </w:rPr>
              <w:t>Beneficially</w:t>
            </w:r>
          </w:p>
        </w:tc>
        <w:tc>
          <w:tcPr>
            <w:tcW w:w="580" w:type="dxa"/>
            <w:vAlign w:val="bottom"/>
          </w:tcPr>
          <w:p>
            <w:pPr>
              <w:spacing w:after="0"/>
              <w:rPr>
                <w:sz w:val="19"/>
                <w:szCs w:val="19"/>
                <w:color w:val="auto"/>
              </w:rPr>
            </w:pPr>
          </w:p>
        </w:tc>
        <w:tc>
          <w:tcPr>
            <w:tcW w:w="86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40,000</w:t>
            </w:r>
          </w:p>
        </w:tc>
        <w:tc>
          <w:tcPr>
            <w:tcW w:w="0" w:type="dxa"/>
            <w:vAlign w:val="bottom"/>
          </w:tcPr>
          <w:p>
            <w:pPr>
              <w:spacing w:after="0"/>
              <w:rPr>
                <w:sz w:val="1"/>
                <w:szCs w:val="1"/>
                <w:color w:val="auto"/>
              </w:rPr>
            </w:pPr>
          </w:p>
        </w:tc>
      </w:tr>
      <w:tr>
        <w:trPr>
          <w:trHeight w:val="115"/>
        </w:trPr>
        <w:tc>
          <w:tcPr>
            <w:tcW w:w="1480" w:type="dxa"/>
            <w:vAlign w:val="bottom"/>
            <w:vMerge w:val="restart"/>
          </w:tcPr>
          <w:p>
            <w:pPr>
              <w:jc w:val="center"/>
              <w:ind w:right="450"/>
              <w:spacing w:after="0"/>
              <w:rPr>
                <w:sz w:val="20"/>
                <w:szCs w:val="20"/>
                <w:color w:val="auto"/>
              </w:rPr>
            </w:pPr>
            <w:r>
              <w:rPr>
                <w:rFonts w:ascii="Times New Roman" w:cs="Times New Roman" w:eastAsia="Times New Roman" w:hAnsi="Times New Roman"/>
                <w:sz w:val="18"/>
                <w:szCs w:val="18"/>
                <w:color w:val="auto"/>
                <w:w w:val="99"/>
              </w:rPr>
              <w:t>Owned by</w:t>
            </w:r>
          </w:p>
        </w:tc>
        <w:tc>
          <w:tcPr>
            <w:tcW w:w="580" w:type="dxa"/>
            <w:vAlign w:val="bottom"/>
            <w:tcBorders>
              <w:bottom w:val="single" w:sz="8" w:color="auto"/>
            </w:tcBorders>
          </w:tcPr>
          <w:p>
            <w:pPr>
              <w:spacing w:after="0"/>
              <w:rPr>
                <w:sz w:val="10"/>
                <w:szCs w:val="10"/>
                <w:color w:val="auto"/>
              </w:rPr>
            </w:pPr>
          </w:p>
        </w:tc>
        <w:tc>
          <w:tcPr>
            <w:tcW w:w="86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480" w:type="dxa"/>
            <w:vAlign w:val="bottom"/>
            <w:vMerge w:val="continue"/>
          </w:tcPr>
          <w:p>
            <w:pPr>
              <w:spacing w:after="0"/>
              <w:rPr>
                <w:sz w:val="6"/>
                <w:szCs w:val="6"/>
                <w:color w:val="auto"/>
              </w:rPr>
            </w:pPr>
          </w:p>
        </w:tc>
        <w:tc>
          <w:tcPr>
            <w:tcW w:w="5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7.</w:t>
            </w:r>
          </w:p>
        </w:tc>
        <w:tc>
          <w:tcPr>
            <w:tcW w:w="862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48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w w:val="99"/>
              </w:rPr>
              <w:t>Each</w:t>
            </w:r>
          </w:p>
        </w:tc>
        <w:tc>
          <w:tcPr>
            <w:tcW w:w="580" w:type="dxa"/>
            <w:vAlign w:val="bottom"/>
            <w:vMerge w:val="continue"/>
          </w:tcPr>
          <w:p>
            <w:pPr>
              <w:spacing w:after="0"/>
              <w:rPr>
                <w:sz w:val="18"/>
                <w:szCs w:val="18"/>
                <w:color w:val="auto"/>
              </w:rPr>
            </w:pPr>
          </w:p>
        </w:tc>
        <w:tc>
          <w:tcPr>
            <w:tcW w:w="8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w w:val="99"/>
              </w:rPr>
              <w:t>Reporting</w:t>
            </w:r>
          </w:p>
        </w:tc>
        <w:tc>
          <w:tcPr>
            <w:tcW w:w="580" w:type="dxa"/>
            <w:vAlign w:val="bottom"/>
          </w:tcPr>
          <w:p>
            <w:pPr>
              <w:spacing w:after="0"/>
              <w:rPr>
                <w:sz w:val="18"/>
                <w:szCs w:val="18"/>
                <w:color w:val="auto"/>
              </w:rPr>
            </w:pPr>
          </w:p>
        </w:tc>
        <w:tc>
          <w:tcPr>
            <w:tcW w:w="8620" w:type="dxa"/>
            <w:vAlign w:val="bottom"/>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234"/>
        </w:trPr>
        <w:tc>
          <w:tcPr>
            <w:tcW w:w="148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w w:val="99"/>
              </w:rPr>
              <w:t>Person With:</w:t>
            </w:r>
          </w:p>
        </w:tc>
        <w:tc>
          <w:tcPr>
            <w:tcW w:w="580" w:type="dxa"/>
            <w:vAlign w:val="bottom"/>
          </w:tcPr>
          <w:p>
            <w:pPr>
              <w:spacing w:after="0"/>
              <w:rPr>
                <w:sz w:val="20"/>
                <w:szCs w:val="20"/>
                <w:color w:val="auto"/>
              </w:rPr>
            </w:pPr>
          </w:p>
        </w:tc>
        <w:tc>
          <w:tcPr>
            <w:tcW w:w="86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2940" w:hanging="783"/>
        <w:spacing w:after="0"/>
        <w:tabs>
          <w:tab w:leader="none" w:pos="2940"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221" w:lineRule="exact"/>
        <w:rPr>
          <w:rFonts w:ascii="Times New Roman" w:cs="Times New Roman" w:eastAsia="Times New Roman" w:hAnsi="Times New Roman"/>
          <w:sz w:val="18"/>
          <w:szCs w:val="18"/>
          <w:color w:val="auto"/>
        </w:rPr>
      </w:pPr>
    </w:p>
    <w:p>
      <w:pPr>
        <w:ind w:left="29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40,000</w:t>
      </w:r>
    </w:p>
    <w:p>
      <w:pPr>
        <w:spacing w:after="0" w:line="148" w:lineRule="exact"/>
        <w:rPr>
          <w:rFonts w:ascii="Times New Roman" w:cs="Times New Roman" w:eastAsia="Times New Roman" w:hAnsi="Times New Roman"/>
          <w:sz w:val="18"/>
          <w:szCs w:val="18"/>
          <w:color w:val="auto"/>
        </w:rPr>
      </w:pPr>
    </w:p>
    <w:p>
      <w:pPr>
        <w:ind w:left="920" w:hanging="788"/>
        <w:spacing w:after="0"/>
        <w:tabs>
          <w:tab w:leader="none" w:pos="9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21" w:lineRule="exact"/>
        <w:rPr>
          <w:rFonts w:ascii="Times New Roman" w:cs="Times New Roman" w:eastAsia="Times New Roman" w:hAnsi="Times New Roman"/>
          <w:sz w:val="18"/>
          <w:szCs w:val="18"/>
          <w:color w:val="auto"/>
        </w:rPr>
      </w:pPr>
    </w:p>
    <w:p>
      <w:pPr>
        <w:ind w:left="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40,000</w:t>
      </w:r>
    </w:p>
    <w:p>
      <w:pPr>
        <w:spacing w:after="0" w:line="107" w:lineRule="exact"/>
        <w:rPr>
          <w:rFonts w:ascii="Times New Roman" w:cs="Times New Roman" w:eastAsia="Times New Roman" w:hAnsi="Times New Roman"/>
          <w:sz w:val="18"/>
          <w:szCs w:val="18"/>
          <w:color w:val="auto"/>
        </w:rPr>
      </w:pPr>
    </w:p>
    <w:p>
      <w:pPr>
        <w:ind w:left="920" w:hanging="788"/>
        <w:spacing w:after="0" w:line="207" w:lineRule="exact"/>
        <w:tabs>
          <w:tab w:leader="none" w:pos="9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ind w:left="920" w:hanging="788"/>
        <w:spacing w:after="0"/>
        <w:tabs>
          <w:tab w:leader="none" w:pos="9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21" w:lineRule="exact"/>
        <w:rPr>
          <w:rFonts w:ascii="Times New Roman" w:cs="Times New Roman" w:eastAsia="Times New Roman" w:hAnsi="Times New Roman"/>
          <w:sz w:val="18"/>
          <w:szCs w:val="18"/>
          <w:color w:val="auto"/>
        </w:rPr>
      </w:pPr>
    </w:p>
    <w:p>
      <w:pPr>
        <w:ind w:left="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0.1%(1)</w:t>
      </w:r>
    </w:p>
    <w:p>
      <w:pPr>
        <w:spacing w:after="0" w:line="148" w:lineRule="exact"/>
        <w:rPr>
          <w:rFonts w:ascii="Times New Roman" w:cs="Times New Roman" w:eastAsia="Times New Roman" w:hAnsi="Times New Roman"/>
          <w:sz w:val="18"/>
          <w:szCs w:val="18"/>
          <w:color w:val="auto"/>
        </w:rPr>
      </w:pPr>
    </w:p>
    <w:p>
      <w:pPr>
        <w:ind w:left="920" w:hanging="788"/>
        <w:spacing w:after="0"/>
        <w:tabs>
          <w:tab w:leader="none" w:pos="9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21" w:lineRule="exact"/>
        <w:rPr>
          <w:rFonts w:ascii="Times New Roman" w:cs="Times New Roman" w:eastAsia="Times New Roman" w:hAnsi="Times New Roman"/>
          <w:sz w:val="18"/>
          <w:szCs w:val="18"/>
          <w:color w:val="auto"/>
        </w:rPr>
      </w:pPr>
    </w:p>
    <w:p>
      <w:pPr>
        <w:ind w:left="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OO</w:t>
      </w:r>
    </w:p>
    <w:p>
      <w:pPr>
        <w:spacing w:after="0" w:line="310"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on 31,956,657 shares of common stock outstanding upon the closing of the Issuer’s initial public offering, as set forth in the prospectus dated January 25, 2024 filed with the Securities and Exchange Commission on January 26,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spacing w:after="0"/>
        <w:tabs>
          <w:tab w:leader="none" w:pos="10400" w:val="left"/>
        </w:tabs>
        <w:rPr>
          <w:sz w:val="20"/>
          <w:szCs w:val="20"/>
          <w:color w:val="auto"/>
        </w:rPr>
      </w:pPr>
      <w:r>
        <w:rPr>
          <w:rFonts w:ascii="Times New Roman" w:cs="Times New Roman" w:eastAsia="Times New Roman" w:hAnsi="Times New Roman"/>
          <w:sz w:val="18"/>
          <w:szCs w:val="18"/>
          <w:b w:val="1"/>
          <w:bCs w:val="1"/>
          <w:color w:val="auto"/>
        </w:rPr>
        <w:t>CUSIP No. 04272N 102</w:t>
      </w:r>
      <w:r>
        <w:rPr>
          <w:sz w:val="20"/>
          <w:szCs w:val="20"/>
          <w:color w:val="auto"/>
        </w:rPr>
        <w:tab/>
      </w:r>
      <w:r>
        <w:rPr>
          <w:rFonts w:ascii="Times New Roman" w:cs="Times New Roman" w:eastAsia="Times New Roman" w:hAnsi="Times New Roman"/>
          <w:sz w:val="18"/>
          <w:szCs w:val="18"/>
          <w:color w:val="auto"/>
        </w:rPr>
        <w:t>Page 5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6532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6532245"/>
                    </a:xfrm>
                    <a:prstGeom prst="rect">
                      <a:avLst/>
                    </a:prstGeom>
                    <a:noFill/>
                  </pic:spPr>
                </pic:pic>
              </a:graphicData>
            </a:graphic>
          </wp:anchor>
        </w:drawing>
      </w:r>
    </w:p>
    <w:p>
      <w:pPr>
        <w:spacing w:after="0" w:line="290" w:lineRule="exact"/>
        <w:rPr>
          <w:sz w:val="20"/>
          <w:szCs w:val="20"/>
          <w:color w:val="auto"/>
        </w:rPr>
      </w:pPr>
    </w:p>
    <w:p>
      <w:pPr>
        <w:ind w:left="920" w:hanging="788"/>
        <w:spacing w:after="0"/>
        <w:tabs>
          <w:tab w:leader="none" w:pos="9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w:t>
      </w:r>
    </w:p>
    <w:p>
      <w:pPr>
        <w:spacing w:after="0" w:line="221" w:lineRule="exact"/>
        <w:rPr>
          <w:rFonts w:ascii="Times New Roman" w:cs="Times New Roman" w:eastAsia="Times New Roman" w:hAnsi="Times New Roman"/>
          <w:sz w:val="18"/>
          <w:szCs w:val="18"/>
          <w:color w:val="auto"/>
        </w:rPr>
      </w:pPr>
    </w:p>
    <w:p>
      <w:pPr>
        <w:ind w:left="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Yi Shi</w:t>
      </w:r>
    </w:p>
    <w:p>
      <w:pPr>
        <w:spacing w:after="0" w:line="148" w:lineRule="exact"/>
        <w:rPr>
          <w:rFonts w:ascii="Times New Roman" w:cs="Times New Roman" w:eastAsia="Times New Roman" w:hAnsi="Times New Roman"/>
          <w:sz w:val="18"/>
          <w:szCs w:val="18"/>
          <w:color w:val="auto"/>
        </w:rPr>
      </w:pPr>
    </w:p>
    <w:p>
      <w:pPr>
        <w:ind w:left="920" w:hanging="788"/>
        <w:spacing w:after="0"/>
        <w:tabs>
          <w:tab w:leader="none" w:pos="9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184" w:lineRule="exact"/>
        <w:rPr>
          <w:rFonts w:ascii="Times New Roman" w:cs="Times New Roman" w:eastAsia="Times New Roman" w:hAnsi="Times New Roman"/>
          <w:sz w:val="18"/>
          <w:szCs w:val="18"/>
          <w:color w:val="auto"/>
        </w:rPr>
      </w:pPr>
    </w:p>
    <w:p>
      <w:pPr>
        <w:ind w:left="1180" w:hanging="251"/>
        <w:spacing w:after="0" w:line="207" w:lineRule="exact"/>
        <w:tabs>
          <w:tab w:leader="none" w:pos="1180" w:val="left"/>
        </w:tabs>
        <w:numPr>
          <w:ilvl w:val="1"/>
          <w:numId w:val="1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69" w:lineRule="exact"/>
        <w:rPr>
          <w:rFonts w:ascii="Times New Roman" w:cs="Times New Roman" w:eastAsia="Times New Roman" w:hAnsi="Times New Roman"/>
          <w:sz w:val="18"/>
          <w:szCs w:val="18"/>
          <w:color w:val="auto"/>
        </w:rPr>
      </w:pPr>
    </w:p>
    <w:p>
      <w:pPr>
        <w:ind w:left="1180" w:hanging="251"/>
        <w:spacing w:after="0" w:line="207" w:lineRule="exact"/>
        <w:tabs>
          <w:tab w:leader="none" w:pos="1180" w:val="left"/>
        </w:tabs>
        <w:numPr>
          <w:ilvl w:val="1"/>
          <w:numId w:val="1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24" w:lineRule="exact"/>
        <w:rPr>
          <w:rFonts w:ascii="Times New Roman" w:cs="Times New Roman" w:eastAsia="Times New Roman" w:hAnsi="Times New Roman"/>
          <w:sz w:val="18"/>
          <w:szCs w:val="18"/>
          <w:color w:val="auto"/>
        </w:rPr>
      </w:pPr>
    </w:p>
    <w:p>
      <w:pPr>
        <w:ind w:left="920" w:hanging="788"/>
        <w:spacing w:after="0"/>
        <w:tabs>
          <w:tab w:leader="none" w:pos="9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376" w:lineRule="exact"/>
        <w:rPr>
          <w:rFonts w:ascii="Times New Roman" w:cs="Times New Roman" w:eastAsia="Times New Roman" w:hAnsi="Times New Roman"/>
          <w:sz w:val="18"/>
          <w:szCs w:val="18"/>
          <w:color w:val="auto"/>
        </w:rPr>
      </w:pPr>
    </w:p>
    <w:p>
      <w:pPr>
        <w:ind w:left="920" w:hanging="788"/>
        <w:spacing w:after="0"/>
        <w:tabs>
          <w:tab w:leader="none" w:pos="9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21" w:lineRule="exact"/>
        <w:rPr>
          <w:rFonts w:ascii="Times New Roman" w:cs="Times New Roman" w:eastAsia="Times New Roman" w:hAnsi="Times New Roman"/>
          <w:sz w:val="18"/>
          <w:szCs w:val="18"/>
          <w:color w:val="auto"/>
        </w:rPr>
      </w:pPr>
    </w:p>
    <w:p>
      <w:pPr>
        <w:ind w:left="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United States</w:t>
      </w:r>
    </w:p>
    <w:p>
      <w:pPr>
        <w:spacing w:after="0" w:line="148" w:lineRule="exact"/>
        <w:rPr>
          <w:rFonts w:ascii="Times New Roman" w:cs="Times New Roman" w:eastAsia="Times New Roman" w:hAnsi="Times New Roman"/>
          <w:sz w:val="18"/>
          <w:szCs w:val="18"/>
          <w:color w:val="auto"/>
        </w:rPr>
      </w:pPr>
    </w:p>
    <w:p>
      <w:pPr>
        <w:ind w:left="2940" w:hanging="783"/>
        <w:spacing w:after="0"/>
        <w:tabs>
          <w:tab w:leader="none" w:pos="2940"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21" w:lineRule="exact"/>
        <w:rPr>
          <w:rFonts w:ascii="Times New Roman" w:cs="Times New Roman" w:eastAsia="Times New Roman" w:hAnsi="Times New Roman"/>
          <w:sz w:val="18"/>
          <w:szCs w:val="18"/>
          <w:color w:val="auto"/>
        </w:rPr>
      </w:pPr>
    </w:p>
    <w:p>
      <w:pPr>
        <w:ind w:left="29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0</w:t>
      </w:r>
    </w:p>
    <w:p>
      <w:pPr>
        <w:spacing w:after="0" w:line="148" w:lineRule="exact"/>
        <w:rPr>
          <w:rFonts w:ascii="Times New Roman" w:cs="Times New Roman" w:eastAsia="Times New Roman" w:hAnsi="Times New Roman"/>
          <w:sz w:val="18"/>
          <w:szCs w:val="18"/>
          <w:color w:val="auto"/>
        </w:rPr>
      </w:pPr>
    </w:p>
    <w:p>
      <w:pPr>
        <w:ind w:left="2940" w:hanging="783"/>
        <w:spacing w:after="0"/>
        <w:tabs>
          <w:tab w:leader="none" w:pos="2940"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Voting Power</w:t>
      </w:r>
    </w:p>
    <w:p>
      <w:pPr>
        <w:spacing w:after="0" w:line="185" w:lineRule="exact"/>
        <w:rPr>
          <w:sz w:val="20"/>
          <w:szCs w:val="20"/>
          <w:color w:val="auto"/>
        </w:rPr>
      </w:pPr>
    </w:p>
    <w:tbl>
      <w:tblPr>
        <w:tblLayout w:type="fixed"/>
        <w:tblInd w:w="560" w:type="dxa"/>
        <w:tblCellMar>
          <w:top w:w="0" w:type="dxa"/>
          <w:left w:w="0" w:type="dxa"/>
          <w:bottom w:w="0" w:type="dxa"/>
          <w:right w:w="0" w:type="dxa"/>
        </w:tblCellMar>
      </w:tblPr>
      <w:tr>
        <w:trPr>
          <w:trHeight w:val="221"/>
        </w:trPr>
        <w:tc>
          <w:tcPr>
            <w:tcW w:w="148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9"/>
              </w:rPr>
              <w:t>Number of</w:t>
            </w:r>
          </w:p>
        </w:tc>
        <w:tc>
          <w:tcPr>
            <w:tcW w:w="580" w:type="dxa"/>
            <w:vAlign w:val="bottom"/>
          </w:tcPr>
          <w:p>
            <w:pPr>
              <w:spacing w:after="0"/>
              <w:rPr>
                <w:sz w:val="19"/>
                <w:szCs w:val="19"/>
                <w:color w:val="auto"/>
              </w:rPr>
            </w:pPr>
          </w:p>
        </w:tc>
        <w:tc>
          <w:tcPr>
            <w:tcW w:w="86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2,046,123 shares, 1,966,123 of which are directly owned by LAVVI, 40,000 of which are directly owned by</w:t>
            </w:r>
          </w:p>
        </w:tc>
        <w:tc>
          <w:tcPr>
            <w:tcW w:w="0" w:type="dxa"/>
            <w:vAlign w:val="bottom"/>
          </w:tcPr>
          <w:p>
            <w:pPr>
              <w:spacing w:after="0"/>
              <w:rPr>
                <w:sz w:val="1"/>
                <w:szCs w:val="1"/>
                <w:color w:val="auto"/>
              </w:rPr>
            </w:pPr>
          </w:p>
        </w:tc>
      </w:tr>
      <w:tr>
        <w:trPr>
          <w:trHeight w:val="216"/>
        </w:trPr>
        <w:tc>
          <w:tcPr>
            <w:tcW w:w="148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w w:val="99"/>
              </w:rPr>
              <w:t>Shares</w:t>
            </w:r>
          </w:p>
        </w:tc>
        <w:tc>
          <w:tcPr>
            <w:tcW w:w="580" w:type="dxa"/>
            <w:vAlign w:val="bottom"/>
          </w:tcPr>
          <w:p>
            <w:pPr>
              <w:spacing w:after="0"/>
              <w:rPr>
                <w:sz w:val="18"/>
                <w:szCs w:val="18"/>
                <w:color w:val="auto"/>
              </w:rPr>
            </w:pPr>
          </w:p>
        </w:tc>
        <w:tc>
          <w:tcPr>
            <w:tcW w:w="86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STAR, and 40,000 of which are directly owned by STAR Opportunities. Yi Shi, the managing partner of</w:t>
            </w:r>
          </w:p>
        </w:tc>
        <w:tc>
          <w:tcPr>
            <w:tcW w:w="0" w:type="dxa"/>
            <w:vAlign w:val="bottom"/>
          </w:tcPr>
          <w:p>
            <w:pPr>
              <w:spacing w:after="0"/>
              <w:rPr>
                <w:sz w:val="1"/>
                <w:szCs w:val="1"/>
                <w:color w:val="auto"/>
              </w:rPr>
            </w:pPr>
          </w:p>
        </w:tc>
      </w:tr>
      <w:tr>
        <w:trPr>
          <w:trHeight w:val="216"/>
        </w:trPr>
        <w:tc>
          <w:tcPr>
            <w:tcW w:w="148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w w:val="99"/>
              </w:rPr>
              <w:t>Beneficially</w:t>
            </w:r>
          </w:p>
        </w:tc>
        <w:tc>
          <w:tcPr>
            <w:tcW w:w="580" w:type="dxa"/>
            <w:vAlign w:val="bottom"/>
          </w:tcPr>
          <w:p>
            <w:pPr>
              <w:spacing w:after="0"/>
              <w:rPr>
                <w:sz w:val="18"/>
                <w:szCs w:val="18"/>
                <w:color w:val="auto"/>
              </w:rPr>
            </w:pPr>
          </w:p>
        </w:tc>
        <w:tc>
          <w:tcPr>
            <w:tcW w:w="86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LAVVI, STAR and STAR Opportunities, may be deemed to have shared power to vote these shares.</w:t>
            </w:r>
          </w:p>
        </w:tc>
        <w:tc>
          <w:tcPr>
            <w:tcW w:w="0" w:type="dxa"/>
            <w:vAlign w:val="bottom"/>
          </w:tcPr>
          <w:p>
            <w:pPr>
              <w:spacing w:after="0"/>
              <w:rPr>
                <w:sz w:val="1"/>
                <w:szCs w:val="1"/>
                <w:color w:val="auto"/>
              </w:rPr>
            </w:pPr>
          </w:p>
        </w:tc>
      </w:tr>
      <w:tr>
        <w:trPr>
          <w:trHeight w:val="115"/>
        </w:trPr>
        <w:tc>
          <w:tcPr>
            <w:tcW w:w="1480" w:type="dxa"/>
            <w:vAlign w:val="bottom"/>
            <w:vMerge w:val="restart"/>
          </w:tcPr>
          <w:p>
            <w:pPr>
              <w:jc w:val="center"/>
              <w:ind w:right="450"/>
              <w:spacing w:after="0"/>
              <w:rPr>
                <w:sz w:val="20"/>
                <w:szCs w:val="20"/>
                <w:color w:val="auto"/>
              </w:rPr>
            </w:pPr>
            <w:r>
              <w:rPr>
                <w:rFonts w:ascii="Times New Roman" w:cs="Times New Roman" w:eastAsia="Times New Roman" w:hAnsi="Times New Roman"/>
                <w:sz w:val="18"/>
                <w:szCs w:val="18"/>
                <w:color w:val="auto"/>
                <w:w w:val="99"/>
              </w:rPr>
              <w:t>Owned by</w:t>
            </w:r>
          </w:p>
        </w:tc>
        <w:tc>
          <w:tcPr>
            <w:tcW w:w="580" w:type="dxa"/>
            <w:vAlign w:val="bottom"/>
            <w:tcBorders>
              <w:bottom w:val="single" w:sz="8" w:color="auto"/>
            </w:tcBorders>
          </w:tcPr>
          <w:p>
            <w:pPr>
              <w:spacing w:after="0"/>
              <w:rPr>
                <w:sz w:val="10"/>
                <w:szCs w:val="10"/>
                <w:color w:val="auto"/>
              </w:rPr>
            </w:pPr>
          </w:p>
        </w:tc>
        <w:tc>
          <w:tcPr>
            <w:tcW w:w="86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480" w:type="dxa"/>
            <w:vAlign w:val="bottom"/>
            <w:vMerge w:val="continue"/>
          </w:tcPr>
          <w:p>
            <w:pPr>
              <w:spacing w:after="0"/>
              <w:rPr>
                <w:sz w:val="6"/>
                <w:szCs w:val="6"/>
                <w:color w:val="auto"/>
              </w:rPr>
            </w:pPr>
          </w:p>
        </w:tc>
        <w:tc>
          <w:tcPr>
            <w:tcW w:w="5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7.</w:t>
            </w:r>
          </w:p>
        </w:tc>
        <w:tc>
          <w:tcPr>
            <w:tcW w:w="862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48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w w:val="99"/>
              </w:rPr>
              <w:t>Each</w:t>
            </w:r>
          </w:p>
        </w:tc>
        <w:tc>
          <w:tcPr>
            <w:tcW w:w="580" w:type="dxa"/>
            <w:vAlign w:val="bottom"/>
            <w:vMerge w:val="continue"/>
          </w:tcPr>
          <w:p>
            <w:pPr>
              <w:spacing w:after="0"/>
              <w:rPr>
                <w:sz w:val="18"/>
                <w:szCs w:val="18"/>
                <w:color w:val="auto"/>
              </w:rPr>
            </w:pPr>
          </w:p>
        </w:tc>
        <w:tc>
          <w:tcPr>
            <w:tcW w:w="8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w w:val="99"/>
              </w:rPr>
              <w:t>Reporting</w:t>
            </w:r>
          </w:p>
        </w:tc>
        <w:tc>
          <w:tcPr>
            <w:tcW w:w="580" w:type="dxa"/>
            <w:vAlign w:val="bottom"/>
          </w:tcPr>
          <w:p>
            <w:pPr>
              <w:spacing w:after="0"/>
              <w:rPr>
                <w:sz w:val="18"/>
                <w:szCs w:val="18"/>
                <w:color w:val="auto"/>
              </w:rPr>
            </w:pPr>
          </w:p>
        </w:tc>
        <w:tc>
          <w:tcPr>
            <w:tcW w:w="8620" w:type="dxa"/>
            <w:vAlign w:val="bottom"/>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234"/>
        </w:trPr>
        <w:tc>
          <w:tcPr>
            <w:tcW w:w="148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w w:val="99"/>
              </w:rPr>
              <w:t>Person With:</w:t>
            </w:r>
          </w:p>
        </w:tc>
        <w:tc>
          <w:tcPr>
            <w:tcW w:w="580" w:type="dxa"/>
            <w:vAlign w:val="bottom"/>
          </w:tcPr>
          <w:p>
            <w:pPr>
              <w:spacing w:after="0"/>
              <w:rPr>
                <w:sz w:val="20"/>
                <w:szCs w:val="20"/>
                <w:color w:val="auto"/>
              </w:rPr>
            </w:pPr>
          </w:p>
        </w:tc>
        <w:tc>
          <w:tcPr>
            <w:tcW w:w="86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2940" w:hanging="783"/>
        <w:spacing w:after="0"/>
        <w:tabs>
          <w:tab w:leader="none" w:pos="2940"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221" w:lineRule="exact"/>
        <w:rPr>
          <w:rFonts w:ascii="Times New Roman" w:cs="Times New Roman" w:eastAsia="Times New Roman" w:hAnsi="Times New Roman"/>
          <w:sz w:val="18"/>
          <w:szCs w:val="18"/>
          <w:color w:val="auto"/>
        </w:rPr>
      </w:pPr>
    </w:p>
    <w:p>
      <w:pPr>
        <w:ind w:left="2940" w:right="240"/>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2,046,123 shares, 1,966,123 of which are directly owned by LAVVI, 40,000 of which are directly owned by STAR, and 40,000 of which are directly owned by STAR Opportunities. Yi Shi, the managing partner of LAVVI, STAR and STAR Opportunities, may be deemed to have shared power to vote these shares.</w:t>
      </w:r>
    </w:p>
    <w:p>
      <w:pPr>
        <w:spacing w:after="0" w:line="93" w:lineRule="exact"/>
        <w:rPr>
          <w:rFonts w:ascii="Times New Roman" w:cs="Times New Roman" w:eastAsia="Times New Roman" w:hAnsi="Times New Roman"/>
          <w:sz w:val="18"/>
          <w:szCs w:val="18"/>
          <w:color w:val="auto"/>
        </w:rPr>
      </w:pPr>
    </w:p>
    <w:p>
      <w:pPr>
        <w:ind w:left="920" w:hanging="788"/>
        <w:spacing w:after="0"/>
        <w:tabs>
          <w:tab w:leader="none" w:pos="9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21" w:lineRule="exact"/>
        <w:rPr>
          <w:rFonts w:ascii="Times New Roman" w:cs="Times New Roman" w:eastAsia="Times New Roman" w:hAnsi="Times New Roman"/>
          <w:sz w:val="18"/>
          <w:szCs w:val="18"/>
          <w:color w:val="auto"/>
        </w:rPr>
      </w:pPr>
    </w:p>
    <w:p>
      <w:pPr>
        <w:ind w:left="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2,046,123</w:t>
      </w:r>
    </w:p>
    <w:p>
      <w:pPr>
        <w:spacing w:after="0" w:line="107" w:lineRule="exact"/>
        <w:rPr>
          <w:rFonts w:ascii="Times New Roman" w:cs="Times New Roman" w:eastAsia="Times New Roman" w:hAnsi="Times New Roman"/>
          <w:sz w:val="18"/>
          <w:szCs w:val="18"/>
          <w:color w:val="auto"/>
        </w:rPr>
      </w:pPr>
    </w:p>
    <w:p>
      <w:pPr>
        <w:ind w:left="920" w:hanging="788"/>
        <w:spacing w:after="0" w:line="207" w:lineRule="exact"/>
        <w:tabs>
          <w:tab w:leader="none" w:pos="9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ind w:left="920" w:hanging="788"/>
        <w:spacing w:after="0"/>
        <w:tabs>
          <w:tab w:leader="none" w:pos="9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21" w:lineRule="exact"/>
        <w:rPr>
          <w:rFonts w:ascii="Times New Roman" w:cs="Times New Roman" w:eastAsia="Times New Roman" w:hAnsi="Times New Roman"/>
          <w:sz w:val="18"/>
          <w:szCs w:val="18"/>
          <w:color w:val="auto"/>
        </w:rPr>
      </w:pPr>
    </w:p>
    <w:p>
      <w:pPr>
        <w:ind w:left="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6.4%(1)</w:t>
      </w:r>
    </w:p>
    <w:p>
      <w:pPr>
        <w:spacing w:after="0" w:line="148" w:lineRule="exact"/>
        <w:rPr>
          <w:rFonts w:ascii="Times New Roman" w:cs="Times New Roman" w:eastAsia="Times New Roman" w:hAnsi="Times New Roman"/>
          <w:sz w:val="18"/>
          <w:szCs w:val="18"/>
          <w:color w:val="auto"/>
        </w:rPr>
      </w:pPr>
    </w:p>
    <w:p>
      <w:pPr>
        <w:ind w:left="920" w:hanging="788"/>
        <w:spacing w:after="0"/>
        <w:tabs>
          <w:tab w:leader="none" w:pos="9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21" w:lineRule="exact"/>
        <w:rPr>
          <w:rFonts w:ascii="Times New Roman" w:cs="Times New Roman" w:eastAsia="Times New Roman" w:hAnsi="Times New Roman"/>
          <w:sz w:val="18"/>
          <w:szCs w:val="18"/>
          <w:color w:val="auto"/>
        </w:rPr>
      </w:pPr>
    </w:p>
    <w:p>
      <w:pPr>
        <w:ind w:left="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w:t>
      </w:r>
    </w:p>
    <w:p>
      <w:pPr>
        <w:spacing w:after="0" w:line="310"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on 31,956,657 shares of common stock outstanding upon the closing of the Issuer’s initial public offering, as set forth in the prospectus dated January 25, 2024 filed with the Securities and Exchange Commission on January 26,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spacing w:after="0"/>
        <w:tabs>
          <w:tab w:leader="none" w:pos="10400" w:val="left"/>
        </w:tabs>
        <w:rPr>
          <w:sz w:val="20"/>
          <w:szCs w:val="20"/>
          <w:color w:val="auto"/>
        </w:rPr>
      </w:pPr>
      <w:r>
        <w:rPr>
          <w:rFonts w:ascii="Times New Roman" w:cs="Times New Roman" w:eastAsia="Times New Roman" w:hAnsi="Times New Roman"/>
          <w:sz w:val="18"/>
          <w:szCs w:val="18"/>
          <w:b w:val="1"/>
          <w:bCs w:val="1"/>
          <w:color w:val="auto"/>
        </w:rPr>
        <w:t>CUSIP No. 04272N 102</w:t>
      </w:r>
      <w:r>
        <w:rPr>
          <w:sz w:val="20"/>
          <w:szCs w:val="20"/>
          <w:color w:val="auto"/>
        </w:rPr>
        <w:tab/>
      </w:r>
      <w:r>
        <w:rPr>
          <w:rFonts w:ascii="Times New Roman" w:cs="Times New Roman" w:eastAsia="Times New Roman" w:hAnsi="Times New Roman"/>
          <w:sz w:val="18"/>
          <w:szCs w:val="18"/>
          <w:color w:val="auto"/>
        </w:rPr>
        <w:t>Page 6 of 9</w:t>
      </w:r>
    </w:p>
    <w:p>
      <w:pPr>
        <w:spacing w:after="0" w:line="225"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Name of Issuer.</w:t>
      </w:r>
    </w:p>
    <w:p>
      <w:pPr>
        <w:spacing w:after="0" w:line="22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ArriVent BioPharma, Inc. (the “</w:t>
      </w:r>
      <w:r>
        <w:rPr>
          <w:rFonts w:ascii="Times New Roman" w:cs="Times New Roman" w:eastAsia="Times New Roman" w:hAnsi="Times New Roman"/>
          <w:sz w:val="18"/>
          <w:szCs w:val="18"/>
          <w:b w:val="1"/>
          <w:bCs w:val="1"/>
          <w:i w:val="1"/>
          <w:iCs w:val="1"/>
          <w:color w:val="auto"/>
        </w:rPr>
        <w:t>Issuer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Address of Issuer’s Principal Executive Offices.</w:t>
      </w:r>
    </w:p>
    <w:p>
      <w:pPr>
        <w:spacing w:after="0" w:line="22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18 Campus Boulevard, Suite 100</w:t>
      </w:r>
    </w:p>
    <w:p>
      <w:pPr>
        <w:spacing w:after="0" w:line="2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Newtown Square, Pennsylvania 19073</w:t>
      </w:r>
    </w:p>
    <w:p>
      <w:pPr>
        <w:spacing w:after="0" w:line="203"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2(a)</w:t>
      </w:r>
      <w:r>
        <w:rPr>
          <w:sz w:val="20"/>
          <w:szCs w:val="20"/>
          <w:color w:val="auto"/>
        </w:rPr>
        <w:tab/>
      </w:r>
      <w:r>
        <w:rPr>
          <w:rFonts w:ascii="Times New Roman" w:cs="Times New Roman" w:eastAsia="Times New Roman" w:hAnsi="Times New Roman"/>
          <w:sz w:val="18"/>
          <w:szCs w:val="18"/>
          <w:b w:val="1"/>
          <w:bCs w:val="1"/>
          <w:color w:val="auto"/>
        </w:rPr>
        <w:t>Name of Persons Filing.</w:t>
      </w:r>
    </w:p>
    <w:p>
      <w:pPr>
        <w:spacing w:after="0" w:line="225" w:lineRule="exact"/>
        <w:rPr>
          <w:sz w:val="20"/>
          <w:szCs w:val="20"/>
          <w:color w:val="auto"/>
        </w:rPr>
      </w:pPr>
    </w:p>
    <w:p>
      <w:pPr>
        <w:ind w:left="1080" w:right="20"/>
        <w:spacing w:after="0" w:line="286" w:lineRule="auto"/>
        <w:rPr>
          <w:sz w:val="20"/>
          <w:szCs w:val="20"/>
          <w:color w:val="auto"/>
        </w:rPr>
      </w:pPr>
      <w:r>
        <w:rPr>
          <w:rFonts w:ascii="Times New Roman" w:cs="Times New Roman" w:eastAsia="Times New Roman" w:hAnsi="Times New Roman"/>
          <w:sz w:val="18"/>
          <w:szCs w:val="18"/>
          <w:color w:val="auto"/>
        </w:rPr>
        <w:t>This Statement is filed by LAV Fund VI, L.P. (</w:t>
      </w:r>
      <w:r>
        <w:rPr>
          <w:rFonts w:ascii="Times New Roman" w:cs="Times New Roman" w:eastAsia="Times New Roman" w:hAnsi="Times New Roman"/>
          <w:sz w:val="18"/>
          <w:szCs w:val="18"/>
          <w:b w:val="1"/>
          <w:bCs w:val="1"/>
          <w:i w:val="1"/>
          <w:iCs w:val="1"/>
          <w:color w:val="auto"/>
        </w:rPr>
        <w:t>“LAVVI”</w:t>
      </w:r>
      <w:r>
        <w:rPr>
          <w:rFonts w:ascii="Times New Roman" w:cs="Times New Roman" w:eastAsia="Times New Roman" w:hAnsi="Times New Roman"/>
          <w:sz w:val="18"/>
          <w:szCs w:val="18"/>
          <w:color w:val="auto"/>
        </w:rPr>
        <w:t>), LAV Star Limited (</w:t>
      </w:r>
      <w:r>
        <w:rPr>
          <w:rFonts w:ascii="Times New Roman" w:cs="Times New Roman" w:eastAsia="Times New Roman" w:hAnsi="Times New Roman"/>
          <w:sz w:val="18"/>
          <w:szCs w:val="18"/>
          <w:b w:val="1"/>
          <w:bCs w:val="1"/>
          <w:i w:val="1"/>
          <w:iCs w:val="1"/>
          <w:color w:val="auto"/>
        </w:rPr>
        <w:t>“STAR”</w:t>
      </w:r>
      <w:r>
        <w:rPr>
          <w:rFonts w:ascii="Times New Roman" w:cs="Times New Roman" w:eastAsia="Times New Roman" w:hAnsi="Times New Roman"/>
          <w:sz w:val="18"/>
          <w:szCs w:val="18"/>
          <w:color w:val="auto"/>
        </w:rPr>
        <w:t>), LAV Star Opportunities Limited (</w:t>
      </w:r>
      <w:r>
        <w:rPr>
          <w:rFonts w:ascii="Times New Roman" w:cs="Times New Roman" w:eastAsia="Times New Roman" w:hAnsi="Times New Roman"/>
          <w:sz w:val="18"/>
          <w:szCs w:val="18"/>
          <w:b w:val="1"/>
          <w:bCs w:val="1"/>
          <w:i w:val="1"/>
          <w:iCs w:val="1"/>
          <w:color w:val="auto"/>
        </w:rPr>
        <w:t>“STAR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Opportunities”</w:t>
      </w:r>
      <w:r>
        <w:rPr>
          <w:rFonts w:ascii="Times New Roman" w:cs="Times New Roman" w:eastAsia="Times New Roman" w:hAnsi="Times New Roman"/>
          <w:sz w:val="18"/>
          <w:szCs w:val="18"/>
          <w:color w:val="auto"/>
        </w:rPr>
        <w:t>), and Dr. Yi Shi. The foregoing entities and individual are collectively referred to as the “Reporting Persons.”</w:t>
      </w:r>
    </w:p>
    <w:p>
      <w:pPr>
        <w:spacing w:after="0" w:line="159" w:lineRule="exact"/>
        <w:rPr>
          <w:sz w:val="20"/>
          <w:szCs w:val="20"/>
          <w:color w:val="auto"/>
        </w:rPr>
      </w:pPr>
    </w:p>
    <w:p>
      <w:pPr>
        <w:ind w:left="1080"/>
        <w:spacing w:after="0" w:line="282" w:lineRule="auto"/>
        <w:rPr>
          <w:sz w:val="20"/>
          <w:szCs w:val="20"/>
          <w:color w:val="auto"/>
        </w:rPr>
      </w:pPr>
      <w:r>
        <w:rPr>
          <w:rFonts w:ascii="Times New Roman" w:cs="Times New Roman" w:eastAsia="Times New Roman" w:hAnsi="Times New Roman"/>
          <w:sz w:val="18"/>
          <w:szCs w:val="18"/>
          <w:color w:val="auto"/>
        </w:rPr>
        <w:t>Dr. Shi is the managing partner of LAVVI, STAR and STAR Opportunities, and may be deemed to have shared power to vote and shared power to dispose of shares of the Issuer directly owned by LAVVI, STAR and STAR Opportunities,</w:t>
      </w:r>
    </w:p>
    <w:p>
      <w:pPr>
        <w:spacing w:after="0" w:line="158"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2(b)</w:t>
      </w:r>
      <w:r>
        <w:rPr>
          <w:sz w:val="20"/>
          <w:szCs w:val="20"/>
          <w:color w:val="auto"/>
        </w:rPr>
        <w:tab/>
      </w:r>
      <w:r>
        <w:rPr>
          <w:rFonts w:ascii="Times New Roman" w:cs="Times New Roman" w:eastAsia="Times New Roman" w:hAnsi="Times New Roman"/>
          <w:sz w:val="17"/>
          <w:szCs w:val="17"/>
          <w:b w:val="1"/>
          <w:bCs w:val="1"/>
          <w:color w:val="auto"/>
        </w:rPr>
        <w:t>Address of Principal Business Office or, if none, Residence.</w:t>
      </w:r>
    </w:p>
    <w:p>
      <w:pPr>
        <w:spacing w:after="0" w:line="229" w:lineRule="exact"/>
        <w:rPr>
          <w:sz w:val="20"/>
          <w:szCs w:val="20"/>
          <w:color w:val="auto"/>
        </w:rPr>
      </w:pPr>
    </w:p>
    <w:p>
      <w:pPr>
        <w:ind w:left="1080"/>
        <w:spacing w:after="0" w:line="282" w:lineRule="auto"/>
        <w:rPr>
          <w:sz w:val="20"/>
          <w:szCs w:val="20"/>
          <w:color w:val="auto"/>
        </w:rPr>
      </w:pPr>
      <w:r>
        <w:rPr>
          <w:rFonts w:ascii="Times New Roman" w:cs="Times New Roman" w:eastAsia="Times New Roman" w:hAnsi="Times New Roman"/>
          <w:sz w:val="18"/>
          <w:szCs w:val="18"/>
          <w:color w:val="auto"/>
        </w:rPr>
        <w:t>The address for LAVVI, STAR, STAR Opportunities and Dr. Shi is Room 606-7, St. George’s Building, 2 Ice House Street, Central, Hong Kong.</w:t>
      </w:r>
    </w:p>
    <w:p>
      <w:pPr>
        <w:spacing w:after="0" w:line="158"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2(c)</w:t>
      </w:r>
      <w:r>
        <w:rPr>
          <w:sz w:val="20"/>
          <w:szCs w:val="20"/>
          <w:color w:val="auto"/>
        </w:rPr>
        <w:tab/>
      </w:r>
      <w:r>
        <w:rPr>
          <w:rFonts w:ascii="Times New Roman" w:cs="Times New Roman" w:eastAsia="Times New Roman" w:hAnsi="Times New Roman"/>
          <w:sz w:val="18"/>
          <w:szCs w:val="18"/>
          <w:b w:val="1"/>
          <w:bCs w:val="1"/>
          <w:color w:val="auto"/>
        </w:rPr>
        <w:t>Citizenship.</w:t>
      </w:r>
    </w:p>
    <w:p>
      <w:pPr>
        <w:spacing w:after="0" w:line="229" w:lineRule="exact"/>
        <w:rPr>
          <w:sz w:val="20"/>
          <w:szCs w:val="20"/>
          <w:color w:val="auto"/>
        </w:rPr>
      </w:pPr>
    </w:p>
    <w:p>
      <w:pPr>
        <w:ind w:left="1080"/>
        <w:spacing w:after="0" w:line="282" w:lineRule="auto"/>
        <w:rPr>
          <w:sz w:val="20"/>
          <w:szCs w:val="20"/>
          <w:color w:val="auto"/>
        </w:rPr>
      </w:pPr>
      <w:r>
        <w:rPr>
          <w:rFonts w:ascii="Times New Roman" w:cs="Times New Roman" w:eastAsia="Times New Roman" w:hAnsi="Times New Roman"/>
          <w:sz w:val="18"/>
          <w:szCs w:val="18"/>
          <w:color w:val="auto"/>
        </w:rPr>
        <w:t>LAVVI is a Cayman Islands partnership. STAR and STAR Opportunities are British Virgin Islands business companies. Dr. Shi is a United States citizen.</w:t>
      </w:r>
    </w:p>
    <w:p>
      <w:pPr>
        <w:spacing w:after="0" w:line="158"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2(d)</w:t>
      </w:r>
      <w:r>
        <w:rPr>
          <w:sz w:val="20"/>
          <w:szCs w:val="20"/>
          <w:color w:val="auto"/>
        </w:rPr>
        <w:tab/>
      </w:r>
      <w:r>
        <w:rPr>
          <w:rFonts w:ascii="Times New Roman" w:cs="Times New Roman" w:eastAsia="Times New Roman" w:hAnsi="Times New Roman"/>
          <w:sz w:val="17"/>
          <w:szCs w:val="17"/>
          <w:b w:val="1"/>
          <w:bCs w:val="1"/>
          <w:color w:val="auto"/>
        </w:rPr>
        <w:t>Title of Class of Securities.</w:t>
      </w:r>
    </w:p>
    <w:p>
      <w:pPr>
        <w:spacing w:after="0" w:line="22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Common Stock, par value $0.0001 per share</w:t>
      </w:r>
    </w:p>
    <w:p>
      <w:pPr>
        <w:spacing w:after="0" w:line="221"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2(e)</w:t>
      </w:r>
      <w:r>
        <w:rPr>
          <w:sz w:val="20"/>
          <w:szCs w:val="20"/>
          <w:color w:val="auto"/>
        </w:rPr>
        <w:tab/>
      </w:r>
      <w:r>
        <w:rPr>
          <w:rFonts w:ascii="Times New Roman" w:cs="Times New Roman" w:eastAsia="Times New Roman" w:hAnsi="Times New Roman"/>
          <w:sz w:val="17"/>
          <w:szCs w:val="17"/>
          <w:b w:val="1"/>
          <w:bCs w:val="1"/>
          <w:color w:val="auto"/>
        </w:rPr>
        <w:t>CUSIP Number.</w:t>
      </w:r>
    </w:p>
    <w:p>
      <w:pPr>
        <w:spacing w:after="0" w:line="22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04272N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8"/>
        </w:trPr>
        <w:tc>
          <w:tcPr>
            <w:tcW w:w="22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CUSIP No. 04272N 102</w:t>
            </w:r>
          </w:p>
        </w:tc>
        <w:tc>
          <w:tcPr>
            <w:tcW w:w="9040" w:type="dxa"/>
            <w:vAlign w:val="bottom"/>
          </w:tcPr>
          <w:p>
            <w:pPr>
              <w:ind w:left="8220"/>
              <w:spacing w:after="0"/>
              <w:rPr>
                <w:sz w:val="20"/>
                <w:szCs w:val="20"/>
                <w:color w:val="auto"/>
              </w:rPr>
            </w:pPr>
            <w:r>
              <w:rPr>
                <w:rFonts w:ascii="Times New Roman" w:cs="Times New Roman" w:eastAsia="Times New Roman" w:hAnsi="Times New Roman"/>
                <w:sz w:val="18"/>
                <w:szCs w:val="18"/>
                <w:color w:val="auto"/>
                <w:w w:val="98"/>
              </w:rPr>
              <w:t>Page 7 of 9</w:t>
            </w:r>
          </w:p>
        </w:tc>
      </w:tr>
      <w:tr>
        <w:trPr>
          <w:trHeight w:val="432"/>
        </w:trPr>
        <w:tc>
          <w:tcPr>
            <w:tcW w:w="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14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9040" w:type="dxa"/>
            <w:vAlign w:val="bottom"/>
          </w:tcPr>
          <w:p>
            <w:pPr>
              <w:spacing w:after="0"/>
              <w:rPr>
                <w:sz w:val="24"/>
                <w:szCs w:val="24"/>
                <w:color w:val="auto"/>
              </w:rPr>
            </w:pPr>
          </w:p>
        </w:tc>
      </w:tr>
      <w:tr>
        <w:trPr>
          <w:trHeight w:val="432"/>
        </w:trPr>
        <w:tc>
          <w:tcPr>
            <w:tcW w:w="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14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Ownership.</w:t>
            </w:r>
          </w:p>
        </w:tc>
        <w:tc>
          <w:tcPr>
            <w:tcW w:w="9040" w:type="dxa"/>
            <w:vAlign w:val="bottom"/>
          </w:tcPr>
          <w:p>
            <w:pPr>
              <w:spacing w:after="0"/>
              <w:rPr>
                <w:sz w:val="24"/>
                <w:szCs w:val="24"/>
                <w:color w:val="auto"/>
              </w:rPr>
            </w:pPr>
          </w:p>
        </w:tc>
      </w:tr>
      <w:tr>
        <w:trPr>
          <w:trHeight w:val="414"/>
        </w:trPr>
        <w:tc>
          <w:tcPr>
            <w:tcW w:w="760" w:type="dxa"/>
            <w:vAlign w:val="bottom"/>
          </w:tcPr>
          <w:p>
            <w:pPr>
              <w:spacing w:after="0"/>
              <w:rPr>
                <w:sz w:val="24"/>
                <w:szCs w:val="24"/>
                <w:color w:val="auto"/>
              </w:rPr>
            </w:pPr>
          </w:p>
        </w:tc>
        <w:tc>
          <w:tcPr>
            <w:tcW w:w="104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The following information with respect to the ownership of the Ordinary Shares of the Issuer by the Reporting Persons is provided as of</w:t>
            </w:r>
          </w:p>
        </w:tc>
      </w:tr>
      <w:tr>
        <w:trPr>
          <w:trHeight w:val="234"/>
        </w:trPr>
        <w:tc>
          <w:tcPr>
            <w:tcW w:w="760" w:type="dxa"/>
            <w:vAlign w:val="bottom"/>
          </w:tcPr>
          <w:p>
            <w:pPr>
              <w:spacing w:after="0"/>
              <w:rPr>
                <w:sz w:val="20"/>
                <w:szCs w:val="20"/>
                <w:color w:val="auto"/>
              </w:rPr>
            </w:pPr>
          </w:p>
        </w:tc>
        <w:tc>
          <w:tcPr>
            <w:tcW w:w="104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432"/>
        </w:trPr>
        <w:tc>
          <w:tcPr>
            <w:tcW w:w="760" w:type="dxa"/>
            <w:vAlign w:val="bottom"/>
          </w:tcPr>
          <w:p>
            <w:pPr>
              <w:spacing w:after="0"/>
              <w:rPr>
                <w:sz w:val="24"/>
                <w:szCs w:val="24"/>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(a)</w:t>
            </w:r>
          </w:p>
        </w:tc>
        <w:tc>
          <w:tcPr>
            <w:tcW w:w="98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Amount Beneficially Owned:</w:t>
            </w:r>
          </w:p>
        </w:tc>
      </w:tr>
      <w:tr>
        <w:trPr>
          <w:trHeight w:val="432"/>
        </w:trPr>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8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See Row 9 of cover page for each Reporting Person.</w:t>
            </w:r>
          </w:p>
        </w:tc>
      </w:tr>
      <w:tr>
        <w:trPr>
          <w:trHeight w:val="432"/>
        </w:trPr>
        <w:tc>
          <w:tcPr>
            <w:tcW w:w="760" w:type="dxa"/>
            <w:vAlign w:val="bottom"/>
          </w:tcPr>
          <w:p>
            <w:pPr>
              <w:spacing w:after="0"/>
              <w:rPr>
                <w:sz w:val="24"/>
                <w:szCs w:val="24"/>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(b)</w:t>
            </w:r>
          </w:p>
        </w:tc>
        <w:tc>
          <w:tcPr>
            <w:tcW w:w="98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Percent of Class:</w:t>
            </w:r>
          </w:p>
        </w:tc>
      </w:tr>
      <w:tr>
        <w:trPr>
          <w:trHeight w:val="432"/>
        </w:trPr>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8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See Row 11 of cover page for each Reporting Person.</w:t>
            </w:r>
          </w:p>
        </w:tc>
      </w:tr>
      <w:tr>
        <w:trPr>
          <w:trHeight w:val="432"/>
        </w:trPr>
        <w:tc>
          <w:tcPr>
            <w:tcW w:w="760" w:type="dxa"/>
            <w:vAlign w:val="bottom"/>
          </w:tcPr>
          <w:p>
            <w:pPr>
              <w:spacing w:after="0"/>
              <w:rPr>
                <w:sz w:val="24"/>
                <w:szCs w:val="24"/>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(c)</w:t>
            </w:r>
          </w:p>
        </w:tc>
        <w:tc>
          <w:tcPr>
            <w:tcW w:w="98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Number of shares as to which such person has:</w:t>
            </w:r>
          </w:p>
        </w:tc>
      </w:tr>
      <w:tr>
        <w:trPr>
          <w:trHeight w:val="432"/>
        </w:trPr>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w:t>
            </w:r>
          </w:p>
        </w:tc>
        <w:tc>
          <w:tcPr>
            <w:tcW w:w="9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Sole power to vote or to direct the vote:</w:t>
            </w:r>
          </w:p>
        </w:tc>
      </w:tr>
      <w:tr>
        <w:trPr>
          <w:trHeight w:val="432"/>
        </w:trPr>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See Row 5 of cover page for each Reporting Person.</w:t>
            </w:r>
          </w:p>
        </w:tc>
      </w:tr>
      <w:tr>
        <w:trPr>
          <w:trHeight w:val="432"/>
        </w:trPr>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(ii)</w:t>
            </w:r>
          </w:p>
        </w:tc>
        <w:tc>
          <w:tcPr>
            <w:tcW w:w="9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Shared power to vote or to direct the vote:</w:t>
            </w:r>
          </w:p>
        </w:tc>
      </w:tr>
      <w:tr>
        <w:trPr>
          <w:trHeight w:val="432"/>
        </w:trPr>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See Row 6 of cover page for each Reporting Person.</w:t>
            </w:r>
          </w:p>
        </w:tc>
      </w:tr>
      <w:tr>
        <w:trPr>
          <w:trHeight w:val="432"/>
        </w:trPr>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(iii)</w:t>
            </w:r>
          </w:p>
        </w:tc>
        <w:tc>
          <w:tcPr>
            <w:tcW w:w="9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Sole power to dispose or to direct the disposition of:</w:t>
            </w:r>
          </w:p>
        </w:tc>
      </w:tr>
      <w:tr>
        <w:trPr>
          <w:trHeight w:val="432"/>
        </w:trPr>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See Row 7 of cover page for each Reporting Person.</w:t>
            </w:r>
          </w:p>
        </w:tc>
      </w:tr>
      <w:tr>
        <w:trPr>
          <w:trHeight w:val="432"/>
        </w:trPr>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(iv)</w:t>
            </w:r>
          </w:p>
        </w:tc>
        <w:tc>
          <w:tcPr>
            <w:tcW w:w="9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Shared power to dispose or to direct the disposition of:</w:t>
            </w:r>
          </w:p>
        </w:tc>
      </w:tr>
      <w:tr>
        <w:trPr>
          <w:trHeight w:val="432"/>
        </w:trPr>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See Row 8 of cover page for each Reporting Person.</w:t>
            </w:r>
          </w:p>
        </w:tc>
      </w:tr>
    </w:tbl>
    <w:p>
      <w:pPr>
        <w:spacing w:after="0" w:line="19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Ownership of Five Percent or Less of a Class.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Ownership of More than Five Percent on Behalf of Another Person.</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both"/>
        <w:ind w:left="980" w:hanging="971"/>
        <w:spacing w:after="0" w:line="286"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 Company or Control Person.</w:t>
      </w:r>
    </w:p>
    <w:p>
      <w:pPr>
        <w:spacing w:after="0" w:line="15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Identification and Classification of Members of the Group.</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Notice of Dissolution of a Group.</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8"/>
        </w:trPr>
        <w:tc>
          <w:tcPr>
            <w:tcW w:w="3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CUSIP No. 04272N 102</w:t>
            </w:r>
          </w:p>
        </w:tc>
        <w:tc>
          <w:tcPr>
            <w:tcW w:w="3860" w:type="dxa"/>
            <w:vAlign w:val="bottom"/>
          </w:tcPr>
          <w:p>
            <w:pPr>
              <w:spacing w:after="0"/>
              <w:rPr>
                <w:sz w:val="20"/>
                <w:szCs w:val="20"/>
                <w:color w:val="auto"/>
              </w:rPr>
            </w:pPr>
          </w:p>
        </w:tc>
        <w:tc>
          <w:tcPr>
            <w:tcW w:w="3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Page 8 of 9</w:t>
            </w:r>
          </w:p>
        </w:tc>
      </w:tr>
      <w:tr>
        <w:trPr>
          <w:trHeight w:val="432"/>
        </w:trPr>
        <w:tc>
          <w:tcPr>
            <w:tcW w:w="3460" w:type="dxa"/>
            <w:vAlign w:val="bottom"/>
          </w:tcPr>
          <w:p>
            <w:pPr>
              <w:spacing w:after="0"/>
              <w:rPr>
                <w:sz w:val="24"/>
                <w:szCs w:val="24"/>
                <w:color w:val="auto"/>
              </w:rPr>
            </w:pPr>
          </w:p>
        </w:tc>
        <w:tc>
          <w:tcPr>
            <w:tcW w:w="3860" w:type="dxa"/>
            <w:vAlign w:val="bottom"/>
          </w:tcPr>
          <w:p>
            <w:pPr>
              <w:ind w:left="1600"/>
              <w:spacing w:after="0"/>
              <w:rPr>
                <w:sz w:val="20"/>
                <w:szCs w:val="20"/>
                <w:color w:val="auto"/>
              </w:rPr>
            </w:pPr>
            <w:r>
              <w:rPr>
                <w:rFonts w:ascii="Times New Roman" w:cs="Times New Roman" w:eastAsia="Times New Roman" w:hAnsi="Times New Roman"/>
                <w:sz w:val="18"/>
                <w:szCs w:val="18"/>
                <w:b w:val="1"/>
                <w:bCs w:val="1"/>
                <w:color w:val="auto"/>
              </w:rPr>
              <w:t>SIGNATURES</w:t>
            </w:r>
          </w:p>
        </w:tc>
        <w:tc>
          <w:tcPr>
            <w:tcW w:w="39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4"/>
        </w:trPr>
        <w:tc>
          <w:tcPr>
            <w:tcW w:w="112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tc>
      </w:tr>
      <w:tr>
        <w:trPr>
          <w:trHeight w:val="234"/>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correct.</w:t>
            </w:r>
          </w:p>
        </w:tc>
        <w:tc>
          <w:tcPr>
            <w:tcW w:w="386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Dated: February 13, 2024</w:t>
            </w:r>
          </w:p>
        </w:tc>
        <w:tc>
          <w:tcPr>
            <w:tcW w:w="7800" w:type="dxa"/>
            <w:vAlign w:val="bottom"/>
            <w:gridSpan w:val="3"/>
          </w:tcPr>
          <w:p>
            <w:pPr>
              <w:ind w:left="3300"/>
              <w:spacing w:after="0"/>
              <w:rPr>
                <w:sz w:val="20"/>
                <w:szCs w:val="20"/>
                <w:color w:val="auto"/>
              </w:rPr>
            </w:pPr>
            <w:r>
              <w:rPr>
                <w:rFonts w:ascii="Times New Roman" w:cs="Times New Roman" w:eastAsia="Times New Roman" w:hAnsi="Times New Roman"/>
                <w:sz w:val="18"/>
                <w:szCs w:val="18"/>
                <w:b w:val="1"/>
                <w:bCs w:val="1"/>
                <w:color w:val="auto"/>
              </w:rPr>
              <w:t>LAV FUND VI, L.P.</w:t>
            </w:r>
          </w:p>
        </w:tc>
      </w:tr>
      <w:tr>
        <w:trPr>
          <w:trHeight w:val="439"/>
        </w:trPr>
        <w:tc>
          <w:tcPr>
            <w:tcW w:w="3460" w:type="dxa"/>
            <w:vAlign w:val="bottom"/>
          </w:tcPr>
          <w:p>
            <w:pPr>
              <w:spacing w:after="0"/>
              <w:rPr>
                <w:sz w:val="24"/>
                <w:szCs w:val="24"/>
                <w:color w:val="auto"/>
              </w:rPr>
            </w:pPr>
          </w:p>
        </w:tc>
        <w:tc>
          <w:tcPr>
            <w:tcW w:w="3860" w:type="dxa"/>
            <w:vAlign w:val="bottom"/>
          </w:tcPr>
          <w:p>
            <w:pPr>
              <w:ind w:left="3300"/>
              <w:spacing w:after="0"/>
              <w:rPr>
                <w:sz w:val="20"/>
                <w:szCs w:val="20"/>
                <w:color w:val="auto"/>
              </w:rPr>
            </w:pPr>
            <w:r>
              <w:rPr>
                <w:rFonts w:ascii="Times New Roman" w:cs="Times New Roman" w:eastAsia="Times New Roman" w:hAnsi="Times New Roman"/>
                <w:sz w:val="18"/>
                <w:szCs w:val="18"/>
                <w:color w:val="auto"/>
              </w:rPr>
              <w:t>By:</w:t>
            </w: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Yi Shi</w:t>
            </w:r>
          </w:p>
        </w:tc>
      </w:tr>
      <w:tr>
        <w:trPr>
          <w:trHeight w:val="198"/>
        </w:trPr>
        <w:tc>
          <w:tcPr>
            <w:tcW w:w="3460" w:type="dxa"/>
            <w:vAlign w:val="bottom"/>
          </w:tcPr>
          <w:p>
            <w:pPr>
              <w:spacing w:after="0"/>
              <w:rPr>
                <w:sz w:val="17"/>
                <w:szCs w:val="17"/>
                <w:color w:val="auto"/>
              </w:rPr>
            </w:pPr>
          </w:p>
        </w:tc>
        <w:tc>
          <w:tcPr>
            <w:tcW w:w="3860" w:type="dxa"/>
            <w:vAlign w:val="bottom"/>
          </w:tcPr>
          <w:p>
            <w:pPr>
              <w:ind w:left="330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Yi Shi</w:t>
            </w:r>
          </w:p>
        </w:tc>
        <w:tc>
          <w:tcPr>
            <w:tcW w:w="20" w:type="dxa"/>
            <w:vAlign w:val="bottom"/>
          </w:tcPr>
          <w:p>
            <w:pPr>
              <w:spacing w:after="0"/>
              <w:rPr>
                <w:sz w:val="17"/>
                <w:szCs w:val="17"/>
                <w:color w:val="auto"/>
              </w:rPr>
            </w:pPr>
          </w:p>
        </w:tc>
      </w:tr>
      <w:tr>
        <w:trPr>
          <w:trHeight w:val="234"/>
        </w:trPr>
        <w:tc>
          <w:tcPr>
            <w:tcW w:w="3460" w:type="dxa"/>
            <w:vAlign w:val="bottom"/>
          </w:tcPr>
          <w:p>
            <w:pPr>
              <w:spacing w:after="0"/>
              <w:rPr>
                <w:sz w:val="20"/>
                <w:szCs w:val="20"/>
                <w:color w:val="auto"/>
              </w:rPr>
            </w:pPr>
          </w:p>
        </w:tc>
        <w:tc>
          <w:tcPr>
            <w:tcW w:w="3860" w:type="dxa"/>
            <w:vAlign w:val="bottom"/>
          </w:tcPr>
          <w:p>
            <w:pPr>
              <w:ind w:left="3300"/>
              <w:spacing w:after="0"/>
              <w:rPr>
                <w:sz w:val="20"/>
                <w:szCs w:val="20"/>
                <w:color w:val="auto"/>
              </w:rPr>
            </w:pPr>
            <w:r>
              <w:rPr>
                <w:rFonts w:ascii="Times New Roman" w:cs="Times New Roman" w:eastAsia="Times New Roman" w:hAnsi="Times New Roman"/>
                <w:sz w:val="18"/>
                <w:szCs w:val="18"/>
                <w:color w:val="auto"/>
              </w:rPr>
              <w:t>Title:</w:t>
            </w: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Managing Partner</w:t>
            </w:r>
          </w:p>
        </w:tc>
      </w:tr>
      <w:tr>
        <w:trPr>
          <w:trHeight w:val="432"/>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Dated: February 13, 2024</w:t>
            </w:r>
          </w:p>
        </w:tc>
        <w:tc>
          <w:tcPr>
            <w:tcW w:w="7800" w:type="dxa"/>
            <w:vAlign w:val="bottom"/>
            <w:gridSpan w:val="3"/>
          </w:tcPr>
          <w:p>
            <w:pPr>
              <w:ind w:left="3300"/>
              <w:spacing w:after="0"/>
              <w:rPr>
                <w:sz w:val="20"/>
                <w:szCs w:val="20"/>
                <w:color w:val="auto"/>
              </w:rPr>
            </w:pPr>
            <w:r>
              <w:rPr>
                <w:rFonts w:ascii="Times New Roman" w:cs="Times New Roman" w:eastAsia="Times New Roman" w:hAnsi="Times New Roman"/>
                <w:sz w:val="18"/>
                <w:szCs w:val="18"/>
                <w:b w:val="1"/>
                <w:bCs w:val="1"/>
                <w:color w:val="auto"/>
              </w:rPr>
              <w:t>LAV STAR LIMITED</w:t>
            </w:r>
          </w:p>
        </w:tc>
      </w:tr>
      <w:tr>
        <w:trPr>
          <w:trHeight w:val="439"/>
        </w:trPr>
        <w:tc>
          <w:tcPr>
            <w:tcW w:w="3460" w:type="dxa"/>
            <w:vAlign w:val="bottom"/>
          </w:tcPr>
          <w:p>
            <w:pPr>
              <w:spacing w:after="0"/>
              <w:rPr>
                <w:sz w:val="24"/>
                <w:szCs w:val="24"/>
                <w:color w:val="auto"/>
              </w:rPr>
            </w:pPr>
          </w:p>
        </w:tc>
        <w:tc>
          <w:tcPr>
            <w:tcW w:w="3860" w:type="dxa"/>
            <w:vAlign w:val="bottom"/>
          </w:tcPr>
          <w:p>
            <w:pPr>
              <w:ind w:left="3300"/>
              <w:spacing w:after="0"/>
              <w:rPr>
                <w:sz w:val="20"/>
                <w:szCs w:val="20"/>
                <w:color w:val="auto"/>
              </w:rPr>
            </w:pPr>
            <w:r>
              <w:rPr>
                <w:rFonts w:ascii="Times New Roman" w:cs="Times New Roman" w:eastAsia="Times New Roman" w:hAnsi="Times New Roman"/>
                <w:sz w:val="18"/>
                <w:szCs w:val="18"/>
                <w:color w:val="auto"/>
              </w:rPr>
              <w:t>By:</w:t>
            </w: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Yi Shi</w:t>
            </w:r>
          </w:p>
        </w:tc>
      </w:tr>
      <w:tr>
        <w:trPr>
          <w:trHeight w:val="198"/>
        </w:trPr>
        <w:tc>
          <w:tcPr>
            <w:tcW w:w="3460" w:type="dxa"/>
            <w:vAlign w:val="bottom"/>
          </w:tcPr>
          <w:p>
            <w:pPr>
              <w:spacing w:after="0"/>
              <w:rPr>
                <w:sz w:val="17"/>
                <w:szCs w:val="17"/>
                <w:color w:val="auto"/>
              </w:rPr>
            </w:pPr>
          </w:p>
        </w:tc>
        <w:tc>
          <w:tcPr>
            <w:tcW w:w="3860" w:type="dxa"/>
            <w:vAlign w:val="bottom"/>
          </w:tcPr>
          <w:p>
            <w:pPr>
              <w:ind w:left="330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Yi Shi</w:t>
            </w:r>
          </w:p>
        </w:tc>
        <w:tc>
          <w:tcPr>
            <w:tcW w:w="20" w:type="dxa"/>
            <w:vAlign w:val="bottom"/>
          </w:tcPr>
          <w:p>
            <w:pPr>
              <w:spacing w:after="0"/>
              <w:rPr>
                <w:sz w:val="17"/>
                <w:szCs w:val="17"/>
                <w:color w:val="auto"/>
              </w:rPr>
            </w:pPr>
          </w:p>
        </w:tc>
      </w:tr>
      <w:tr>
        <w:trPr>
          <w:trHeight w:val="234"/>
        </w:trPr>
        <w:tc>
          <w:tcPr>
            <w:tcW w:w="3460" w:type="dxa"/>
            <w:vAlign w:val="bottom"/>
          </w:tcPr>
          <w:p>
            <w:pPr>
              <w:spacing w:after="0"/>
              <w:rPr>
                <w:sz w:val="20"/>
                <w:szCs w:val="20"/>
                <w:color w:val="auto"/>
              </w:rPr>
            </w:pPr>
          </w:p>
        </w:tc>
        <w:tc>
          <w:tcPr>
            <w:tcW w:w="3860" w:type="dxa"/>
            <w:vAlign w:val="bottom"/>
          </w:tcPr>
          <w:p>
            <w:pPr>
              <w:ind w:left="3300"/>
              <w:spacing w:after="0"/>
              <w:rPr>
                <w:sz w:val="20"/>
                <w:szCs w:val="20"/>
                <w:color w:val="auto"/>
              </w:rPr>
            </w:pPr>
            <w:r>
              <w:rPr>
                <w:rFonts w:ascii="Times New Roman" w:cs="Times New Roman" w:eastAsia="Times New Roman" w:hAnsi="Times New Roman"/>
                <w:sz w:val="18"/>
                <w:szCs w:val="18"/>
                <w:color w:val="auto"/>
              </w:rPr>
              <w:t>Title:</w:t>
            </w: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Managing Partner</w:t>
            </w:r>
          </w:p>
        </w:tc>
      </w:tr>
      <w:tr>
        <w:trPr>
          <w:trHeight w:val="432"/>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Dated: February 13, 2024</w:t>
            </w:r>
          </w:p>
        </w:tc>
        <w:tc>
          <w:tcPr>
            <w:tcW w:w="7800" w:type="dxa"/>
            <w:vAlign w:val="bottom"/>
            <w:gridSpan w:val="3"/>
          </w:tcPr>
          <w:p>
            <w:pPr>
              <w:ind w:left="3300"/>
              <w:spacing w:after="0"/>
              <w:rPr>
                <w:sz w:val="20"/>
                <w:szCs w:val="20"/>
                <w:color w:val="auto"/>
              </w:rPr>
            </w:pPr>
            <w:r>
              <w:rPr>
                <w:rFonts w:ascii="Times New Roman" w:cs="Times New Roman" w:eastAsia="Times New Roman" w:hAnsi="Times New Roman"/>
                <w:sz w:val="18"/>
                <w:szCs w:val="18"/>
                <w:b w:val="1"/>
                <w:bCs w:val="1"/>
                <w:color w:val="auto"/>
              </w:rPr>
              <w:t>LAV STAR OPPORTUNITIES LIMITED</w:t>
            </w:r>
          </w:p>
        </w:tc>
      </w:tr>
      <w:tr>
        <w:trPr>
          <w:trHeight w:val="439"/>
        </w:trPr>
        <w:tc>
          <w:tcPr>
            <w:tcW w:w="3460" w:type="dxa"/>
            <w:vAlign w:val="bottom"/>
          </w:tcPr>
          <w:p>
            <w:pPr>
              <w:spacing w:after="0"/>
              <w:rPr>
                <w:sz w:val="24"/>
                <w:szCs w:val="24"/>
                <w:color w:val="auto"/>
              </w:rPr>
            </w:pPr>
          </w:p>
        </w:tc>
        <w:tc>
          <w:tcPr>
            <w:tcW w:w="3860" w:type="dxa"/>
            <w:vAlign w:val="bottom"/>
          </w:tcPr>
          <w:p>
            <w:pPr>
              <w:ind w:left="3300"/>
              <w:spacing w:after="0"/>
              <w:rPr>
                <w:sz w:val="20"/>
                <w:szCs w:val="20"/>
                <w:color w:val="auto"/>
              </w:rPr>
            </w:pPr>
            <w:r>
              <w:rPr>
                <w:rFonts w:ascii="Times New Roman" w:cs="Times New Roman" w:eastAsia="Times New Roman" w:hAnsi="Times New Roman"/>
                <w:sz w:val="18"/>
                <w:szCs w:val="18"/>
                <w:color w:val="auto"/>
              </w:rPr>
              <w:t>By:</w:t>
            </w: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Yi Shi</w:t>
            </w:r>
          </w:p>
        </w:tc>
      </w:tr>
      <w:tr>
        <w:trPr>
          <w:trHeight w:val="198"/>
        </w:trPr>
        <w:tc>
          <w:tcPr>
            <w:tcW w:w="3460" w:type="dxa"/>
            <w:vAlign w:val="bottom"/>
          </w:tcPr>
          <w:p>
            <w:pPr>
              <w:spacing w:after="0"/>
              <w:rPr>
                <w:sz w:val="17"/>
                <w:szCs w:val="17"/>
                <w:color w:val="auto"/>
              </w:rPr>
            </w:pPr>
          </w:p>
        </w:tc>
        <w:tc>
          <w:tcPr>
            <w:tcW w:w="3860" w:type="dxa"/>
            <w:vAlign w:val="bottom"/>
          </w:tcPr>
          <w:p>
            <w:pPr>
              <w:ind w:left="330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Yi Shi</w:t>
            </w:r>
          </w:p>
        </w:tc>
        <w:tc>
          <w:tcPr>
            <w:tcW w:w="20" w:type="dxa"/>
            <w:vAlign w:val="bottom"/>
          </w:tcPr>
          <w:p>
            <w:pPr>
              <w:spacing w:after="0"/>
              <w:rPr>
                <w:sz w:val="17"/>
                <w:szCs w:val="17"/>
                <w:color w:val="auto"/>
              </w:rPr>
            </w:pPr>
          </w:p>
        </w:tc>
      </w:tr>
      <w:tr>
        <w:trPr>
          <w:trHeight w:val="234"/>
        </w:trPr>
        <w:tc>
          <w:tcPr>
            <w:tcW w:w="3460" w:type="dxa"/>
            <w:vAlign w:val="bottom"/>
          </w:tcPr>
          <w:p>
            <w:pPr>
              <w:spacing w:after="0"/>
              <w:rPr>
                <w:sz w:val="20"/>
                <w:szCs w:val="20"/>
                <w:color w:val="auto"/>
              </w:rPr>
            </w:pPr>
          </w:p>
        </w:tc>
        <w:tc>
          <w:tcPr>
            <w:tcW w:w="3860" w:type="dxa"/>
            <w:vAlign w:val="bottom"/>
          </w:tcPr>
          <w:p>
            <w:pPr>
              <w:ind w:left="3300"/>
              <w:spacing w:after="0"/>
              <w:rPr>
                <w:sz w:val="20"/>
                <w:szCs w:val="20"/>
                <w:color w:val="auto"/>
              </w:rPr>
            </w:pPr>
            <w:r>
              <w:rPr>
                <w:rFonts w:ascii="Times New Roman" w:cs="Times New Roman" w:eastAsia="Times New Roman" w:hAnsi="Times New Roman"/>
                <w:sz w:val="18"/>
                <w:szCs w:val="18"/>
                <w:color w:val="auto"/>
              </w:rPr>
              <w:t>Title:</w:t>
            </w: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Managing Partner</w:t>
            </w:r>
          </w:p>
        </w:tc>
      </w:tr>
      <w:tr>
        <w:trPr>
          <w:trHeight w:val="432"/>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Dated: February 13, 2024</w:t>
            </w:r>
          </w:p>
        </w:tc>
        <w:tc>
          <w:tcPr>
            <w:tcW w:w="3860" w:type="dxa"/>
            <w:vAlign w:val="bottom"/>
          </w:tcPr>
          <w:p>
            <w:pPr>
              <w:ind w:left="3300"/>
              <w:spacing w:after="0"/>
              <w:rPr>
                <w:sz w:val="20"/>
                <w:szCs w:val="20"/>
                <w:color w:val="auto"/>
              </w:rPr>
            </w:pPr>
            <w:r>
              <w:rPr>
                <w:rFonts w:ascii="Times New Roman" w:cs="Times New Roman" w:eastAsia="Times New Roman" w:hAnsi="Times New Roman"/>
                <w:sz w:val="18"/>
                <w:szCs w:val="18"/>
                <w:b w:val="1"/>
                <w:bCs w:val="1"/>
                <w:color w:val="auto"/>
                <w:w w:val="97"/>
              </w:rPr>
              <w:t>YI SHI</w:t>
            </w:r>
          </w:p>
        </w:tc>
        <w:tc>
          <w:tcPr>
            <w:tcW w:w="39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9"/>
        </w:trPr>
        <w:tc>
          <w:tcPr>
            <w:tcW w:w="3460" w:type="dxa"/>
            <w:vAlign w:val="bottom"/>
          </w:tcPr>
          <w:p>
            <w:pPr>
              <w:spacing w:after="0"/>
              <w:rPr>
                <w:sz w:val="24"/>
                <w:szCs w:val="24"/>
                <w:color w:val="auto"/>
              </w:rPr>
            </w:pPr>
          </w:p>
        </w:tc>
        <w:tc>
          <w:tcPr>
            <w:tcW w:w="3860" w:type="dxa"/>
            <w:vAlign w:val="bottom"/>
          </w:tcPr>
          <w:p>
            <w:pPr>
              <w:ind w:left="3300"/>
              <w:spacing w:after="0"/>
              <w:rPr>
                <w:sz w:val="20"/>
                <w:szCs w:val="20"/>
                <w:color w:val="auto"/>
              </w:rPr>
            </w:pPr>
            <w:r>
              <w:rPr>
                <w:rFonts w:ascii="Times New Roman" w:cs="Times New Roman" w:eastAsia="Times New Roman" w:hAnsi="Times New Roman"/>
                <w:sz w:val="18"/>
                <w:szCs w:val="18"/>
                <w:color w:val="auto"/>
              </w:rPr>
              <w:t>By:</w:t>
            </w: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Yi Shi</w:t>
            </w:r>
          </w:p>
        </w:tc>
      </w:tr>
      <w:tr>
        <w:trPr>
          <w:trHeight w:val="234"/>
        </w:trPr>
        <w:tc>
          <w:tcPr>
            <w:tcW w:w="3460" w:type="dxa"/>
            <w:vAlign w:val="bottom"/>
          </w:tcPr>
          <w:p>
            <w:pPr>
              <w:spacing w:after="0"/>
              <w:rPr>
                <w:sz w:val="20"/>
                <w:szCs w:val="20"/>
                <w:color w:val="auto"/>
              </w:rPr>
            </w:pPr>
          </w:p>
        </w:tc>
        <w:tc>
          <w:tcPr>
            <w:tcW w:w="3860" w:type="dxa"/>
            <w:vAlign w:val="bottom"/>
          </w:tcPr>
          <w:p>
            <w:pPr>
              <w:ind w:left="3300"/>
              <w:spacing w:after="0"/>
              <w:rPr>
                <w:sz w:val="20"/>
                <w:szCs w:val="20"/>
                <w:color w:val="auto"/>
              </w:rPr>
            </w:pPr>
            <w:r>
              <w:rPr>
                <w:rFonts w:ascii="Times New Roman" w:cs="Times New Roman" w:eastAsia="Times New Roman" w:hAnsi="Times New Roman"/>
                <w:sz w:val="18"/>
                <w:szCs w:val="18"/>
                <w:color w:val="auto"/>
              </w:rPr>
              <w:t>Name:</w:t>
            </w:r>
          </w:p>
        </w:tc>
        <w:tc>
          <w:tcPr>
            <w:tcW w:w="39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Yi Shi</w:t>
            </w:r>
          </w:p>
        </w:tc>
        <w:tc>
          <w:tcPr>
            <w:tcW w:w="20" w:type="dxa"/>
            <w:vAlign w:val="bottom"/>
          </w:tcPr>
          <w:p>
            <w:pPr>
              <w:spacing w:after="0"/>
              <w:rPr>
                <w:sz w:val="20"/>
                <w:szCs w:val="20"/>
                <w:color w:val="auto"/>
              </w:rPr>
            </w:pPr>
          </w:p>
        </w:tc>
      </w:tr>
      <w:tr>
        <w:trPr>
          <w:trHeight w:val="664"/>
        </w:trPr>
        <w:tc>
          <w:tcPr>
            <w:tcW w:w="346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CUSIP No. 04272N 102</w:t>
            </w:r>
          </w:p>
        </w:tc>
        <w:tc>
          <w:tcPr>
            <w:tcW w:w="240" w:type="dxa"/>
            <w:vAlign w:val="bottom"/>
          </w:tcPr>
          <w:p>
            <w:pPr>
              <w:spacing w:after="0"/>
              <w:rPr>
                <w:sz w:val="20"/>
                <w:szCs w:val="20"/>
                <w:color w:val="auto"/>
              </w:rPr>
            </w:pPr>
          </w:p>
        </w:tc>
        <w:tc>
          <w:tcPr>
            <w:tcW w:w="6160" w:type="dxa"/>
            <w:vAlign w:val="bottom"/>
          </w:tcPr>
          <w:p>
            <w:pPr>
              <w:ind w:left="5340"/>
              <w:spacing w:after="0"/>
              <w:rPr>
                <w:sz w:val="20"/>
                <w:szCs w:val="20"/>
                <w:color w:val="auto"/>
              </w:rPr>
            </w:pPr>
            <w:r>
              <w:rPr>
                <w:rFonts w:ascii="Times New Roman" w:cs="Times New Roman" w:eastAsia="Times New Roman" w:hAnsi="Times New Roman"/>
                <w:sz w:val="18"/>
                <w:szCs w:val="18"/>
                <w:color w:val="auto"/>
                <w:w w:val="98"/>
              </w:rPr>
              <w:t>Page 9 of 9</w:t>
            </w:r>
          </w:p>
        </w:tc>
      </w:tr>
      <w:tr>
        <w:trPr>
          <w:trHeight w:val="432"/>
        </w:trPr>
        <w:tc>
          <w:tcPr>
            <w:tcW w:w="28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64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53"/>
        </w:trPr>
        <w:tc>
          <w:tcPr>
            <w:tcW w:w="48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40" w:type="dxa"/>
            <w:vAlign w:val="bottom"/>
            <w:tcBorders>
              <w:bottom w:val="single" w:sz="8" w:color="CCEEFF"/>
            </w:tcBorders>
          </w:tcPr>
          <w:p>
            <w:pPr>
              <w:spacing w:after="0"/>
              <w:rPr>
                <w:sz w:val="24"/>
                <w:szCs w:val="24"/>
                <w:color w:val="auto"/>
              </w:rPr>
            </w:pPr>
          </w:p>
        </w:tc>
        <w:tc>
          <w:tcPr>
            <w:tcW w:w="6160" w:type="dxa"/>
            <w:vAlign w:val="bottom"/>
            <w:tcBorders>
              <w:bottom w:val="single" w:sz="8" w:color="auto"/>
            </w:tcBorders>
          </w:tcPr>
          <w:p>
            <w:pPr>
              <w:ind w:left="1580"/>
              <w:spacing w:after="0"/>
              <w:rPr>
                <w:sz w:val="20"/>
                <w:szCs w:val="20"/>
                <w:color w:val="auto"/>
              </w:rPr>
            </w:pPr>
            <w:r>
              <w:rPr>
                <w:rFonts w:ascii="Times New Roman" w:cs="Times New Roman" w:eastAsia="Times New Roman" w:hAnsi="Times New Roman"/>
                <w:sz w:val="18"/>
                <w:szCs w:val="18"/>
                <w:b w:val="1"/>
                <w:bCs w:val="1"/>
                <w:color w:val="auto"/>
              </w:rPr>
              <w:t>Found on Sequentially Numbered Page</w:t>
            </w:r>
          </w:p>
        </w:tc>
      </w:tr>
      <w:tr>
        <w:trPr>
          <w:trHeight w:val="196"/>
        </w:trPr>
        <w:tc>
          <w:tcPr>
            <w:tcW w:w="48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Exhibit 99.1: Agreement of Joint Filing</w:t>
            </w:r>
          </w:p>
        </w:tc>
        <w:tc>
          <w:tcPr>
            <w:tcW w:w="240" w:type="dxa"/>
            <w:vAlign w:val="bottom"/>
            <w:shd w:val="clear" w:color="auto" w:fill="CCEEFF"/>
          </w:tcPr>
          <w:p>
            <w:pPr>
              <w:spacing w:after="0"/>
              <w:rPr>
                <w:sz w:val="17"/>
                <w:szCs w:val="17"/>
                <w:color w:val="auto"/>
              </w:rPr>
            </w:pPr>
          </w:p>
        </w:tc>
        <w:tc>
          <w:tcPr>
            <w:tcW w:w="6160" w:type="dxa"/>
            <w:vAlign w:val="bottom"/>
            <w:shd w:val="clear" w:color="auto" w:fill="CCEEFF"/>
          </w:tcPr>
          <w:p>
            <w:pPr>
              <w:spacing w:after="0"/>
              <w:rPr>
                <w:sz w:val="17"/>
                <w:szCs w:val="17"/>
                <w:color w:val="auto"/>
              </w:rPr>
            </w:pPr>
          </w:p>
        </w:tc>
      </w:tr>
      <w:tr>
        <w:trPr>
          <w:trHeight w:val="655"/>
        </w:trPr>
        <w:tc>
          <w:tcPr>
            <w:tcW w:w="2860" w:type="dxa"/>
            <w:vAlign w:val="bottom"/>
            <w:tcBorders>
              <w:top w:val="single" w:sz="8" w:color="0000EE"/>
              <w:bottom w:val="single" w:sz="8" w:color="auto"/>
            </w:tcBorders>
          </w:tcPr>
          <w:p>
            <w:pPr>
              <w:spacing w:after="0"/>
              <w:rPr>
                <w:sz w:val="24"/>
                <w:szCs w:val="24"/>
                <w:color w:val="auto"/>
              </w:rPr>
            </w:pPr>
          </w:p>
        </w:tc>
        <w:tc>
          <w:tcPr>
            <w:tcW w:w="198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616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 OF JOINT FILING</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undersigned hereby agree that a single Schedule 13G (or any amendment thereto) relating to the Common Stock of ArriVent BioPharma,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be filed on behalf of each of the undersigned and that this Agreement shall be filed as an exhibit to such Schedule 13G.</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13, 2024</w:t>
      </w:r>
    </w:p>
    <w:p>
      <w:pPr>
        <w:spacing w:after="0" w:line="2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LAV FUND VI, L.P.</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Yi Shi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Yi Shi</w:t>
      </w:r>
    </w:p>
    <w:p>
      <w:pPr>
        <w:spacing w:after="0" w:line="3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Partner</w:t>
      </w:r>
    </w:p>
    <w:p>
      <w:pPr>
        <w:spacing w:after="0" w:line="20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LAV STAR LIMITED</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Yi Shi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Yi Shi</w:t>
      </w:r>
    </w:p>
    <w:p>
      <w:pPr>
        <w:spacing w:after="0" w:line="3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Partner</w:t>
      </w:r>
    </w:p>
    <w:p>
      <w:pPr>
        <w:spacing w:after="0" w:line="20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LAV STAR OPPORTUNITIES LIMITED</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Yi Shi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Yi Shi</w:t>
      </w:r>
    </w:p>
    <w:p>
      <w:pPr>
        <w:spacing w:after="0" w:line="3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Partner</w:t>
      </w:r>
    </w:p>
    <w:p>
      <w:pPr>
        <w:spacing w:after="0" w:line="20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YI SHI</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Yi Shi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Yi Shi</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3">
    <w:nsid w:val="1F16E9E8"/>
    <w:multiLevelType w:val="hybridMultilevel"/>
    <w:lvl w:ilvl="0">
      <w:lvlJc w:val="left"/>
      <w:lvlText w:val="%1"/>
      <w:numFmt w:val="decimal"/>
      <w:start w:val="1"/>
    </w:lvl>
    <w:lvl w:ilvl="1">
      <w:lvlJc w:val="left"/>
      <w:lvlText w:val="%2"/>
      <w:numFmt w:val="decimal"/>
      <w:start w:val="1"/>
    </w:lvl>
    <w:lvl w:ilvl="2">
      <w:lvlJc w:val="left"/>
      <w:lvlText w:val="%3."/>
      <w:numFmt w:val="decimal"/>
      <w:start w:val="8"/>
    </w:lvl>
  </w:abstractNum>
  <w:abstractNum w:abstractNumId="4">
    <w:nsid w:val="1190CDE7"/>
    <w:multiLevelType w:val="hybridMultilevel"/>
    <w:lvl w:ilvl="0">
      <w:lvlJc w:val="left"/>
      <w:lvlText w:val="%1"/>
      <w:numFmt w:val="decimal"/>
      <w:start w:val="1"/>
    </w:lvl>
    <w:lvl w:ilvl="1">
      <w:lvlJc w:val="left"/>
      <w:lvlText w:val="%2."/>
      <w:numFmt w:val="decimal"/>
      <w:start w:val="9"/>
    </w:lvl>
    <w:lvl w:ilvl="2">
      <w:lvlJc w:val="left"/>
      <w:lvlText w:val="%3"/>
      <w:numFmt w:val="decimal"/>
      <w:start w:val="1"/>
    </w:lvl>
  </w:abstractNum>
  <w:abstractNum w:abstractNumId="5">
    <w:nsid w:val="66EF438D"/>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6">
    <w:nsid w:val="140E0F76"/>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7">
    <w:nsid w:val="3352255A"/>
    <w:multiLevelType w:val="hybridMultilevel"/>
    <w:lvl w:ilvl="0">
      <w:lvlJc w:val="left"/>
      <w:lvlText w:val="%1"/>
      <w:numFmt w:val="decimal"/>
      <w:start w:val="1"/>
    </w:lvl>
    <w:lvl w:ilvl="1">
      <w:lvlJc w:val="left"/>
      <w:lvlText w:val="%2"/>
      <w:numFmt w:val="decimal"/>
      <w:start w:val="1"/>
    </w:lvl>
    <w:lvl w:ilvl="2">
      <w:lvlJc w:val="left"/>
      <w:lvlText w:val="%3."/>
      <w:numFmt w:val="decimal"/>
      <w:start w:val="8"/>
    </w:lvl>
  </w:abstractNum>
  <w:abstractNum w:abstractNumId="8">
    <w:nsid w:val="109CF92E"/>
    <w:multiLevelType w:val="hybridMultilevel"/>
    <w:lvl w:ilvl="0">
      <w:lvlJc w:val="left"/>
      <w:lvlText w:val="%1"/>
      <w:numFmt w:val="decimal"/>
      <w:start w:val="1"/>
    </w:lvl>
    <w:lvl w:ilvl="1">
      <w:lvlJc w:val="left"/>
      <w:lvlText w:val="%2."/>
      <w:numFmt w:val="decimal"/>
      <w:start w:val="9"/>
    </w:lvl>
    <w:lvl w:ilvl="2">
      <w:lvlJc w:val="left"/>
      <w:lvlText w:val="%3"/>
      <w:numFmt w:val="decimal"/>
      <w:start w:val="1"/>
    </w:lvl>
  </w:abstractNum>
  <w:abstractNum w:abstractNumId="9">
    <w:nsid w:val="DED7263"/>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10">
    <w:nsid w:val="7FDCC233"/>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11">
    <w:nsid w:val="1BEFD79F"/>
    <w:multiLevelType w:val="hybridMultilevel"/>
    <w:lvl w:ilvl="0">
      <w:lvlJc w:val="left"/>
      <w:lvlText w:val="%1"/>
      <w:numFmt w:val="decimal"/>
      <w:start w:val="1"/>
    </w:lvl>
    <w:lvl w:ilvl="1">
      <w:lvlJc w:val="left"/>
      <w:lvlText w:val="%2"/>
      <w:numFmt w:val="decimal"/>
      <w:start w:val="1"/>
    </w:lvl>
    <w:lvl w:ilvl="2">
      <w:lvlJc w:val="left"/>
      <w:lvlText w:val="%3."/>
      <w:numFmt w:val="decimal"/>
      <w:start w:val="8"/>
    </w:lvl>
  </w:abstractNum>
  <w:abstractNum w:abstractNumId="12">
    <w:nsid w:val="41A7C4C9"/>
    <w:multiLevelType w:val="hybridMultilevel"/>
    <w:lvl w:ilvl="0">
      <w:lvlJc w:val="left"/>
      <w:lvlText w:val="%1"/>
      <w:numFmt w:val="decimal"/>
      <w:start w:val="1"/>
    </w:lvl>
    <w:lvl w:ilvl="1">
      <w:lvlJc w:val="left"/>
      <w:lvlText w:val="%2."/>
      <w:numFmt w:val="decimal"/>
      <w:start w:val="9"/>
    </w:lvl>
    <w:lvl w:ilvl="2">
      <w:lvlJc w:val="left"/>
      <w:lvlText w:val="%3"/>
      <w:numFmt w:val="decimal"/>
      <w:start w:val="1"/>
    </w:lvl>
  </w:abstractNum>
  <w:abstractNum w:abstractNumId="13">
    <w:nsid w:val="6B68079A"/>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14">
    <w:nsid w:val="4E6AFB66"/>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15">
    <w:nsid w:val="25E45D32"/>
    <w:multiLevelType w:val="hybridMultilevel"/>
    <w:lvl w:ilvl="0">
      <w:lvlJc w:val="left"/>
      <w:lvlText w:val="%1"/>
      <w:numFmt w:val="decimal"/>
      <w:start w:val="1"/>
    </w:lvl>
    <w:lvl w:ilvl="1">
      <w:lvlJc w:val="left"/>
      <w:lvlText w:val="%2"/>
      <w:numFmt w:val="decimal"/>
      <w:start w:val="1"/>
    </w:lvl>
    <w:lvl w:ilvl="2">
      <w:lvlJc w:val="left"/>
      <w:lvlText w:val="%3."/>
      <w:numFmt w:val="decimal"/>
      <w:start w:val="8"/>
    </w:lvl>
  </w:abstractNum>
  <w:abstractNum w:abstractNumId="16">
    <w:nsid w:val="519B500D"/>
    <w:multiLevelType w:val="hybridMultilevel"/>
    <w:lvl w:ilvl="0">
      <w:lvlJc w:val="left"/>
      <w:lvlText w:val="%1"/>
      <w:numFmt w:val="decimal"/>
      <w:start w:val="1"/>
    </w:lvl>
    <w:lvl w:ilvl="1">
      <w:lvlJc w:val="left"/>
      <w:lvlText w:val="%2."/>
      <w:numFmt w:val="decimal"/>
      <w:start w:val="9"/>
    </w:lvl>
    <w:lvl w:ilvl="2">
      <w:lvlJc w:val="left"/>
      <w:lvlText w:val="%3"/>
      <w:numFmt w:val="decimal"/>
      <w:start w:val="1"/>
    </w:lvl>
  </w:abstractNum>
  <w:abstractNum w:abstractNumId="17">
    <w:nsid w:val="431BD7B7"/>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2024-02-13T17:23:04Z</dcterms:created>
  <dcterms:modified xsi:type="dcterms:W3CDTF">2024-02-13T17:23:04Z</dcterms:modified>
</cp:coreProperties>
</file>