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46" w:lineRule="exact"/>
        <w:rPr>
          <w:sz w:val="24"/>
          <w:szCs w:val="24"/>
          <w:color w:val="auto"/>
        </w:rPr>
      </w:pPr>
    </w:p>
    <w:p>
      <w:pPr>
        <w:ind w:left="3200" w:right="1340" w:hanging="3192"/>
        <w:spacing w:after="0" w:line="353" w:lineRule="auto"/>
        <w:tabs>
          <w:tab w:leader="none" w:pos="34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20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9" w:lineRule="exact"/>
        <w:rPr>
          <w:sz w:val="24"/>
          <w:szCs w:val="24"/>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001-41929</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500" w:type="dxa"/>
        <w:tblCellMar>
          <w:top w:w="0" w:type="dxa"/>
          <w:left w:w="0" w:type="dxa"/>
          <w:bottom w:w="0" w:type="dxa"/>
          <w:right w:w="0" w:type="dxa"/>
        </w:tblCellMar>
      </w:tblPr>
      <w:tr>
        <w:trPr>
          <w:trHeight w:val="204"/>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86-3336099</w:t>
            </w:r>
          </w:p>
        </w:tc>
      </w:tr>
      <w:tr>
        <w:trPr>
          <w:trHeight w:val="210"/>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color w:val="auto"/>
              </w:rPr>
              <w:t>(State of Other Jurisdiction of incorporation or Organization)</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6"/>
        </w:trPr>
        <w:tc>
          <w:tcPr>
            <w:tcW w:w="4860" w:type="dxa"/>
            <w:vAlign w:val="bottom"/>
          </w:tcPr>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18 Campus Boulevard Suite 100, Newtown Square, PA</w:t>
            </w:r>
          </w:p>
        </w:tc>
        <w:tc>
          <w:tcPr>
            <w:tcW w:w="32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19073</w:t>
            </w:r>
          </w:p>
        </w:tc>
      </w:tr>
      <w:tr>
        <w:trPr>
          <w:trHeight w:val="210"/>
        </w:trPr>
        <w:tc>
          <w:tcPr>
            <w:tcW w:w="4860" w:type="dxa"/>
            <w:vAlign w:val="bottom"/>
          </w:tcPr>
          <w:p>
            <w:pPr>
              <w:jc w:val="center"/>
              <w:ind w:right="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6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(628) 277-4836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60"/>
        </w:trPr>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178"/>
        </w:trPr>
        <w:tc>
          <w:tcPr>
            <w:tcW w:w="1020" w:type="dxa"/>
            <w:vAlign w:val="bottom"/>
          </w:tcPr>
          <w:p>
            <w:pPr>
              <w:spacing w:after="0"/>
              <w:rPr>
                <w:sz w:val="15"/>
                <w:szCs w:val="15"/>
                <w:color w:val="auto"/>
              </w:rPr>
            </w:pPr>
          </w:p>
        </w:tc>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2000" w:type="dxa"/>
            <w:vAlign w:val="bottom"/>
          </w:tcPr>
          <w:p>
            <w:pPr>
              <w:spacing w:after="0"/>
              <w:rPr>
                <w:sz w:val="15"/>
                <w:szCs w:val="15"/>
                <w:color w:val="auto"/>
              </w:rPr>
            </w:pPr>
          </w:p>
        </w:tc>
        <w:tc>
          <w:tcPr>
            <w:tcW w:w="12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20" w:type="dxa"/>
            <w:vAlign w:val="bottom"/>
            <w:gridSpan w:val="3"/>
          </w:tcPr>
          <w:p>
            <w:pPr>
              <w:jc w:val="center"/>
              <w:ind w:left="1639"/>
              <w:spacing w:after="0" w:line="178" w:lineRule="exact"/>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20"/>
        </w:trPr>
        <w:tc>
          <w:tcPr>
            <w:tcW w:w="10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32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Common Stock, $0.0001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AVBP</w:t>
            </w:r>
          </w:p>
        </w:tc>
        <w:tc>
          <w:tcPr>
            <w:tcW w:w="3620" w:type="dxa"/>
            <w:vAlign w:val="bottom"/>
            <w:gridSpan w:val="3"/>
          </w:tcPr>
          <w:p>
            <w:pPr>
              <w:jc w:val="center"/>
              <w:ind w:left="163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6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6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Accelerated filer</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5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as of November 7, 2025 was 41,281,361.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492125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106045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60" w:right="119" w:firstLine="36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that involve risks and uncertainties. All statements other than statements of historical facts contained in this Quarterly Report,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60" w:right="199" w:firstLine="3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180" w:lineRule="exact"/>
        <w:rPr>
          <w:sz w:val="20"/>
          <w:szCs w:val="20"/>
          <w:color w:val="auto"/>
        </w:rPr>
      </w:pPr>
    </w:p>
    <w:p>
      <w:pPr>
        <w:ind w:left="720" w:right="21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product candidates, including our product development plans and strategies;</w:t>
      </w:r>
    </w:p>
    <w:p>
      <w:pPr>
        <w:spacing w:after="0" w:line="16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future revenue, key performance indicators, expenses, capital requirements and our needs for additional financing;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and retain additional qualified professionals;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sufficient clinical product for our clinical trials and, if our product candidates are approved and commercialized, commercial product;</w:t>
      </w:r>
    </w:p>
    <w:p>
      <w:pPr>
        <w:spacing w:after="0" w:line="16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and changes in economic policies, volatility in inflation, volatility in interest rates, or market disruptions on our business;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“Risk Factors” section contained in our Annual Report on Form 10-K for the fiscal year ended December 31, 2024, filed with the Securities and Exchange Commission (SEC) on March 3, 2025 and elsewhere in this Quarterly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In addition, statements that “we believe” and similar statements reflect our beliefs and opinions on the relevant subject and are based on information available to us as of the date of this Quarterly Report. Although we believe such information forms a reasonable basis for the expectations reflected in the forward-looking statements, such information may be limited or incomplete, and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to changes in our expectations, except as required by law.</w:t>
      </w:r>
    </w:p>
    <w:p>
      <w:pPr>
        <w:spacing w:after="0" w:line="192"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SEC as exhibits to this Quarterly Report with the understanding that our actual future results, levels of activity, performance, and events and circumstances may be materially different from what we expect.</w:t>
      </w:r>
    </w:p>
    <w:p>
      <w:pPr>
        <w:spacing w:after="0" w:line="17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contains references to our trademarks and to trademarks belonging to other entities. Solely for convenience, trademarks and trade names referred to in this Quarterly Report,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tcBorders>
              <w:bottom w:val="single" w:sz="8" w:color="0000EE"/>
            </w:tcBorders>
            <w:gridSpan w:val="10"/>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1440" w:type="dxa"/>
            <w:vAlign w:val="bottom"/>
            <w:gridSpan w:val="2"/>
          </w:tcPr>
          <w:p>
            <w:pPr>
              <w:spacing w:after="0"/>
              <w:rPr>
                <w:sz w:val="24"/>
                <w:szCs w:val="24"/>
                <w:color w:val="auto"/>
              </w:rPr>
            </w:pP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4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Financial Statements (Unaudited):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Condensed Balance Sheets</w:t>
            </w:r>
          </w:p>
        </w:tc>
        <w:tc>
          <w:tcPr>
            <w:tcW w:w="3140" w:type="dxa"/>
            <w:vAlign w:val="bottom"/>
            <w:gridSpan w:val="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Statements of Operations and Comprehensive Loss</w:t>
            </w:r>
          </w:p>
        </w:tc>
        <w:tc>
          <w:tcPr>
            <w:tcW w:w="192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Convertible Preferred Stock and Stockholders’ Equity (Deficit</w:t>
            </w:r>
            <w:r>
              <w:rPr>
                <w:rFonts w:ascii="Times New Roman" w:cs="Times New Roman" w:eastAsia="Times New Roman" w:hAnsi="Times New Roman"/>
                <w:sz w:val="18"/>
                <w:szCs w:val="18"/>
                <w:color w:val="000000"/>
              </w:rPr>
              <w:t>)</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Statements of Cash Flows</w:t>
            </w:r>
          </w:p>
        </w:tc>
        <w:tc>
          <w:tcPr>
            <w:tcW w:w="8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Financial Statements</w:t>
            </w:r>
          </w:p>
        </w:tc>
        <w:tc>
          <w:tcPr>
            <w:tcW w:w="266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412"/>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gridSpan w:val="10"/>
          </w:tcPr>
          <w:p>
            <w:pPr>
              <w:jc w:val="center"/>
              <w:ind w:right="1600"/>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1680" w:type="dxa"/>
            <w:vAlign w:val="bottom"/>
          </w:tcPr>
          <w:p>
            <w:pPr>
              <w:spacing w:after="0"/>
              <w:rPr>
                <w:sz w:val="24"/>
                <w:szCs w:val="24"/>
                <w:color w:val="auto"/>
              </w:rPr>
            </w:pP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920" w:type="dxa"/>
            <w:vAlign w:val="bottom"/>
            <w:tcBorders>
              <w:top w:val="single" w:sz="8" w:color="0000EE"/>
            </w:tcBorders>
            <w:gridSpan w:val="7"/>
          </w:tcPr>
          <w:p>
            <w:pPr>
              <w:spacing w:after="0"/>
              <w:rPr>
                <w:sz w:val="24"/>
                <w:szCs w:val="24"/>
                <w:color w:val="auto"/>
              </w:rPr>
            </w:pPr>
          </w:p>
        </w:tc>
        <w:tc>
          <w:tcPr>
            <w:tcW w:w="160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4660" w:type="dxa"/>
            <w:vAlign w:val="bottom"/>
            <w:gridSpan w:val="1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 operating leases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326,555</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80" w:type="dxa"/>
            <w:vAlign w:val="bottom"/>
          </w:tcPr>
          <w:p>
            <w:pPr>
              <w:spacing w:after="0"/>
              <w:rPr>
                <w:sz w:val="18"/>
                <w:szCs w:val="18"/>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amount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and outstanding</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40,852,312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33,706,765 shares issued and outstanding at September 30, 2025 and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326,555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(130,345)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 information: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41,912,905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33,581,810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36,968,978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30,720,711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0" w:type="dxa"/>
            <w:vAlign w:val="bottom"/>
          </w:tcPr>
          <w:p>
            <w:pPr>
              <w:spacing w:after="0"/>
              <w:rPr>
                <w:sz w:val="3"/>
                <w:szCs w:val="3"/>
                <w:color w:val="auto"/>
              </w:rPr>
            </w:pPr>
          </w:p>
        </w:tc>
        <w:tc>
          <w:tcPr>
            <w:tcW w:w="16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4"/>
            <w:vMerge w:val="continue"/>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1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60" w:type="dxa"/>
            <w:vAlign w:val="bottom"/>
            <w:tcBorders>
              <w:left w:val="single" w:sz="8" w:color="auto"/>
            </w:tcBorders>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left w:val="single" w:sz="8" w:color="auto"/>
            </w:tcBorders>
          </w:tcPr>
          <w:p>
            <w:pPr>
              <w:spacing w:after="0"/>
              <w:rPr>
                <w:sz w:val="12"/>
                <w:szCs w:val="12"/>
                <w:color w:val="auto"/>
              </w:rPr>
            </w:pPr>
          </w:p>
        </w:tc>
        <w:tc>
          <w:tcPr>
            <w:tcW w:w="7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72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6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CCEEFF"/>
              <w:left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33,706,765</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$ 496,195</w:t>
            </w:r>
          </w:p>
        </w:tc>
        <w:tc>
          <w:tcPr>
            <w:tcW w:w="6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(238,333)</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left w:val="single" w:sz="8" w:color="auto"/>
            </w:tcBorders>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1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264,458</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of $858</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Borders>
              <w:lef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69,773</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tcBorders>
              <w:left w:val="single" w:sz="8" w:color="auto"/>
            </w:tcBorders>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(64,387)</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(64,387)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CCEEFF"/>
              <w:left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34,040,996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(302,720)</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Issuance of</w:t>
            </w: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1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3,428,766</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75,341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75,341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Borders>
              <w:lef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20,677</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tcBorders>
              <w:left w:val="single" w:sz="8" w:color="auto"/>
            </w:tcBorders>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(31,399)</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June</w:t>
            </w:r>
          </w:p>
        </w:tc>
        <w:tc>
          <w:tcPr>
            <w:tcW w:w="1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37,490,439</w:t>
            </w:r>
          </w:p>
        </w:tc>
        <w:tc>
          <w:tcPr>
            <w:tcW w:w="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584,003</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(334,119)</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30, 2025</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Issuance of</w:t>
            </w: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1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3,339,581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86,091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86,091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tcBorders>
              <w:lef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lef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tcPr>
          <w:p>
            <w:pPr>
              <w:spacing w:after="0"/>
              <w:rPr>
                <w:sz w:val="12"/>
                <w:szCs w:val="12"/>
                <w:color w:val="auto"/>
              </w:rPr>
            </w:pP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auto"/>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marketable</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60" w:type="dxa"/>
            <w:vAlign w:val="bottom"/>
            <w:tcBorders>
              <w:left w:val="single" w:sz="8" w:color="auto"/>
            </w:tcBorders>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7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left w:val="single" w:sz="8" w:color="auto"/>
            </w:tcBorders>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(34,978)</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(34,978)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right w:val="single" w:sz="8" w:color="CCEEFF"/>
            </w:tcBorders>
            <w:shd w:val="clear" w:color="auto" w:fill="CCEEFF"/>
          </w:tcPr>
          <w:p>
            <w:pPr>
              <w:spacing w:after="0"/>
              <w:rPr>
                <w:sz w:val="9"/>
                <w:szCs w:val="9"/>
                <w:color w:val="auto"/>
              </w:rPr>
            </w:pPr>
          </w:p>
        </w:tc>
        <w:tc>
          <w:tcPr>
            <w:tcW w:w="60" w:type="dxa"/>
            <w:vAlign w:val="bottom"/>
            <w:tcBorders>
              <w:top w:val="single" w:sz="8" w:color="CCEEFF"/>
              <w:left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40,852,312</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$ 673,884</w:t>
            </w:r>
          </w:p>
        </w:tc>
        <w:tc>
          <w:tcPr>
            <w:tcW w:w="6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(369,097)</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$304,997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30, 2025</w:t>
            </w:r>
          </w:p>
        </w:tc>
        <w:tc>
          <w:tcPr>
            <w:tcW w:w="10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700" w:type="dxa"/>
            <w:vAlign w:val="bottom"/>
            <w:tcBorders>
              <w:right w:val="single" w:sz="8" w:color="CCEEFF"/>
            </w:tcBorders>
            <w:vMerge w:val="continue"/>
            <w:shd w:val="clear" w:color="auto" w:fill="CCEEFF"/>
          </w:tcPr>
          <w:p>
            <w:pPr>
              <w:spacing w:after="0"/>
              <w:rPr>
                <w:sz w:val="13"/>
                <w:szCs w:val="13"/>
                <w:color w:val="auto"/>
              </w:rPr>
            </w:pPr>
          </w:p>
        </w:tc>
        <w:tc>
          <w:tcPr>
            <w:tcW w:w="760" w:type="dxa"/>
            <w:vAlign w:val="bottom"/>
            <w:tcBorders>
              <w:left w:val="single" w:sz="8" w:color="auto"/>
            </w:tcBorders>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ectPr>
          <w:pgSz w:w="11900" w:h="16838" w:orient="portrait"/>
          <w:cols w:equalWidth="0" w:num="1">
            <w:col w:w="9460"/>
          </w:cols>
          <w:pgMar w:left="1220" w:top="51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374650</wp:posOffset>
            </wp:positionV>
            <wp:extent cx="598360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60"/>
          </w:cols>
          <w:pgMar w:left="1220" w:top="513" w:right="12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00" w:type="dxa"/>
            <w:vAlign w:val="bottom"/>
            <w:gridSpan w:val="4"/>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3"/>
                <w:szCs w:val="3"/>
                <w:color w:val="auto"/>
              </w:rPr>
            </w:pPr>
          </w:p>
        </w:tc>
        <w:tc>
          <w:tcPr>
            <w:tcW w:w="96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5"/>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w:t>
            </w:r>
          </w:p>
        </w:tc>
        <w:tc>
          <w:tcPr>
            <w:tcW w:w="9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shd w:val="clear" w:color="auto" w:fill="000000"/>
          </w:tcPr>
          <w:p>
            <w:pPr>
              <w:spacing w:after="0"/>
              <w:rPr>
                <w:sz w:val="12"/>
                <w:szCs w:val="12"/>
                <w:color w:val="auto"/>
              </w:rPr>
            </w:pPr>
          </w:p>
        </w:tc>
        <w:tc>
          <w:tcPr>
            <w:tcW w:w="74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740" w:type="dxa"/>
            <w:vAlign w:val="bottom"/>
            <w:tcBorders>
              <w:top w:val="single" w:sz="8" w:color="auto"/>
              <w:left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2,745,480</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(157,845)</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in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initial public</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offering, net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of issuance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costs of</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11,180,555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183,217</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$18,032</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of convertible</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into</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(149,865)</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(147,619,034)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(154,625)</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19,567,306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304,488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w:t>
            </w: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740" w:type="dxa"/>
            <w:vAlign w:val="bottom"/>
            <w:tcBorders>
              <w:top w:val="single" w:sz="8" w:color="auto"/>
              <w:left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33,493,750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492,982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(175,262)</w:t>
            </w:r>
          </w:p>
        </w:tc>
        <w:tc>
          <w:tcPr>
            <w:tcW w:w="14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740" w:type="dxa"/>
            <w:vAlign w:val="bottom"/>
            <w:tcBorders>
              <w:left w:val="single" w:sz="8" w:color="CCEEFF"/>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Exercise of</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15,340</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000000"/>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 June</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33,509,090</w:t>
            </w: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493,792</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(197,136)</w:t>
            </w:r>
          </w:p>
        </w:tc>
        <w:tc>
          <w:tcPr>
            <w:tcW w:w="140" w:type="dxa"/>
            <w:vAlign w:val="bottom"/>
            <w:vMerge w:val="restart"/>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30, 2024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CCEEFF"/>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740" w:type="dxa"/>
            <w:vAlign w:val="bottom"/>
            <w:tcBorders>
              <w:left w:val="single" w:sz="8" w:color="CCEEFF"/>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Exercise of</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185,265</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tcBorders>
              <w:lef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740" w:type="dxa"/>
            <w:vAlign w:val="bottom"/>
            <w:tcBorders>
              <w:left w:val="single" w:sz="8" w:color="CCEEFF"/>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10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(20,564)</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Balance,</w:t>
            </w: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740" w:type="dxa"/>
            <w:vAlign w:val="bottom"/>
            <w:tcBorders>
              <w:top w:val="single" w:sz="8" w:color="auto"/>
              <w:left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74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33,694,355</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495,190</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(217,700)</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$ 277,493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30, 2024</w:t>
            </w: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740" w:type="dxa"/>
            <w:vAlign w:val="bottom"/>
            <w:tcBorders>
              <w:left w:val="single" w:sz="8" w:color="CCEEFF"/>
            </w:tcBorders>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820"/>
          </w:cols>
          <w:pgMar w:left="1220" w:top="513" w:right="85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(130,764)</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 of short-term and long-term investments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Maturity of short-term and long-term investments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6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offering costs transferred to additional paid-in-capital</w:t>
            </w:r>
          </w:p>
        </w:tc>
        <w:tc>
          <w:tcPr>
            <w:tcW w:w="8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ArriVent BioPharma, Inc., a Delaware corporation (the “Company”), founded on April 14, 2021, is a clinical-stage biopharmaceutical company focused on identifying, licensing and globalizing top biopharma innovations from around the world to deliver important medicines to patients. In June 2021, the Company entered into a license agreement with Shanghai Allist Pharmaceuticals Co. Ltd. (“Allist”) which granted the Company an exclusive license under certain intellectual property owned or controlled by Allist to develop, manufacture and commercialize any product containing firmonertinib or any of its derivatives as an active ingredient, for all uses, in all countries and territories other than greater China, which includes mainland China, Hong Kong, Macau and Taiwan (“Greater China”) (See Note 8). The Company’s lead development candidate, firmonertinib, is a third-generation tyrosine kinase inhibitor currently being evaluated in multiple clinical trials across a range of epidermal growth factor receptor mutations in non-small cell lung cancer, many for which there are limited treatment options.</w:t>
      </w:r>
    </w:p>
    <w:p>
      <w:pPr>
        <w:spacing w:after="0" w:line="194"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January 30, 2024, the Company completed the closing of its initial public offering of 9,722,222 shares of common stock at a price of $18.00 per share. Additionally, the underwriters exercised their option to purchase an additional 1,458,333 shares of common stock at a price of $18.00 per share. The shares of common stock began trading on The Nasdaq Global Market on January 26, 2024, under the symbol “AVBP”. The Company received net proceeds of $183.2 million, after deducting underwriting discounts and commissions and other offering expenses. In addition, as a result of the closing of the Company’s initial public offering, the Company’s Series A and Series B convertible preferred stock converted into 19,567,306 shares of common stock in January 2024.</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Development Stage Risks and Liquidity</w:t>
      </w:r>
    </w:p>
    <w:p>
      <w:pPr>
        <w:spacing w:after="0" w:line="200" w:lineRule="exact"/>
        <w:rPr>
          <w:sz w:val="20"/>
          <w:szCs w:val="20"/>
          <w:color w:val="auto"/>
        </w:rPr>
      </w:pPr>
    </w:p>
    <w:p>
      <w:pPr>
        <w:spacing w:after="0" w:line="27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Company has incurred losses since inception and has an accumulated deficit of $369.1 million as of September 30, 2025. The Company anticipates incurring additional losses until such time, if ever, that it can generate significant sales from its product candidates currently in development.</w:t>
      </w:r>
    </w:p>
    <w:p>
      <w:pPr>
        <w:spacing w:after="0" w:line="21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Company expects that its research and development and general and administrative expenses will continue to increase and, as a result, that it will need additional capital to fund its future operating and capital requirements. 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w:t>
      </w:r>
    </w:p>
    <w:p>
      <w:pPr>
        <w:spacing w:after="0" w:line="232"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 believes that the aggregate balance of cash and cash equivalents and marketable securities of $305.4 million as of September 30, 2025 are sufficient to sustain planned operations through at least twelve months from the issuance date of these financial statements.</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those risks associated with any specialty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Annual Report on Form 10-K for the year ended December 31, 2024, filed with the Securities and Exchange Commission on March 3, 2025 (the “Annual Report”) has not materially changed.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Interim Financial Statements</w:t>
      </w:r>
    </w:p>
    <w:p>
      <w:pPr>
        <w:spacing w:after="0" w:line="22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U.S. generally accepted accounting principles (“GAAP”). Any references in these notes to applicable guidance are meant to refer to GAAP as found in Accounting Standards Codification (“ASC”) and Accounting Standards Update (“ASU”) promulgated by the Financial Accounting Standards Board (“FASB”).</w:t>
      </w:r>
    </w:p>
    <w:p>
      <w:pPr>
        <w:spacing w:after="0" w:line="180"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the opinion of the Company, the accompanying unaudited condensed financial statements contain all adjustments, consisting of only normal recurring adjustments, necessary for a fair statement of its financial position as of September 30, 2025, and its results of operations for the three and nine months ended September 30, 2025 and 2024, and cash flows for the nine months ended September 30, 2025 and 2024. The condensed balance sheet at December 31, 2024, was derived from audited annual financial statements but does not contain all of the footnote disclosures from the annual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such estimates. Estimates and assumptions are periodically reviewed, and the effects of revisions are reflected in the financial statements in the period they are determined to be necessary.</w:t>
      </w:r>
    </w:p>
    <w:p>
      <w:pPr>
        <w:spacing w:after="0" w:line="183"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Significant areas that require the Company’s estimates include the fair value of the Company’s common stock prior to the completion of the Company’s initial public offering, and accrued research and development expenses.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  Fair Value Measurements</w:t>
      </w:r>
    </w:p>
    <w:p>
      <w:pPr>
        <w:spacing w:after="0" w:line="229" w:lineRule="exact"/>
        <w:rPr>
          <w:sz w:val="20"/>
          <w:szCs w:val="20"/>
          <w:color w:val="auto"/>
        </w:rPr>
      </w:pPr>
    </w:p>
    <w:p>
      <w:pPr>
        <w:ind w:left="60" w:right="499" w:firstLine="324"/>
        <w:spacing w:after="0" w:line="258"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ind w:left="720" w:right="53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76"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the Company’s financial instruments, principally cash equivalents and accounts payable, approximate fair value due to the short-term nature of those instruments.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 Net Loss per Share</w:t>
      </w:r>
    </w:p>
    <w:p>
      <w:pPr>
        <w:spacing w:after="0" w:line="22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Pre-funded warrants were included in the denominator as the exercise price is negligible and these warrants are fully vested and exercisable.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since when a net loss exists, potentially dilutive securities are not included in the calculation as their impact is anti-dilutive. The Company’s convertible preferred stock entitled the holder to participate in dividends and earnings of the Company, and, if the Company had recognized net income, it would have used the two-class method to calculate earnings per share. The two-class method was not applicable during periods with a net loss, as the holders of the convertible preferred stock had no obligation to fund losses.</w:t>
      </w:r>
    </w:p>
    <w:p>
      <w:pPr>
        <w:spacing w:after="0" w:line="19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net loss per share, basic and diluted (in thousands, except share and per share data):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41,912,905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33,581,810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36,968,978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Stock options outstanding have been excluded from the computation of diluted weighted-average shares of common stock outstanding, as they would be anti-dilutive. Stock options outstanding at September 30, 2025 and 2024 were 4,376,335 and 2,527,417,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  Accounting Pronouncements Not Yet Adopted</w:t>
      </w:r>
    </w:p>
    <w:p>
      <w:pPr>
        <w:spacing w:after="0" w:line="22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Disaggregation of Income Statement Expenses</w:t>
      </w:r>
      <w:r>
        <w:rPr>
          <w:rFonts w:ascii="Times New Roman" w:cs="Times New Roman" w:eastAsia="Times New Roman" w:hAnsi="Times New Roman"/>
          <w:sz w:val="18"/>
          <w:szCs w:val="18"/>
          <w:color w:val="auto"/>
        </w:rPr>
        <w:t>. This standard requires the disclosure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 commonly presented expense captions, such as research and development, and general and administrative expenses. This standard will be effective for annual periods beginning after December 15, 2026 and interim periods beginning after December 15, 2027 and may be applied either prospectively or retrospectively. The Company is currently evaluating the impact that this standard may have on its year-end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Accounting Pronouncements Becoming Effective in 2025</w:t>
      </w:r>
    </w:p>
    <w:p>
      <w:pPr>
        <w:spacing w:after="0" w:line="227"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which requires enhanced income tax disclosures, including specific categories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effective tax rate reconciliation, disaggregated information related to income taxes paid, income or loss from continuing operations before income tax expense or benefit, and income tax expense or benefit from continuing operations. The requirements of ASU 2023-09 are effective for annual periods beginning after December 15, 2024, with early adoption permitted. The Company is currently in the process of evaluating the impact of this pronouncement on its related disclosures.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 Reverse Stock Split</w:t>
      </w:r>
    </w:p>
    <w:p>
      <w:pPr>
        <w:spacing w:after="0" w:line="229" w:lineRule="exact"/>
        <w:rPr>
          <w:sz w:val="20"/>
          <w:szCs w:val="20"/>
          <w:color w:val="auto"/>
        </w:rPr>
      </w:pPr>
    </w:p>
    <w:p>
      <w:pPr>
        <w:jc w:val="both"/>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January 23, 2024, the Company filed an amendment to its Certificate of Incorporation and effected a 15.21-for-1 reverse stock split of its issued and outstanding shares of common stock. All common stock share and per-share amounts presented in the financial statements and related notes have been retroactively adjusted to reflect the reverse stock split.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 License and Collaboration Agreements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license and collaborative agreements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are within the scope of other accounting literature. If the Company concludes that some or all aspects of the arrangement represent a transaction with a customer, it accounts for those aspects of the arrangement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None of the license and collaboration agreements discussed in Note 8 represent transactions with customers.</w:t>
      </w:r>
    </w:p>
    <w:p>
      <w:pPr>
        <w:spacing w:after="0" w:line="192" w:lineRule="exact"/>
        <w:rPr>
          <w:sz w:val="20"/>
          <w:szCs w:val="20"/>
          <w:color w:val="auto"/>
        </w:rPr>
      </w:pPr>
    </w:p>
    <w:p>
      <w:pPr>
        <w:ind w:left="60" w:right="379" w:firstLine="324"/>
        <w:spacing w:after="0" w:line="277" w:lineRule="auto"/>
        <w:rPr>
          <w:sz w:val="20"/>
          <w:szCs w:val="20"/>
          <w:color w:val="auto"/>
        </w:rPr>
      </w:pPr>
      <w:r>
        <w:rPr>
          <w:rFonts w:ascii="Times New Roman" w:cs="Times New Roman" w:eastAsia="Times New Roman" w:hAnsi="Times New Roman"/>
          <w:sz w:val="17"/>
          <w:szCs w:val="17"/>
          <w:color w:val="auto"/>
        </w:rPr>
        <w:t>If the Company concludes that some or all aspects of the arrangement are within the scope of ASC 808 and do not represent a transaction with a customer, it recognizes costs incurred as a component of the related expense in the period incurred. The arrangements may also require the Company to make payments on achievement of certain milestones, including clinical, regulatory, and development milestones. Clinical, regulatory, and development milestones are recognized as research and development expense only when such milestones are deemed probable of being achieved.</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 Comprehensive Loss</w:t>
      </w:r>
    </w:p>
    <w:p>
      <w:pPr>
        <w:spacing w:after="0" w:line="229"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deficit that are excluded from net loss, primarily unrealized gains or losses on the Company’s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107,671</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$ 107,671</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$ 107,671</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82,522</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110,031</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110,179</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300,165</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$ 300,372</w:t>
            </w: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$ 124,989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175,383</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Unrealized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49,031</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261,758</w:t>
            </w: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$ 261,547</w:t>
            </w:r>
          </w:p>
        </w:tc>
        <w:tc>
          <w:tcPr>
            <w:tcW w:w="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212,516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Cash balances were $5.0 million at September 30, 2025 and December 31, 2024, respectively. Money market funds are highly liquid investments. The pricing information on the Company’s money market fund is based on quoted prices in active markets. This approach results in a classification of these securities as Level 1 of the fair value hierarchy.</w:t>
      </w:r>
    </w:p>
    <w:p>
      <w:pPr>
        <w:spacing w:after="0" w:line="176"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89" w:lineRule="exact"/>
        <w:rPr>
          <w:sz w:val="20"/>
          <w:szCs w:val="20"/>
          <w:color w:val="auto"/>
        </w:rPr>
      </w:pPr>
    </w:p>
    <w:p>
      <w:pPr>
        <w:ind w:left="60" w:right="219" w:firstLine="324"/>
        <w:spacing w:after="0" w:line="312" w:lineRule="auto"/>
        <w:rPr>
          <w:sz w:val="20"/>
          <w:szCs w:val="20"/>
          <w:color w:val="auto"/>
        </w:rPr>
      </w:pPr>
      <w:r>
        <w:rPr>
          <w:rFonts w:ascii="Times New Roman" w:cs="Times New Roman" w:eastAsia="Times New Roman" w:hAnsi="Times New Roman"/>
          <w:sz w:val="17"/>
          <w:szCs w:val="17"/>
          <w:color w:val="auto"/>
        </w:rPr>
        <w:t>As of September 30, 2025, $274.6 million of our fixed income securities have maturity dates within the next twelve months, and $5.1 million have maturities within the next 12 to 24 months. All securities are considered available for sale.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credit receivable</w:t>
            </w: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6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June 2021, the Company adopted the 2021 Employee, Director and Consultant Equity Incentive Plan, as amended (the “2021 Plan”), that authorized the Company to grant up to 803,564 shares of common stock via stock-based compensation awards. In 2022, the Company amended the 2021 Plan and increased the total number of shares authorized under the 2021 Plan to 2,748,818. In January 2024, the Company adopted the 2024 Employee, Director and Consultant Equity Incentive Plan (the “2024 Plan”) that authorized the Company to grant up to 3,900,000 shares of common stock plus any remaining ungranted or forfeited shares from the 2021 Plan. As of September 30, 2025, there were 3,469,404 shares available to be granted under the 2024 Plan. The Company’s stock options vest based on the terms in the awards agreements and generally vest over four years. The Company recorded stock-based compensation expense in the following expense categories in its accompanying statements of operations and comprehensive loss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stock options activity:</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8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2,531,144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4,376,335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8.30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2025</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18,144</w:t>
            </w: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1,369,230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expected to vest at September 30, 2025</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4,376,335</w:t>
            </w: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15.64</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8.30</w:t>
            </w:r>
          </w:p>
        </w:tc>
        <w:tc>
          <w:tcPr>
            <w:tcW w:w="26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in the first nine months of 2025 and 2024 were $20.98 and $8.53 per share, respectively. The fair value was estimated using the Black-Scholes option-pricing model based on the following assumptions:</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0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5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Borders>
              <w:top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top w:val="single" w:sz="8" w:color="auto"/>
            </w:tcBorders>
            <w:gridSpan w:val="2"/>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- 4.37%</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- 4.66%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5.5 - 6.1 years</w:t>
            </w:r>
          </w:p>
        </w:tc>
        <w:tc>
          <w:tcPr>
            <w:tcW w:w="1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5.5 - 6.1 years</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 - 98.3%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- 98.6%</w:t>
            </w:r>
          </w:p>
        </w:tc>
        <w:tc>
          <w:tcPr>
            <w:tcW w:w="14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Company's common stock per share (a)</w:t>
            </w:r>
          </w:p>
        </w:tc>
        <w:tc>
          <w:tcPr>
            <w:tcW w:w="19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$ 18.03 - 27.56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5.85 - 20.79</w:t>
            </w:r>
          </w:p>
        </w:tc>
        <w:tc>
          <w:tcPr>
            <w:tcW w:w="14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ind w:left="60" w:right="479" w:hanging="10"/>
        <w:spacing w:after="0" w:line="261"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Subsequent to the Company’s initial public offering on January 24, 2024, the fair value of common stock is based on the closing market price of common stock at the date of grant.</w:t>
      </w:r>
    </w:p>
    <w:p>
      <w:pPr>
        <w:spacing w:after="0" w:line="167"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awards not vested as of September 30, 2025 was $41.7 million and will be expensed over a weighted-average period of 2.80 years.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Commitments, Contingencies, and Collaborations</w:t>
      </w:r>
    </w:p>
    <w:p>
      <w:pPr>
        <w:spacing w:after="0" w:line="229" w:lineRule="exact"/>
        <w:rPr>
          <w:sz w:val="20"/>
          <w:szCs w:val="20"/>
          <w:color w:val="auto"/>
        </w:rPr>
      </w:pPr>
    </w:p>
    <w:p>
      <w:pPr>
        <w:ind w:left="60" w:right="859"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various license and collaboration agreements under which it is obligated to make contingent payments as described below.</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Allist</w:t>
      </w:r>
    </w:p>
    <w:p>
      <w:pPr>
        <w:spacing w:after="0" w:line="227" w:lineRule="exact"/>
        <w:rPr>
          <w:sz w:val="20"/>
          <w:szCs w:val="20"/>
          <w:color w:val="auto"/>
        </w:rPr>
      </w:pPr>
    </w:p>
    <w:p>
      <w:pPr>
        <w:ind w:left="100" w:right="359" w:firstLine="292"/>
        <w:spacing w:after="0" w:line="269" w:lineRule="auto"/>
        <w:rPr>
          <w:sz w:val="20"/>
          <w:szCs w:val="20"/>
          <w:color w:val="auto"/>
        </w:rPr>
      </w:pPr>
      <w:r>
        <w:rPr>
          <w:rFonts w:ascii="Times New Roman" w:cs="Times New Roman" w:eastAsia="Times New Roman" w:hAnsi="Times New Roman"/>
          <w:sz w:val="18"/>
          <w:szCs w:val="18"/>
          <w:color w:val="auto"/>
        </w:rPr>
        <w:t>In June 2021, the Company entered into a Global Technology Transfer and License Agreement with Allist (“Allist Agreement”). Pursuant to the Allist Agreement, the Company was granted an exclusive license under certain intellectual property to develop, manufacture and commercialize certain licensed products in the field in the licensed territory. Upon execution of the Allist Agreement, the Company paid Allist a non-refundable cash payment of $40.0 million and issued 1,276,250 shares of its common stock. The upfront payment and the fair value of the common stock issued was recorded to research and development expense in 2021.</w:t>
      </w:r>
    </w:p>
    <w:p>
      <w:pPr>
        <w:spacing w:after="0" w:line="147" w:lineRule="exact"/>
        <w:rPr>
          <w:sz w:val="20"/>
          <w:szCs w:val="20"/>
          <w:color w:val="auto"/>
        </w:rPr>
      </w:pPr>
    </w:p>
    <w:p>
      <w:pPr>
        <w:ind w:left="100" w:right="379" w:firstLine="292"/>
        <w:spacing w:after="0" w:line="297" w:lineRule="auto"/>
        <w:rPr>
          <w:sz w:val="20"/>
          <w:szCs w:val="20"/>
          <w:color w:val="auto"/>
        </w:rPr>
      </w:pPr>
      <w:r>
        <w:rPr>
          <w:rFonts w:ascii="Times New Roman" w:cs="Times New Roman" w:eastAsia="Times New Roman" w:hAnsi="Times New Roman"/>
          <w:sz w:val="18"/>
          <w:szCs w:val="18"/>
          <w:color w:val="auto"/>
        </w:rPr>
        <w:t>Upon the achievement of certain clinical, regulatory and commercial milestones using the licensed technology, the Company is obligated to make future milestone payments to Allist of up to $105.0 million in clinical and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43" w:lineRule="exact"/>
        <w:rPr>
          <w:sz w:val="20"/>
          <w:szCs w:val="20"/>
          <w:color w:val="auto"/>
        </w:rPr>
      </w:pPr>
    </w:p>
    <w:p>
      <w:pPr>
        <w:ind w:left="100" w:right="559"/>
        <w:spacing w:after="0" w:line="281" w:lineRule="auto"/>
        <w:rPr>
          <w:sz w:val="20"/>
          <w:szCs w:val="20"/>
          <w:color w:val="auto"/>
        </w:rPr>
      </w:pPr>
      <w:r>
        <w:rPr>
          <w:rFonts w:ascii="Times New Roman" w:cs="Times New Roman" w:eastAsia="Times New Roman" w:hAnsi="Times New Roman"/>
          <w:sz w:val="18"/>
          <w:szCs w:val="18"/>
          <w:color w:val="auto"/>
        </w:rPr>
        <w:t>regulatory milestones and up to $655.0 million in commercial milestones. Furthermore, royalties, ranging from high single digit to low mid-teen percentages will be payable to Allist on net sales of licensed products in licensed territories.</w:t>
      </w:r>
    </w:p>
    <w:p>
      <w:pPr>
        <w:spacing w:after="0" w:line="110" w:lineRule="exact"/>
        <w:rPr>
          <w:sz w:val="20"/>
          <w:szCs w:val="20"/>
          <w:color w:val="auto"/>
        </w:rPr>
      </w:pPr>
    </w:p>
    <w:p>
      <w:pPr>
        <w:ind w:left="100" w:right="199" w:firstLine="292"/>
        <w:spacing w:after="0" w:line="263" w:lineRule="auto"/>
        <w:rPr>
          <w:sz w:val="20"/>
          <w:szCs w:val="20"/>
          <w:color w:val="auto"/>
        </w:rPr>
      </w:pPr>
      <w:r>
        <w:rPr>
          <w:rFonts w:ascii="Times New Roman" w:cs="Times New Roman" w:eastAsia="Times New Roman" w:hAnsi="Times New Roman"/>
          <w:sz w:val="18"/>
          <w:szCs w:val="18"/>
          <w:color w:val="auto"/>
        </w:rPr>
        <w:t>In connection with the Allist Agreement, in December 2021, the parties also entered into a Joint Clinical Collaboration Agreement (“Clinical Collaboration”) to define the framework under which the parties will cooperate and share costs related to global clinical studies to be conducted jointly by the Company and Allist. During the nine months ended September 30, 2025 and 2024, the Company incurred $0.1 million and $0.5 million, respectively, in cost reimbursements to Allist under the Clinical Collaboration which have been recorded as research and development expense. During the three months ended September 30, 2024, the Company incurred $0.3 million in cost reimbursements to Allist under the Clinical Collaboration which have been recorded as research and development expense. No such payments were made during the three months ended September 30, 2025. The Company also received cost reimbursements from Allist of $0.8 and $0.4 million for the three months ended September 30, 2025 and 2024, respectively, which have been recorded as a reduction of research and development expenses. For the nine months ended September 30, 2025 and 2024, the Company received cost reimbursements from Allist of $1.4 and $0.8 million, respectively. Through September 30, 2025, no additional milestones were met or achieved or were probable of achievement.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Alphamab</w:t>
      </w:r>
    </w:p>
    <w:p>
      <w:pPr>
        <w:spacing w:after="0" w:line="241" w:lineRule="exact"/>
        <w:rPr>
          <w:sz w:val="20"/>
          <w:szCs w:val="20"/>
          <w:color w:val="auto"/>
        </w:rPr>
      </w:pPr>
    </w:p>
    <w:p>
      <w:pPr>
        <w:jc w:val="both"/>
        <w:ind w:left="100" w:right="259" w:firstLine="292"/>
        <w:spacing w:after="0" w:line="289" w:lineRule="auto"/>
        <w:rPr>
          <w:sz w:val="20"/>
          <w:szCs w:val="20"/>
          <w:color w:val="auto"/>
        </w:rPr>
      </w:pPr>
      <w:r>
        <w:rPr>
          <w:rFonts w:ascii="Times New Roman" w:cs="Times New Roman" w:eastAsia="Times New Roman" w:hAnsi="Times New Roman"/>
          <w:sz w:val="18"/>
          <w:szCs w:val="18"/>
          <w:color w:val="auto"/>
        </w:rPr>
        <w:t>In June 2024, the Company entered into a collaboration agreement with Jiangsu Alphamab Biopharmaceuticals Co., Ltd. (“Alphamab”) to discover, develop and commercialize novel antibody drug conjugates (“ADCs”) for the treatment of cancers (“Alphamab Agreement”).</w:t>
      </w:r>
    </w:p>
    <w:p>
      <w:pPr>
        <w:spacing w:after="0" w:line="116" w:lineRule="exact"/>
        <w:rPr>
          <w:sz w:val="20"/>
          <w:szCs w:val="20"/>
          <w:color w:val="auto"/>
        </w:rPr>
      </w:pPr>
    </w:p>
    <w:p>
      <w:pPr>
        <w:ind w:left="100" w:right="319" w:firstLine="292"/>
        <w:spacing w:after="0" w:line="297" w:lineRule="auto"/>
        <w:rPr>
          <w:sz w:val="20"/>
          <w:szCs w:val="20"/>
          <w:color w:val="auto"/>
        </w:rPr>
      </w:pPr>
      <w:r>
        <w:rPr>
          <w:rFonts w:ascii="Times New Roman" w:cs="Times New Roman" w:eastAsia="Times New Roman" w:hAnsi="Times New Roman"/>
          <w:sz w:val="18"/>
          <w:szCs w:val="18"/>
          <w:color w:val="auto"/>
        </w:rPr>
        <w:t>Under the Alphamab Agreement, both companies seek to leverage Alphamab’s proprietary linker-payload platform and glycan-conjugation technology to identify novel ADCs for oncology indications. The Alphamab Agreement gives the Company exclusive rights to develop and commercialize ADCs globally, except Greater China, where Alphamab retains the right to develop and commercialize the ADCs.</w:t>
      </w:r>
    </w:p>
    <w:p>
      <w:pPr>
        <w:spacing w:after="0" w:line="123" w:lineRule="exact"/>
        <w:rPr>
          <w:sz w:val="20"/>
          <w:szCs w:val="20"/>
          <w:color w:val="auto"/>
        </w:rPr>
      </w:pPr>
    </w:p>
    <w:p>
      <w:pPr>
        <w:ind w:left="100" w:right="259" w:firstLine="292"/>
        <w:spacing w:after="0" w:line="274" w:lineRule="auto"/>
        <w:rPr>
          <w:sz w:val="20"/>
          <w:szCs w:val="20"/>
          <w:color w:val="auto"/>
        </w:rPr>
      </w:pPr>
      <w:r>
        <w:rPr>
          <w:rFonts w:ascii="Times New Roman" w:cs="Times New Roman" w:eastAsia="Times New Roman" w:hAnsi="Times New Roman"/>
          <w:sz w:val="18"/>
          <w:szCs w:val="18"/>
          <w:color w:val="auto"/>
        </w:rPr>
        <w:t>The terms of the Alphamab Agreement include combined upfront and potential milestone payments to Alphamab of up to $201.5 million based on the achievement of certain regulatory and development milestones, and up to $414.0 million based on the achievement of certain commercial milestones. In addition, Alphamab is entitled to receive tiered sales royalties, ranging from low single digit to mid-single digit percentages, from the Company for net sales of each ADC product.</w:t>
      </w:r>
    </w:p>
    <w:p>
      <w:pPr>
        <w:spacing w:after="0" w:line="128" w:lineRule="exact"/>
        <w:rPr>
          <w:sz w:val="20"/>
          <w:szCs w:val="20"/>
          <w:color w:val="auto"/>
        </w:rPr>
      </w:pPr>
    </w:p>
    <w:p>
      <w:pPr>
        <w:ind w:left="100" w:right="199" w:firstLine="292"/>
        <w:spacing w:after="0" w:line="272" w:lineRule="auto"/>
        <w:rPr>
          <w:sz w:val="20"/>
          <w:szCs w:val="20"/>
          <w:color w:val="auto"/>
        </w:rPr>
      </w:pPr>
      <w:r>
        <w:rPr>
          <w:rFonts w:ascii="Times New Roman" w:cs="Times New Roman" w:eastAsia="Times New Roman" w:hAnsi="Times New Roman"/>
          <w:sz w:val="18"/>
          <w:szCs w:val="18"/>
          <w:color w:val="auto"/>
        </w:rPr>
        <w:t>The upfront payment was recorded to research and development expense during the three-month period ended June 30, 2024. During the nine months ended September 30, 2025, the Company paid $0.1 million in cost reimbursements to Alphamab under the Alphamab Agreement which have been recorded as research and development expense. Also during the nine months ended September 30, 2025, the Company paid $1.2 million upon the approval of a target pair selection, which was likewise included in research and development expense. No milestones have been met or achieved, or are probable of achievement, since the inception of the agreement.</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Aarvik</w:t>
      </w:r>
    </w:p>
    <w:p>
      <w:pPr>
        <w:spacing w:after="0" w:line="214" w:lineRule="exact"/>
        <w:rPr>
          <w:sz w:val="20"/>
          <w:szCs w:val="20"/>
          <w:color w:val="auto"/>
        </w:rPr>
      </w:pPr>
    </w:p>
    <w:p>
      <w:pPr>
        <w:ind w:left="100" w:right="219" w:firstLine="292"/>
        <w:spacing w:after="0" w:line="270" w:lineRule="auto"/>
        <w:rPr>
          <w:sz w:val="20"/>
          <w:szCs w:val="20"/>
          <w:color w:val="auto"/>
        </w:rPr>
      </w:pPr>
      <w:r>
        <w:rPr>
          <w:rFonts w:ascii="Times New Roman" w:cs="Times New Roman" w:eastAsia="Times New Roman" w:hAnsi="Times New Roman"/>
          <w:sz w:val="18"/>
          <w:szCs w:val="18"/>
          <w:color w:val="auto"/>
        </w:rPr>
        <w:t>In December 2021, the Company entered into a Research Collaboration Agreement, as amended, effective June 30, 2023 (the “Aarvik Collaboration Agreement”), with Aarvik Pharmaceuticals, Inc. (“Aarvik”), under which the Company is required to pay Aarvik up to $3.1 million on statements of work (“SOWs”) and an initiation fee of $0.3 million. After the completion of the SOWs, the Company has an exclusive option to license the Aarvik intellectual property, and the option to acquire certain of Aarvik’s intellectual property, after which it is the Company’s sole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100" w:right="319"/>
        <w:spacing w:after="0" w:line="266" w:lineRule="auto"/>
        <w:rPr>
          <w:sz w:val="20"/>
          <w:szCs w:val="20"/>
          <w:color w:val="auto"/>
        </w:rPr>
      </w:pPr>
      <w:r>
        <w:rPr>
          <w:rFonts w:ascii="Times New Roman" w:cs="Times New Roman" w:eastAsia="Times New Roman" w:hAnsi="Times New Roman"/>
          <w:sz w:val="18"/>
          <w:szCs w:val="18"/>
          <w:color w:val="auto"/>
        </w:rPr>
        <w:t>responsibility to research, develop, manufacture and commercialize any applicable compound and product in the field and territory. In August 2024, the Company paid $1.0 million to exercise that option, and as a result is now obligated to pay up to $18.0 million per product upon the achievement of certain clinical and regulatory milestone events and up to $80.0 million per product in commercial milestones. Additionally, the Company is obligated to pay Aarvik royalties in the mid-single digits based on net sales of licensed products.</w:t>
      </w:r>
    </w:p>
    <w:p>
      <w:pPr>
        <w:spacing w:after="0" w:line="162" w:lineRule="exact"/>
        <w:rPr>
          <w:sz w:val="20"/>
          <w:szCs w:val="20"/>
          <w:color w:val="auto"/>
        </w:rPr>
      </w:pPr>
    </w:p>
    <w:p>
      <w:pPr>
        <w:ind w:left="100" w:right="239" w:firstLine="292"/>
        <w:spacing w:after="0" w:line="281" w:lineRule="auto"/>
        <w:rPr>
          <w:sz w:val="20"/>
          <w:szCs w:val="20"/>
          <w:color w:val="auto"/>
        </w:rPr>
      </w:pPr>
      <w:r>
        <w:rPr>
          <w:rFonts w:ascii="Times New Roman" w:cs="Times New Roman" w:eastAsia="Times New Roman" w:hAnsi="Times New Roman"/>
          <w:sz w:val="18"/>
          <w:szCs w:val="18"/>
          <w:color w:val="auto"/>
        </w:rPr>
        <w:t>On August 9, 2024, the Company entered into an amendment and restatement of the Aarvik Collaboration Agreement, as amended on July 2, 2025 (the “Amended and Restated Aarvik Collaboration Agreement”). Under the Amended and Restated Aarvik Collaboration Agreement, Aarvik granted the Company an exclusive option to obtain exclusive rights to certain of Aarvik’s intellectual property for the research, development, manufacture, use, commercialization, or other exploitation of the ADCs related to (i) the two agreed targets to which the compounds being developed under the collaboration bind, and (ii) the acquisition of exclusive rights to certain intellectual property generated during the collaboration. From inception to date, under the Amended and Restated Aarvik Collaboration Agreement, the Company has paid Aarvik a collaboration initiation fee and research fees as provided in the SOWs in an aggregate amount of $5.2 million.</w:t>
      </w:r>
    </w:p>
    <w:p>
      <w:pPr>
        <w:spacing w:after="0" w:line="141" w:lineRule="exact"/>
        <w:rPr>
          <w:sz w:val="20"/>
          <w:szCs w:val="20"/>
          <w:color w:val="auto"/>
        </w:rPr>
      </w:pPr>
    </w:p>
    <w:p>
      <w:pPr>
        <w:ind w:left="100" w:right="779" w:firstLine="292"/>
        <w:spacing w:after="0" w:line="272" w:lineRule="auto"/>
        <w:rPr>
          <w:sz w:val="20"/>
          <w:szCs w:val="20"/>
          <w:color w:val="auto"/>
        </w:rPr>
      </w:pPr>
      <w:r>
        <w:rPr>
          <w:rFonts w:ascii="Times New Roman" w:cs="Times New Roman" w:eastAsia="Times New Roman" w:hAnsi="Times New Roman"/>
          <w:sz w:val="18"/>
          <w:szCs w:val="18"/>
          <w:color w:val="auto"/>
        </w:rPr>
        <w:t>The Company incurred $0.5 million and $3.1 million in research and development expenses related to the Aarvik SOWs during the nine months ended September 30, 2025 and 2024, respectively. The Company incurred $0.2 million and $1.9 million in research and development expenses related to the Aarvik SOWs during the three months ended September 30, 2025 and 2024, respectively. With the exception of the option described above, no milestones have been met or achieved, or are probable of achievement, since the inception of the Aarvik Collaboration Agreement.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Lepu</w:t>
      </w:r>
    </w:p>
    <w:p>
      <w:pPr>
        <w:spacing w:after="0" w:line="268" w:lineRule="exact"/>
        <w:rPr>
          <w:sz w:val="20"/>
          <w:szCs w:val="20"/>
          <w:color w:val="auto"/>
        </w:rPr>
      </w:pPr>
    </w:p>
    <w:p>
      <w:pPr>
        <w:ind w:left="100" w:right="279" w:firstLine="292"/>
        <w:spacing w:after="0" w:line="281" w:lineRule="auto"/>
        <w:rPr>
          <w:sz w:val="20"/>
          <w:szCs w:val="20"/>
          <w:color w:val="auto"/>
        </w:rPr>
      </w:pPr>
      <w:r>
        <w:rPr>
          <w:rFonts w:ascii="Times New Roman" w:cs="Times New Roman" w:eastAsia="Times New Roman" w:hAnsi="Times New Roman"/>
          <w:sz w:val="18"/>
          <w:szCs w:val="18"/>
          <w:color w:val="auto"/>
        </w:rPr>
        <w:t>On January 21, 2025, the Company entered into an Exclusive License Agreement (the “Lepu Biopharma Agreement”) with Lepu Biopharma Co., Ltd. (“Lepu”), pursuant to which Lepu granted the Company a right to develop and commercialize ARR-217, an antibody drug conjugate for gastrointestinal cancers outside Greater China.</w:t>
      </w:r>
    </w:p>
    <w:p>
      <w:pPr>
        <w:spacing w:after="0" w:line="110" w:lineRule="exact"/>
        <w:rPr>
          <w:sz w:val="20"/>
          <w:szCs w:val="20"/>
          <w:color w:val="auto"/>
        </w:rPr>
      </w:pPr>
    </w:p>
    <w:p>
      <w:pPr>
        <w:ind w:left="100" w:right="199" w:firstLine="292"/>
        <w:spacing w:after="0" w:line="263" w:lineRule="auto"/>
        <w:rPr>
          <w:sz w:val="20"/>
          <w:szCs w:val="20"/>
          <w:color w:val="auto"/>
        </w:rPr>
      </w:pPr>
      <w:r>
        <w:rPr>
          <w:rFonts w:ascii="Times New Roman" w:cs="Times New Roman" w:eastAsia="Times New Roman" w:hAnsi="Times New Roman"/>
          <w:sz w:val="18"/>
          <w:szCs w:val="18"/>
          <w:color w:val="auto"/>
        </w:rPr>
        <w:t>Under the Lepu Biopharma Agreement, Lepu granted to the Company: (i) an exclusive, royalty-bearing, sublicensable license under certain intellectual property owned or controlled by Lepu, to develop, manufacture and commercialize any product containing ARR-217 for all uses in all countries and territories other than Greater China (the “ArriVent Territory”); and (ii) a non-exclusive license under certain intellectual property controlled by Lepu to develop, manufacture and commercialize any product containing ARR-217 for use in oncology in the ArriVent Territory. Under the Lepu Biopharma Agreement, the Company paid Lepu a one-time upfront payment of $40 million and, during the three months ended June 30, 2025, the Company paid $1.0 million to Lepu for the achievement of the first developmental milestone under the Lepu Biopharma Agreement as it became probable of achievement during the second quarter. Lepu is eligible to receive near-term milestone payments totaling another $6.0 million in cash. The upfront payment was included in research and development expenses. Finally, Lepu is eligible to receive payments of up to $0.3 billion in development and regulatory milestones, and up to $0.89 billion in commercial milestones, and tiered royalties in high single-digit to low-teen percentages on net sales in the ArriVent Territory.</w:t>
      </w:r>
    </w:p>
    <w:p>
      <w:pPr>
        <w:spacing w:after="0" w:line="208" w:lineRule="exact"/>
        <w:rPr>
          <w:sz w:val="20"/>
          <w:szCs w:val="20"/>
          <w:color w:val="auto"/>
        </w:rPr>
      </w:pPr>
    </w:p>
    <w:p>
      <w:pPr>
        <w:ind w:left="100" w:right="759" w:firstLine="292"/>
        <w:spacing w:after="0" w:line="274" w:lineRule="auto"/>
        <w:rPr>
          <w:sz w:val="20"/>
          <w:szCs w:val="20"/>
          <w:color w:val="auto"/>
        </w:rPr>
      </w:pPr>
      <w:r>
        <w:rPr>
          <w:rFonts w:ascii="Times New Roman" w:cs="Times New Roman" w:eastAsia="Times New Roman" w:hAnsi="Times New Roman"/>
          <w:sz w:val="18"/>
          <w:szCs w:val="18"/>
          <w:color w:val="auto"/>
        </w:rPr>
        <w:t>Other than the milestone payment of $1.0 million recorded in the second quarter, and the one-time payment noted above, no milestones have been met or achieved, or are probable of achievement, since the inception of the Lepu Biopharma Agreement. During three and nine months ended September 30, 2025, the Company paid $0.5 million and $0.7 million, respectively, in research and development expenses related to the Lepu Biopharma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Segment Information</w:t>
      </w:r>
    </w:p>
    <w:p>
      <w:pPr>
        <w:spacing w:after="0" w:line="229" w:lineRule="exact"/>
        <w:rPr>
          <w:sz w:val="20"/>
          <w:szCs w:val="20"/>
          <w:color w:val="auto"/>
        </w:rPr>
      </w:pPr>
    </w:p>
    <w:p>
      <w:pPr>
        <w:ind w:left="100" w:right="379" w:firstLine="292"/>
        <w:spacing w:after="0" w:line="269"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in assessing performance. The Company has one reportable and operating segment: life science. The life science segment is engaged in identifying, licensing and globalizing top biopharma innovations from around the world to deliver important medicines to patients. The Company’s chief operating decision maker (“CODM”) is the chief executive officer.</w:t>
      </w:r>
    </w:p>
    <w:p>
      <w:pPr>
        <w:spacing w:after="0" w:line="161" w:lineRule="exact"/>
        <w:rPr>
          <w:sz w:val="20"/>
          <w:szCs w:val="20"/>
          <w:color w:val="auto"/>
        </w:rPr>
      </w:pPr>
    </w:p>
    <w:p>
      <w:pPr>
        <w:ind w:left="100" w:right="339" w:firstLine="292"/>
        <w:spacing w:after="0" w:line="276" w:lineRule="auto"/>
        <w:rPr>
          <w:sz w:val="20"/>
          <w:szCs w:val="20"/>
          <w:color w:val="auto"/>
        </w:rPr>
      </w:pPr>
      <w:r>
        <w:rPr>
          <w:rFonts w:ascii="Times New Roman" w:cs="Times New Roman" w:eastAsia="Times New Roman" w:hAnsi="Times New Roman"/>
          <w:sz w:val="18"/>
          <w:szCs w:val="18"/>
          <w:color w:val="auto"/>
        </w:rPr>
        <w:t>The accounting policies of the life science segment are the same as those described in the summary of significant accounting policies. The CODM assesses performance for the life science segment based on net loss, which is reported on the condensed statement of operations and comprehensive loss. The measure of segment assets is reported on the balance sheet as total assets. All of the Company’s assets are located in the United States.</w:t>
      </w:r>
    </w:p>
    <w:p>
      <w:pPr>
        <w:spacing w:after="0" w:line="128" w:lineRule="exact"/>
        <w:rPr>
          <w:sz w:val="20"/>
          <w:szCs w:val="20"/>
          <w:color w:val="auto"/>
        </w:rPr>
      </w:pPr>
    </w:p>
    <w:p>
      <w:pPr>
        <w:ind w:left="100" w:right="339" w:firstLine="292"/>
        <w:spacing w:after="0" w:line="289"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 regulatory approval.</w:t>
      </w:r>
    </w:p>
    <w:p>
      <w:pPr>
        <w:spacing w:after="0" w:line="103" w:lineRule="exact"/>
        <w:rPr>
          <w:sz w:val="20"/>
          <w:szCs w:val="20"/>
          <w:color w:val="auto"/>
        </w:rPr>
      </w:pPr>
    </w:p>
    <w:p>
      <w:pPr>
        <w:ind w:left="100" w:right="479" w:firstLine="292"/>
        <w:spacing w:after="0" w:line="270"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life science segment. Such cash forecast models are reviewed to assess the entity-wide operating results and performance. Net loss is used to monitor budget versus actual results. Monitoring budgeted versus actual results is used in assessing performance of the segment, establishing cash forecast models and to optimize the distribution of resources across functions, therapeutic areas and research and development programs.</w:t>
      </w:r>
    </w:p>
    <w:p>
      <w:pPr>
        <w:spacing w:after="0" w:line="145"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provided to the CODM for the nine months ended September 30, 2025 and 2024:</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Research and development: Firmonertinib (excluding personnel-related and other</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Firmonertinib</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Early-stage programs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Personnel-related and other internal costs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Personnel-related costs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Other costs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segment items (a)</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(7,947)</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0" w:type="dxa"/>
            <w:vAlign w:val="bottom"/>
          </w:tcPr>
          <w:p>
            <w:pPr>
              <w:spacing w:after="0"/>
              <w:rPr>
                <w:sz w:val="1"/>
                <w:szCs w:val="1"/>
                <w:color w:val="auto"/>
              </w:rPr>
            </w:pPr>
          </w:p>
        </w:tc>
      </w:tr>
      <w:tr>
        <w:trPr>
          <w:trHeight w:val="209"/>
        </w:trPr>
        <w:tc>
          <w:tcPr>
            <w:tcW w:w="6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 Other segment items consists of interest and investment income.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5" w:lineRule="exact"/>
        <w:rPr>
          <w:sz w:val="20"/>
          <w:szCs w:val="20"/>
          <w:color w:val="auto"/>
        </w:rPr>
      </w:pPr>
    </w:p>
    <w:p>
      <w:pPr>
        <w:ind w:left="380" w:right="6719" w:hanging="330"/>
        <w:spacing w:after="0" w:line="503" w:lineRule="auto"/>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b w:val="1"/>
          <w:bCs w:val="1"/>
          <w:i w:val="1"/>
          <w:iCs w:val="1"/>
          <w:color w:val="auto"/>
        </w:rPr>
        <w:t>“At-the-Market” Offering</w:t>
      </w: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On February 3, 2025, the Company filed an automatic shelf registration statement on Form S-3ASR with the SEC pursuant to which the Company registered for sale an indeterminate amount of any combination of its common stock, preferred stock, debt securities, warrants, rights and/or units from time to time and at prices and on terms that the Company may determine, which is referred to as the “2025 WKSI Shelf”. The 2025 WKSI Shelf includes a prospectus covering up to an aggregate of $250.0 million of shares of common stock that the Company is able to issue and sell from time to time, through Jefferies LLC (“Jefferies”), acting as its sales agent, pursuant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February 3, 2025 (the “Sales Agreement”), for its “at-the-market” equity program.</w:t>
      </w:r>
    </w:p>
    <w:p>
      <w:pPr>
        <w:spacing w:after="0" w:line="200"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Under the Sales Agreement, Jefferies may sell shares of the Company’s common stock by any method permitted by law deemed to be an “at-the-market” offering as defined in Rule 415 of the Securities Act of 1933, as amended, subject to the terms of the Sales Agreement.</w:t>
      </w:r>
    </w:p>
    <w:p>
      <w:pPr>
        <w:spacing w:after="0" w:line="176"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3,973,190 shares of common stock pursuant to the Sales Agreement for total proceeds of $87.3 million, net of commissions and other expenses. As of September 30, 2025, the Company has approximately $159.2 million remaining for future issuances of common stock pursuant to the Sales Agreement.</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July Public Offering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July 3, 2025, the Company closed an underwritten public offering in which the Company issued and sold an aggregate of 3,059,615 shares of its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pre-funded warrants were recorded as a component of shareholders’ equity within additional paid-in-capital and have no expiration date. As of September 30, 2025, none of the pre-funded warrants have been exercised. The proceeds to the Company, net of underwriting discounts, commissions, and other expenses were $80.6 million.</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A holder of pre-funded warrants may not exercise the pre-funded warrant if the holder, together with its affiliates, would beneficially own more than 4.99%, or, at the election of such holder upon issuance, 9.99%, of the number of shares of common stock outstanding or more than 4.99%, or, at the election of such holder upon issuance, 9.99%, of the combined voting power of the Company’s securities outstanding immediately after giving effect to such exercise. A holder of pre-funded warrants may increase or decrease this percentage to any other percentage not exceeding 19.99%, in the case of an increase, upon 61 days’ prior notice to the Company. As of September 30, 2025, there have been no exercises of pre-funded warrants since their issuance.</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29"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May 8, 2025, the Company entered into a Loan and Security Agreement (the “Loan Agreement”) between the Company, as borrower (the “Borrower”) and Silicon Valley Bank, a Division of First-Citizens Bank &amp; Trust Company (the “Bank”), pursuant to which, the Bank agreed to extend up to $75.0 million to the Company (the “Term Loan”), consisting of: (i) a first tranche commitment of $35.0 million to be drawn at the Company’s option, subject to the satisfaction of certain conditions, (ii) a second tranche commitment of up to $15.0 million to be drawn at the Company’s option, subject to the satisfaction of certain conditions, and (iii) at the Company’s option, subject to the satisfaction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FINANCIAL STATEMENTS</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certain conditions, a third tranche commitment of $25.0 million. No amounts have been drawn on this Term Loan as of September 30, 2025.</w:t>
      </w:r>
    </w:p>
    <w:p>
      <w:pPr>
        <w:spacing w:after="0" w:line="162" w:lineRule="exact"/>
        <w:rPr>
          <w:sz w:val="20"/>
          <w:szCs w:val="20"/>
          <w:color w:val="auto"/>
        </w:rPr>
      </w:pPr>
    </w:p>
    <w:p>
      <w:pPr>
        <w:jc w:val="both"/>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The Term Loan matures on March 1, 2030 (or, if the Borrower does not satisfy certain conditions, on March 1, 2029) unless otherwise accelerated following the occurrence and continuation of an event of default pursuant to the terms of the Loan Agreement. Amounts borrowed under the Term Loan bear interest at a variable annual rate equal to the greater of (i) 6.00%, and (ii) (A) the Prime Rate, minus (B) 0.75%. The Borrowers may, at their option, prepay the Term Loan subject to a prepayment premium.</w:t>
      </w:r>
    </w:p>
    <w:p>
      <w:pPr>
        <w:spacing w:after="0" w:line="183"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Borrower’s obligations are secured by a first priority, perfected lien on substantially all the property and assets of the Borrower, except for intellectual property (other than the security interest in proceeds from any intellectual property) and certain other customary excluded assets as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interim financial statements and related notes appearing elsewhere in this Quarterly Report and the audited financial information and the notes thereto included in our Annual Report on Form 10-K for fiscal year ended December 31, 2024, which was filed with the SEC on March 3, 2025 (Annual Report). Some of the information contained in this discussion and analysis or set forth elsewhere, including information with respect to our plans and strategy for our business and related financing, includes forward-looking statements that involve risks and uncertainties. As a result of many factors, including those factors set forth in the “Risk Factors” sections of this Quarterly Report as well as our Annual Report, our actual results could differ materially from the results described in or implied by the forward-looking statements contained in the following discussion and analysis. You should carefully read the “Risk Factors” sections of this Quarterly Report and our Annual Report to gain an understanding of the important factors that could cause actual results to differ materially from our forward-looking statements. Please also see the section titled “Special Note Regarding Forward-Looking Statements” included elsewhere in this Quarterly Report. Investors and others should note that we routinely use the Investor Relations section of our website to announce material information to investors and the marketplace. While not all of the information that we post on the Investor Relations section of our website is of a material nature, some information could be deemed to be material. Accordingly, we encourage investors, the media, and others interested in us to review the information that we share on the Investors section of our website, https://ir.arrivent.com/.</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the identification, development and commercialization of differentiated medicines to address the unmet medical needs of patients with cancers. We seek to utilize our team’s deep drug development experience to maximize the potential of our lead development candidate, firmonertinib, and advance a pipeline of novel therapeutics, such as next-generation antibody drug conjugates, through approval and commercialization in patients suffering from cancer, with an initial focus on solid tumors. Firmonertinib is currently being evaluated in multiple clinical trials across a range of epidermal growth factor receptor mutant (EGFRm) in non-small cell lung cancer (NSCLC), including a pivotal Phase 3 clinical trial in treatment naïve, or first-line, patients with locally advanced or metastatic EGFRm NSCLC with exon 20 insertion mutations. We received Breakthrough Therapy Designation for firmonertinib for this disease from the United States Food and Drug Administration (FDA) in</w:t>
      </w:r>
    </w:p>
    <w:p>
      <w:pPr>
        <w:spacing w:after="0" w:line="6"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October 2023, and Orphan Drug Designation for treatment of NSCLC with EGFRm or human epidermal growth factor receptor 2 mutations or human epidermal growth factor receptor 4 mutations in February 2024. A product candidate can receive Breakthrough Therapy Designation if preliminary clinical evidence indicates that the product candidate, alone or in combination with one or more other drugs,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can help to identify the most efficient path for development. The receipt of a Breakthrough Therapy Designation for a product candidate may not result in a faster development process, review or approval compared to product candidates considered for approval under conventional FDA procedures and does not increase the likelihood that the product candidate will ultimately receive FDA approval for any indication.</w:t>
      </w:r>
    </w:p>
    <w:p>
      <w:pPr>
        <w:spacing w:after="0" w:line="19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2021, we licensed from Allist the right to develop and commercialize firmonertinib worldwide, with the exception of greater China, which includes mainland China, Hong Kong, Macau and Taiwan. Firmonertinib is an investigational, novel, epidermal growth factor receptor (EGFR) mutant-selective tyrosine kinase inhibitor (TKI) that we are developing for the treatment of NSCLC patients across a broader set of EGFRm than are currently served by approved EGFR TKIs. Firmonertinib is currently only approved and commercially distributed by Shanghai Allist Pharmaceuticals Co. Ltd. (Allist) in China as a first-line therapy to treat classical EGFRm NSCLC. The FDA has not approved firmonertinib for any use. We selected firmonertinib for global development against nonclassical, or uncommon, mutations based on preliminary reductions in tumor size observed in seven out of ten patients in first-line treatment with EGFR exon 20 insertion mutations in the ongoing Phase 1b clinical trial, the FAVOUR trial, conducted by Allist in China, and preclinical activity in EGFR P-loop and-alpha-c-helix compressing (PACC) mutations, each a subtype of uncommon mutation. If the future clinical trial results of the FAVOUR trial are unfavorable, our clinical development plans for firmonertinib, which include conducting our global, pivotal Phase 3 FURVENT clinical trial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first-line non-squamous locally advanced or metastatic EGFRm NSCLC patients with exon 20 insertion mutations, may be adversely affected.</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one of the most prevalent cancers in the world, lung cancer imposes a significant global burden on human health, and EGFRm NSCLC represents a significant proportion of those affected. Despite progress in the therapeutic landscape for EGFRm NSCLC, many patients, particularly those with uncommon mutations, such as exon 20 insertions or PACC mutations, are underserved by existing treatments. In an interim data readout from the FAVOUR trial of firmonertinib in first-line patients with locally advanced or metastatic EGFRm NSCLC with exon 20 insertion mutations, 79% of patients (n=22 out of 28 patients) were observed to experience a reduction in tumor size of at least 30% from the baseline in a patient without evidence of progression as measured by blinded independent central review utilizing Response Evaluation Criteria in Solid Tumors (RECIST) 1.1 criteria, which measurement of reduction is the threshold in this trial for a partial response and for inclusion in determination of the overall response rate (ORR), which is the primary endpoint of this trial. In the same interim data readout, those 79% of patients were observed to experience a 15.2-month median duration of response (DOR).</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September 2024, we announced positive interim proof-of-concept data from the FURTHER trial of firmonertinib in first-line patients with locally advanced or metastatic EGFRm NSCLC with PACC mutations. In this interim readout, 64% of patients (n=14 out of 22 patients) were observed to experience a reduction in tumor size of at least 30% from the baseline in a patient without evidence of progression as measured by RECIST 1.1 criteria, which measurement of reduction is the threshold in this trial for a partial response and for inclusion in determination of the ORR, which is the primary endpoint of this trial. Median DOR had not yet been reached, with 90.9% (n=20/22) of patients with confirmed responses remaining on study.</w:t>
      </w:r>
    </w:p>
    <w:p>
      <w:pPr>
        <w:spacing w:after="0" w:line="189"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In June 2025, we announced plans to initiate ALPACCA (FURMO-006), the first randomized global Phase 3 study in first-line NSCLC in patients across PACC mutations. Enrollment of the first patient in the ALPACCA trial is expected in the fourth quarter of 2025.</w:t>
      </w:r>
    </w:p>
    <w:p>
      <w:pPr>
        <w:spacing w:after="0" w:line="1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In September 2025, we announced our final data from the FURTHER trial of firmonertinib in first-line patients with locally advanced or metastatic EGFRm NSCLC with PACC mutations. In this final readout, patients treated with 240 mg of firmonertinib were observed to experience 16.0 months median progression free survival and 14.6 months median duration of response. Further, 68.2% of patients treated in first-line at 240 mg and 43.5% of patients treated in first-line at 160 mg were observed to experience a reduction in tumor size of at least 30% from the baseline in a patient without evidence of progression as measured by RECIST 1.1 criteria, which measurement of reduction is the threshold in this trial for determination of the ORR. In addition, 47% (n=8/17) of patients with brain metastases at baseline were observed to experience a confirmed response utilizing modified RECIST 1.1 and 42.9% (n=6/14) of first line patients with brain metastases at baseline were observed to experience a reduction in tumor size of at least 30% from the baseline in a patient without evidence of progression as measured by RECIST 1.1 criteria. Firmonertinib was generally well-tolerated with interim safety results.</w:t>
      </w:r>
    </w:p>
    <w:p>
      <w:pPr>
        <w:spacing w:after="0" w:line="192"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We entered into the Global Technology Transfer and License Agreement (Allist License Agreement), pursuant to which, we have, among other things, secured an exclusive, royalty bearing and sublicensable license under certain intellectual property, including patents and know-how, owned or controlled by Allist to develop and commercialize any product containing firmonertinib or any of its salts or derivatives as an active ingredient of a product, which is led by a joint collaboration committee, comprising of representatives from both Allist and us. Under the Allist License Agreement, we are obligated to pay Allist milestone payments up to an aggregate of $765.0 million upon the achievement of certain development, regulatory and sales milestone events as set forth in the Allist License Agreement. During the nine months ended September 30, 2025 and 2024, no milestones were met or achieved. We are also obligated under the Allist License Agreement to pay Allist tiered royalties based on net sales of Licensed Products (as defined in the Allist License Agreement). See “Business — Licenses, Partnerships and Collaborations — Allist Agreements” in our Annual Report.</w:t>
      </w:r>
    </w:p>
    <w:p>
      <w:pPr>
        <w:spacing w:after="0" w:line="177" w:lineRule="exact"/>
        <w:rPr>
          <w:sz w:val="20"/>
          <w:szCs w:val="20"/>
          <w:color w:val="auto"/>
        </w:rPr>
      </w:pPr>
    </w:p>
    <w:p>
      <w:pPr>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In January 2025, we entered into the Exclusive License Agreement (Lepu Biopharma Agreement) with Lepu Biopharma Co., Ltd. (Lepu), pursuant to which we have, among other things, secured an exclusive, royalty bearing and sublicensable license under certain intellectual property, including patents and know-how, owned or controlled by Lepu</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to develop and commercialize any product containing ARR-217 or the antibody component of ARR-217. Further, we are obligated to pay Lepu milestone payments up to an aggregate of approximately $1.17 billion upon the achievement of certain development, regulatory and sales milestone events as set forth in the Lepu Biopharma Agreement. We are also obligated under the Lepu Biopharma Agreement to pay Lepu tiered royalties based on net sales of Licensed Products, as defined herein. See “Business — Licenses, Partnerships and Collaborations — Lepu Biopharma Agreement” in our Annual Report.</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Since our inception in April 2021, we have devoted substantially all of our resources to organizing and staffing our company, acquiring the rights to develop firmonertinib, ARR-217, and clinical development of firmonertinib, business planning, raising capital, identifying potential product candidates, enhancing our intellectual property portfolio and undertaking research and clinical and preclinical studies for our development programs. We do not have any products approved for sale and have not generated any revenue from product sales or otherwise. We have funded our operations to date primarily through the private placement of convertible preferred stock, our initial public offering in January 2024, our “at-the-market” offering, and our underwritten public offering of common stock and pre-funded warrants to purchase common stock in July 2025.</w:t>
      </w:r>
    </w:p>
    <w:p>
      <w:pPr>
        <w:spacing w:after="0" w:line="19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revenue. Our net losses were $130.8 million and $59.9 million for the nine months ended September 30, 2025 and 2024, respectively. As of September 30, 2025, we had an accumulated deficit of $369.1 million. Our net losses may fluctuate significantly from quarter-to-quarter and year-to-year, depending on the timing of our preclinical studies, clinical trials and our expenditures on other research and development activities. We expect to continue to incur losses for the foreseeable future. We anticipate these losses will increase substantially as we:</w:t>
      </w:r>
    </w:p>
    <w:p>
      <w:pPr>
        <w:spacing w:after="0" w:line="187"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firmonertinib, as well as ARR-217, through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to clinical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invest in our pipeline;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support our external partners’ manufacturing capabilities;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defend our intellectual property portfolio;</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to support our development efforts and to expand our clinical development team;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and headcount associated with operating as a public company.</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obtain regulatory approval for firmonertinib or any product candidates, we expect to incur significant commercialization expenses related to product manufacturing, marketing, sales and distribution.</w:t>
      </w:r>
    </w:p>
    <w:p>
      <w:pPr>
        <w:spacing w:after="0" w:line="162"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product candidates. Accordingly, until such time as we can generate significant revenue from sales of our product candidates, if ever, we expect to finance our cash needs through public or private equity offerings, debt financings, collaborations and licensing arrangements or other capital 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Act contains changes to U.S. tax law including provisions allowing accelerated tax deductions for qualified research and development expenditures. We are continuing to evaluate the detailed provisions of the Act and their potential impact on our Consolidated Financial Statements. We have evaluated the detailed provisions of the Act and have determined that there is no material impact on our Condensed Consolidated Financial Statements as of September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To date, our research and development expenses have been related primarily to the development of firmonertinib, preclinical studies and other clinical activities related to our portfolio. Research and development costs are expensed as incurred and payments made prior to the receipt of goods or services to be used in research and development are deferred and recognized when the goods or services are received.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225" w:lineRule="exact"/>
        <w:rPr>
          <w:sz w:val="20"/>
          <w:szCs w:val="20"/>
          <w:color w:val="auto"/>
        </w:rPr>
      </w:pPr>
    </w:p>
    <w:p>
      <w:pPr>
        <w:ind w:left="720" w:right="19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those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costs incurred under agreements with contract research organizations (CROs) and consultants to conduct our clinical trials and other preclinical studies;</w:t>
      </w:r>
    </w:p>
    <w:p>
      <w:pPr>
        <w:spacing w:after="0" w:line="53"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our product candidates, including fees paid to third-party manufacturers and raw material suppliers;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research funding;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insurance, equipment and other supplies.</w:t>
      </w:r>
    </w:p>
    <w:p>
      <w:pPr>
        <w:spacing w:after="0" w:line="225"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Our direct research and development expenses consist principally of external costs, such as fees paid to CROs and consultants in connection with our clinical trials for firmonertinib, preclinical and toxicology studies and costs related to manufacturing materials for clinical and preclinical studies. Prior to our identification of potential product candidates in 2022, we did not track external costs by program. Subsequent to the identification of potential product candidates, a significant majority of our direct research and development costs have been related to firmonertinib. We deploy our personnel resources across all of our research and development activities.</w:t>
      </w:r>
    </w:p>
    <w:p>
      <w:pPr>
        <w:spacing w:after="0" w:line="18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the development of firmonertinib and the identification and development of new product candidates. We cannot determine with certainty the timing of initiation, the duration or the completion costs of future clinical trials and preclinical studies of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and development programs to pursue and how much funding to direct to each product candidate or program on an ongoing basis in response to the results of ongoing and future preclinical studies and clinical trials, regulatory developments and our ongoing assessments as to each product candidate’s commercial potential.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needed to determine a recommended dose;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339" w:firstLine="32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payroll taxes, employee benefits and stock-based compensation expenses for those individuals in executive, finance and other administrative functions. Other significant costs include legal fees relating to intellectual property and corporate matters, professional fees for accounting and consulting services, and insurance costs. We anticipate that our general and administrative expenses will increase in the future to support our continued research and development activities and, if any product candidates receive marketing approval, commercialization activities. We also anticipate increased expenses related to audit, legal, regulatory and tax services associated with maintaining compliance with exchange listing and SEC requirements, director and officer insurance premiums and investor relations costs associated with operating as a public company.</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14"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of interest earned on our cash, cash equivalents and marketable securities and the accretion of premiums and amortization of discounts on marketable securities.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vMerge w:val="continue"/>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72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early-stage programs. We do not track internal research and development costs by product candidate. The following table summarizes our research and development expenses for the three months ended September 30, 2025 and 2024:</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5"/>
                <w:szCs w:val="15"/>
                <w:color w:val="auto"/>
              </w:rPr>
            </w:pPr>
          </w:p>
        </w:tc>
        <w:tc>
          <w:tcPr>
            <w:tcW w:w="27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Early-stage programs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$32.2 million and $20.1 million for the three months ended September 30, 2025 and 2024, respectively. The increase of $12.1 million was primarily due to an increase of $4.2 million related to expenditures on our lead product candidate, firmonertinib, $4.1 million in costs related to early-stage programs, and $3.8 million in personnel-related costs due to increased headcount. Costs related to firmonertinib increased as a result of increased costs related to our FURVENT Phase 3 clinical trial of $4.9 million, along with $0.2 million in increased costs for our FAVOUR trial and our general firmonertinib costs, respectively. Those increases were partially offset by a $1.0 million decrease in costs related to our FURTHER Phase 1 clinical trial.</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39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$6.1 million and $4.1 million for the three months ended September 30, 2025 and 2024, respectively. The increase of $2.0 million was due primarily to increases in personnel-related costs.</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00" w:lineRule="exact"/>
        <w:rPr>
          <w:sz w:val="20"/>
          <w:szCs w:val="20"/>
          <w:color w:val="auto"/>
        </w:rPr>
      </w:pPr>
    </w:p>
    <w:p>
      <w:pPr>
        <w:ind w:left="60" w:right="839" w:firstLine="324"/>
        <w:spacing w:after="0" w:line="282" w:lineRule="auto"/>
        <w:rPr>
          <w:sz w:val="20"/>
          <w:szCs w:val="20"/>
          <w:color w:val="auto"/>
        </w:rPr>
      </w:pPr>
      <w:r>
        <w:rPr>
          <w:rFonts w:ascii="Times New Roman" w:cs="Times New Roman" w:eastAsia="Times New Roman" w:hAnsi="Times New Roman"/>
          <w:sz w:val="18"/>
          <w:szCs w:val="18"/>
          <w:color w:val="auto"/>
        </w:rPr>
        <w:t>Interest income was $3.3 million and $3.7 million for the three months ended September 30, 2025 and 2024, respectively. The decrease in interest income is due to decreased average invested balances.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68,108</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58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4"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We track outsourced clinical and preclinical costs and other external research and development costs associated with our lead product candidate, firmonertinib, and other early-stage programs. We do not track internal research and development costs by product candidate. The following table summarizes our research and development expenses for the nine months ended September 30, 2025 and 2024:</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5"/>
                <w:szCs w:val="15"/>
                <w:color w:val="auto"/>
              </w:rPr>
            </w:pPr>
          </w:p>
        </w:tc>
        <w:tc>
          <w:tcPr>
            <w:tcW w:w="290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Firmonertinib:</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FURVENT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FAVOUR</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Firmonertinib costs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Firmonertinib</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Early-stage programs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Personnel-related and other internal costs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62,335</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$121.2 million and $58.9 million for the nine months ended September 30, 2025 and 2024, respectively. The increase of $62.3 million was primarily due to an increase of $42.1 million related to expenditures on early-stage programs, $10.8 million of expenditures on our lead product candidate, firmonertinib, and $9.5 million in personnel-related costs due to increased headcount. Cost increases related to early-stage programs were largely due to a $40.0 million one-time up front payment pursuant to our collaboration with Lepu. Costs related to firmonertinib increased as a result of increased costs related to our FURVENT Phase 3 clinical trial of $8.8 million, increases in general firmonertinib costs of $4.7 million, and $0.2 million in cost increases related to our FAVOUR trial. These costs were partially offset by a decrease of $2.9 million in our FURTHER Phase 1 clinical trial.</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4"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$17.5 million and $11.8 million for the nine months ended September 30, 2025 and 2024, respectively. The increase of $5.8 million was due primarily to increases of $4.9 million in personnel-related costs and $0.7 million in accounting, legal, software, and other outside services.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and Investment Income</w:t>
      </w:r>
    </w:p>
    <w:p>
      <w:pPr>
        <w:spacing w:after="0" w:line="200"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Interest income was $7.9 million and $10.7 million for the nine months ended September 30, 2025 and 2024, respectively. The decrease in interest income is due to decreased average invested balances.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have previously funded our operations primarily through the private placement of convertible preferred stock, our initial public offering of common stock, our “at-the-market” offering, and our underwritten public offering of common stock and pre-funded warrants to purchase common stock in July 2025. To date, we have raised gross proceeds of $305.0 million from the issuance of convertible preferred stock. Additionally, in the first quarter of 2024, we completed our initial public offering of 11,180,555 shares of our common stock at a price to the public of $18.00 per share, including the exercise in full by the underwriters of their option to purchase 1,458,333 additional shares of our common stock, for aggregate proceeds of $183.2 million, net of underwriting discounts, commissions and other offering expenses. As of September 30, 2025, we had cash and cash equivalents and marketable securities of $305.4 million.</w:t>
      </w:r>
    </w:p>
    <w:p>
      <w:pPr>
        <w:spacing w:after="0" w:line="19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February 3, 2025, we filed an automatic shelf registration statement on Form S-3ASR (File No. 333-284661) with the SEC. The shelf registration statement consists of (i) a base prospectus pursuant to which we may offer and sell, from time to time, shares of our common stock, shares of our preferred stock, various series of debt securities, warrants,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Times New Roman" w:cs="Times New Roman" w:eastAsia="Times New Roman" w:hAnsi="Times New Roman"/>
          <w:sz w:val="18"/>
          <w:szCs w:val="18"/>
          <w:color w:val="auto"/>
        </w:rPr>
        <w:t>rights, and/or units to purchase any of such securities in one or more registered offerings, and (ii) a prospectus supplement pursuant to which we may offer and sell, from time to time, up to $250 million of shares of common stock in “at-the-market” offerings. During the nine months ended September 30, 2025, we sold 3,973,190 shares of common stock pursuant to our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(ATM Program) for total proceeds of $87.3 million, net of commissions and other expenses. As of September 30, 2025, we have approximately $159.2 million remaining for future issuances of common stock pursuant to the ATM Program.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203" w:lineRule="exact"/>
        <w:rPr>
          <w:sz w:val="20"/>
          <w:szCs w:val="20"/>
          <w:color w:val="auto"/>
        </w:rPr>
      </w:pPr>
    </w:p>
    <w:p>
      <w:pPr>
        <w:jc w:val="both"/>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May 2025, we entered into a $75 million loan and security agreement with Silicon Valley Bank, a division of First Citizens Bank &amp; Trust Company. The credit facility provides the right, but not the obligation, to draw up to $75 million of capital, of which $40 million will be available if certain conditions and milestones are met. No amounts have been drawn on this facility at the date of this Quarterly Report.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3, 2025, we closed an underwritten public offering (the July 2025 Offering) in which we issued and sold an aggregate of 3,059,615 shares of our common stock, including the exercise in full of the underwriters’ option to purchase 576,923 additional shares of common stock, at a public offering price of $19.50 per share, and, in lieu of shares of common stock to certain investors, pre-funded warrants to purchase up to 1,363,469 shares of common stock at a public offering price of $19.4999 per pre-funded warrant, which represents the per share public offering price for the shares less the $0.0001 per share exercise price for each pre-funded warrant. The proceeds to us, net of underwriting discounts, commissions, and other expenses, were $80.6 million.</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plan to continue to fund our operating expenses and capital expenditure requirements through additional public or private equity offerings, debt financings, collaborations and licensing arrangements or other capital sources. Debt or equity financing or collaborations and partnerships with other entities may not be available on a timely basis, on acceptable terms, or at all. In addition, we may be required to scale back or discontinue the advancement of product candidates, reduce headcount or reduce other operating expenses. This could have an adverse impact on our ability to achieve certain of our planned objectives, and thus, materially harm our business. Our ability to successfully transition to profitability will depend upon obtaining additional financing and achieving a level of product sales adequate to support our cost structure. We cannot be assured that we will ever be profitable or generate positive cash flows from operating activities.</w:t>
      </w:r>
    </w:p>
    <w:p>
      <w:pPr>
        <w:spacing w:after="0" w:line="178"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marketable securities as of September 30, 2025 will be sufficient to meet our anticipated cash requirements through at least twelve months from the issuance date of these financial statements.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720" w:right="39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drug discovery, preclinical studies and clinical trials of our lead product candidate, firmonertinib, and any other product candidates;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pacing w:after="0" w:line="117" w:lineRule="exact"/>
        <w:rPr>
          <w:rFonts w:ascii="Times New Roman" w:cs="Times New Roman" w:eastAsia="Times New Roman" w:hAnsi="Times New Roman"/>
          <w:sz w:val="18"/>
          <w:szCs w:val="18"/>
          <w:color w:val="auto"/>
        </w:rPr>
      </w:pPr>
    </w:p>
    <w:p>
      <w:pPr>
        <w:ind w:left="720" w:right="87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firmonertinib, if approved, and future product candidates for clinical trials in preparation for marketing approval and in preparation for commercialization;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party or other sources;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clinical activities increase;</w:t>
      </w:r>
    </w:p>
    <w:p>
      <w:pPr>
        <w:spacing w:after="0" w:line="53"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marketing approval and revenue received from any potential commercial sales of firmonertinib or other product candidates;</w:t>
      </w:r>
    </w:p>
    <w:p>
      <w:pPr>
        <w:spacing w:after="0" w:line="53"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firmonertinib and future product candidates we develop if we receive marketing approval, including marketing, sales and distribution costs;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and other adverse market developments;</w:t>
      </w:r>
    </w:p>
    <w:p>
      <w:pPr>
        <w:spacing w:after="0" w:line="117"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and maintain strategic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1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public or private equity offerings, debt financings, collaborations and licensing arrangements or other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platform technology, future revenue streams, research programs or product candidates or may have to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vMerge w:val="continue"/>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168,338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$129.9 million for the nine months ended September 30, 2025 reflecting our net loss of $130.8 million and a $8.5 million decrease in our operating assets and liabilities attributable to the timing in which we pay our vendors for research and development activities. These decreases were partially offset by $9.3 million in stock-based compensation. Included in the net loss is a $40.0 million upfront payment made in conjunction with our collaboration with Lepu.</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$54.0 million for the nine months ended September 30, 2024 reflecting our net loss of $59.9 million, offset by a $3.5 million net decrease in our operating assets and liabilities attributable to the timing in which we pay our vendors for research and development activities, and $2.3 million in stock-based compensation.</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4"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for each of the nine months ended September 30, 2025 and 2024 were less than $0.1 million</w:t>
      </w:r>
      <w:r>
        <w:rPr>
          <w:rFonts w:ascii="Times New Roman" w:cs="Times New Roman" w:eastAsia="Times New Roman" w:hAnsi="Times New Roman"/>
          <w:sz w:val="18"/>
          <w:szCs w:val="18"/>
          <w:color w:val="212529"/>
        </w:rPr>
        <w: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$168.3 million for the nine months ended September 30, 2025. This was due to $87.3 million of proceeds from sales under the ATM Program and $80.6 million from the July 2025 Offering, both net of expenses. In addition, $0.4 million was provided by stock option exercises.</w:t>
      </w:r>
    </w:p>
    <w:p>
      <w:pPr>
        <w:spacing w:after="0" w:line="16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212529"/>
        </w:rPr>
        <w:t>Net cash provided by financing activities was $186.5 million for the nine months ended September 30, 2024, primarily due to the net proceeds from our initial public offering.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left="100" w:right="199" w:firstLine="292"/>
        <w:spacing w:after="0" w:line="268" w:lineRule="auto"/>
        <w:rPr>
          <w:sz w:val="20"/>
          <w:szCs w:val="20"/>
          <w:color w:val="auto"/>
        </w:rPr>
      </w:pPr>
      <w:r>
        <w:rPr>
          <w:rFonts w:ascii="Times New Roman" w:cs="Times New Roman" w:eastAsia="Times New Roman" w:hAnsi="Times New Roman"/>
          <w:sz w:val="18"/>
          <w:szCs w:val="18"/>
          <w:color w:val="auto"/>
        </w:rPr>
        <w:t>As of September 30, 2025, except for the operating lease, we did not have any long-term obligations, capital lease obligations, purchase obligation or long-term liabilities. We enter into contracts in the normal course of business with third-party CROs and clinical trial sites for our clinical trials, and with supply vendors for other services and products for operating purposes. These contracts generally provide for termination after a notice period, and, therefore, are cancelable contracts. Amounts related to contingent milestone payments under our license and collaboration agreements are not yet considered contractual obligations, and not included in the table above, as they are contingent on the successful achievement of certain clinical, regulatory and commercial milestones.</w:t>
      </w:r>
    </w:p>
    <w:p>
      <w:pPr>
        <w:spacing w:after="0" w:line="191"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also have commitments for obligations under our agreements with Allist, Jiangsu Alphamab Biopharmaceuticals Co., Ltd., Aarvik Pharmaceuticals, Inc., and Lepu. Under these agreements we are required to make milestone payments upon successful completion of certain clinical, regulatory, development, sales and commercial milestones. Additionally, we are required to make royalty payments in connection with the sale of products developed under these agreements. Because the achievement of these milestones and royalties is not probable and payment is not required as of September 30, 2025, such contingencies have not been recorded in our financial statements. For additional information regarding our agreements, see Note 8 to our accompanying financial statements in Part I, Item 1 of this Quarterly Report.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1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and stock-based compensation expenses.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Use of Estimates” included in the Annual Report.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JOBS Act and Emerging Growth Company Status</w:t>
      </w:r>
    </w:p>
    <w:p>
      <w:pPr>
        <w:spacing w:after="0" w:line="216"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w:t>
      </w:r>
    </w:p>
    <w:p>
      <w:pPr>
        <w:spacing w:after="0" w:line="17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initial public offering, (ii) the last day of the fiscal year in which we have total annual gross revenue of at least $1.235 billion, (iii) the day on which we are deemed to be a “large accelerated filer” as defined in Rule 12b-2 under the Securities Exchange Act of 1934, as amended (Exchange Act) or (iv) the date on which we have issued more than $1.0 billion in non-convertible debt securities during the prior three-year period.</w:t>
      </w:r>
    </w:p>
    <w:p>
      <w:pPr>
        <w:spacing w:after="0" w:line="156" w:lineRule="exact"/>
        <w:rPr>
          <w:sz w:val="20"/>
          <w:szCs w:val="20"/>
          <w:color w:val="auto"/>
        </w:rPr>
      </w:pPr>
    </w:p>
    <w:p>
      <w:pPr>
        <w:ind w:left="60" w:right="259"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Note 3 to our accompanying financial statements appearing elsewhere in this Quarterly Report.</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Our cash and cash equivalents consist of cash held in an interest-bearing savings account and money market account. As a result, we believe that our exposure to interest rate risk is not significant, and a hypothetical 1.0% change in market interest rates during any of the periods presented would not have had a material impact on the total value of our portfolio.</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0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We do not regularly incur any material expenses with vendors outside the United States or that are denominated in currencies other than the U.S. dollar. We may incur such expenses in the future at which point exchange rate fluctuations might adversely affect our expenses, results of operations, financial position and cash flows. To date, exchange rate fluctuations have not had a material effect on our results of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16" w:lineRule="exact"/>
        <w:rPr>
          <w:sz w:val="20"/>
          <w:szCs w:val="20"/>
          <w:color w:val="auto"/>
        </w:rPr>
      </w:pPr>
    </w:p>
    <w:p>
      <w:pPr>
        <w:jc w:val="both"/>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labor and clinical trial costs. We do not believe inflation has had a material effect on our results of operations during the periods presented and do not anticipate a material impact going forward.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conducted an evaluation, under the supervision and with the participation of our management, including our Chief Executive Officer and Chief Financial Officer, of the effectiveness of the design and operation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at the reasonable assurance level as of the end of the period covered by this Quarterly Report.</w:t>
      </w: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2025,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There have been no additional material changes to our risk factors as set forth in Part I, Item 1A of our Annual Report and Item 1A of our Quarterly Report on Form 10-Q for the quarter ended March 31, 2025. You should carefully review and consider the information regarding certain factors which could materially affect our business, financial condition or future results set forth under the heading “Risk Factors” in our Annual Report and Quarterly Report on Form 10-Q for the quarter ended March 31, 2025.</w:t>
      </w:r>
    </w:p>
    <w:p>
      <w:pPr>
        <w:spacing w:after="0" w:line="179" w:lineRule="exact"/>
        <w:rPr>
          <w:sz w:val="20"/>
          <w:szCs w:val="20"/>
          <w:color w:val="auto"/>
        </w:rPr>
      </w:pPr>
    </w:p>
    <w:p>
      <w:pPr>
        <w:ind w:left="60" w:right="3819"/>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b w:val="1"/>
          <w:bCs w:val="1"/>
          <w:i w:val="1"/>
          <w:iCs w:val="1"/>
          <w:color w:val="auto"/>
        </w:rPr>
        <w:t>a) Sales of Unregistered Securities</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Use of Proceeds from Public Offering of Common Stock</w:t>
      </w:r>
    </w:p>
    <w:p>
      <w:pPr>
        <w:spacing w:after="0" w:line="229" w:lineRule="exact"/>
        <w:rPr>
          <w:sz w:val="20"/>
          <w:szCs w:val="20"/>
          <w:color w:val="auto"/>
        </w:rPr>
      </w:pPr>
    </w:p>
    <w:p>
      <w:pPr>
        <w:ind w:left="60" w:right="419" w:firstLine="324"/>
        <w:spacing w:after="0" w:line="277" w:lineRule="auto"/>
        <w:rPr>
          <w:sz w:val="20"/>
          <w:szCs w:val="20"/>
          <w:color w:val="auto"/>
        </w:rPr>
      </w:pPr>
      <w:r>
        <w:rPr>
          <w:rFonts w:ascii="Times New Roman" w:cs="Times New Roman" w:eastAsia="Times New Roman" w:hAnsi="Times New Roman"/>
          <w:sz w:val="17"/>
          <w:szCs w:val="17"/>
          <w:color w:val="auto"/>
        </w:rPr>
        <w:t>On January 25, 2024, our registration statement on Form S-1 (File No 333-276397) relating to our initial public offering of common stock was declared effective by the SEC. Upon the closing of the initial public offering, we issued 11,180,555 shares of common stock (including the exercise in full by the underwriters of their option to purchase an additional 1,458,333 shares of common stock) at a public offering price of $18.00 per share. We received net proceeds from the initial public offering of $183.2 million, after deducting underwriting discounts and commissions and other</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offering expenses. None of the expenses associated with our initial public offering were paid to directors, officers, persons owning 10% or more of any class of equity securities, or to our affiliates.</w:t>
      </w:r>
    </w:p>
    <w:p>
      <w:pPr>
        <w:spacing w:after="0" w:line="162"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initial public offering from that described in the prospectus filed with the SEC pursuant to Rule 424(b)(4) under the Securities Act of 1933, as amended, on January 26,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Rule 10b5-1 Trading Plans</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fiscal quarter ended September 30,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gridSpan w:val="15"/>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2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vMerge w:val="continue"/>
          </w:tcPr>
          <w:p>
            <w:pPr>
              <w:spacing w:after="0"/>
              <w:rPr>
                <w:sz w:val="14"/>
                <w:szCs w:val="14"/>
                <w:color w:val="auto"/>
              </w:rPr>
            </w:pPr>
          </w:p>
        </w:tc>
        <w:tc>
          <w:tcPr>
            <w:tcW w:w="20" w:type="dxa"/>
            <w:vAlign w:val="bottom"/>
            <w:tcBorders>
              <w:bottom w:val="single" w:sz="8" w:color="0000EE"/>
            </w:tcBorders>
            <w:vMerge w:val="continue"/>
          </w:tcPr>
          <w:p>
            <w:pPr>
              <w:spacing w:after="0"/>
              <w:rPr>
                <w:sz w:val="14"/>
                <w:szCs w:val="14"/>
                <w:color w:val="auto"/>
              </w:rPr>
            </w:pPr>
          </w:p>
        </w:tc>
        <w:tc>
          <w:tcPr>
            <w:tcW w:w="7120" w:type="dxa"/>
            <w:vAlign w:val="bottom"/>
            <w:tcBorders>
              <w:bottom w:val="single" w:sz="8" w:color="0000EE"/>
            </w:tcBorders>
            <w:gridSpan w:val="6"/>
          </w:tcPr>
          <w:p>
            <w:pPr>
              <w:spacing w:after="0" w:line="169"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Amended and Restated Certificate of Incorporation (incorporated by reference to Exhibit 3.1 of the</w:t>
              </w:r>
            </w:hyperlink>
          </w:p>
        </w:tc>
        <w:tc>
          <w:tcPr>
            <w:tcW w:w="7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Registrant’s Current Report on Form 8-K (File No. 001-41929) filed with the SEC on January 30, 2024).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1"/>
                <w:szCs w:val="21"/>
                <w:color w:val="auto"/>
              </w:rPr>
            </w:pPr>
          </w:p>
        </w:tc>
        <w:tc>
          <w:tcPr>
            <w:tcW w:w="7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Amended and Restated Bylaws (incorporated by reference to Exhibit 3.2 of the Registrant’s Current Report</w:t>
              </w:r>
            </w:hyperlink>
          </w:p>
        </w:tc>
        <w:tc>
          <w:tcPr>
            <w:tcW w:w="1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on Form 8-K (File No. 001-41929) filed with the SEC on January 30, 2024).</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1"/>
                <w:szCs w:val="21"/>
                <w:color w:val="auto"/>
              </w:rPr>
            </w:pPr>
          </w:p>
        </w:tc>
        <w:tc>
          <w:tcPr>
            <w:tcW w:w="7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Form of Pre-Funded Warrant (incorporated by reference to Exhibit 4.1 of the Registrant’s Current Report on</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8-K (File No. 001-41929) filed with the SEC on July 2, 2025</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1"/>
                <w:szCs w:val="21"/>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Amended and Restated Non-Employee Director Compensation Policy.</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1"/>
                <w:szCs w:val="21"/>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Amendment No. 1 to the Amended and Restated Research Collaboration Agreement, by and between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Registrant and Aarvik Therapeutics, Inc., dated July 2, 2025.</w:t>
            </w:r>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1"/>
                <w:szCs w:val="21"/>
                <w:color w:val="auto"/>
              </w:rPr>
            </w:pPr>
          </w:p>
        </w:tc>
        <w:tc>
          <w:tcPr>
            <w:tcW w:w="7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13a-15(e) or Rule 15d-15(e) under the Securities</w:t>
            </w:r>
          </w:p>
        </w:tc>
        <w:tc>
          <w:tcPr>
            <w:tcW w:w="1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1"/>
                <w:szCs w:val="21"/>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13a-15(e) or Rule 15d-15(e) under the Securities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80" w:type="dxa"/>
            <w:vAlign w:val="bottom"/>
            <w:tcBorders>
              <w:right w:val="single" w:sz="8" w:color="0000EE"/>
            </w:tcBorders>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77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of Periodic Report Pursuant to 18 U.S.C. Section 1350, as Adopted</w:t>
            </w:r>
          </w:p>
        </w:tc>
        <w:tc>
          <w:tcPr>
            <w:tcW w:w="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3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of Periodic Report Pursuant to 18 U.S.C. Section 1350, as Adopted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3320" w:type="dxa"/>
            <w:vAlign w:val="bottom"/>
            <w:tcBorders>
              <w:top w:val="single" w:sz="8" w:color="0000EE"/>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3"/>
                <w:szCs w:val="23"/>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3"/>
                <w:szCs w:val="23"/>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3"/>
                <w:szCs w:val="23"/>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3"/>
                <w:szCs w:val="23"/>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3"/>
                <w:szCs w:val="23"/>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0" w:type="dxa"/>
            <w:vAlign w:val="bottom"/>
          </w:tcPr>
          <w:p>
            <w:pPr>
              <w:spacing w:after="0"/>
              <w:rPr>
                <w:sz w:val="1"/>
                <w:szCs w:val="1"/>
                <w:color w:val="auto"/>
              </w:rPr>
            </w:pPr>
          </w:p>
        </w:tc>
      </w:tr>
      <w:tr>
        <w:trPr>
          <w:trHeight w:val="27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3"/>
                <w:szCs w:val="23"/>
                <w:color w:val="auto"/>
              </w:rPr>
            </w:pPr>
          </w:p>
        </w:tc>
        <w:tc>
          <w:tcPr>
            <w:tcW w:w="78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20" w:right="899" w:hanging="1064"/>
        <w:spacing w:after="0" w:line="282" w:lineRule="auto"/>
        <w:tabs>
          <w:tab w:leader="none" w:pos="11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9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Filed with this Quarterly Report on Form 10-Q.</w:t>
      </w:r>
    </w:p>
    <w:p>
      <w:pPr>
        <w:spacing w:after="0" w:line="95" w:lineRule="exact"/>
        <w:rPr>
          <w:rFonts w:ascii="Times New Roman" w:cs="Times New Roman" w:eastAsia="Times New Roman" w:hAnsi="Times New Roman"/>
          <w:sz w:val="18"/>
          <w:szCs w:val="18"/>
          <w:color w:val="auto"/>
        </w:rPr>
      </w:pPr>
    </w:p>
    <w:p>
      <w:pPr>
        <w:ind w:left="380" w:right="79" w:hanging="330"/>
        <w:spacing w:after="0" w:line="236"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ArriVent BioPharma,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-609600</wp:posOffset>
            </wp:positionV>
            <wp:extent cx="141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49"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compensation plan or contract.</w:t>
      </w:r>
    </w:p>
    <w:p>
      <w:pPr>
        <w:spacing w:after="0" w:line="96" w:lineRule="exact"/>
        <w:rPr>
          <w:sz w:val="20"/>
          <w:szCs w:val="20"/>
          <w:color w:val="auto"/>
        </w:rPr>
      </w:pPr>
    </w:p>
    <w:p>
      <w:pPr>
        <w:ind w:left="60" w:right="639" w:hanging="10"/>
        <w:spacing w:after="0" w:line="261" w:lineRule="auto"/>
        <w:tabs>
          <w:tab w:leader="none" w:pos="34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56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1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r>
      <w:tr>
        <w:trPr>
          <w:trHeight w:val="191"/>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Zhengbin (Bing) Yao, Ph.D.</w:t>
            </w:r>
          </w:p>
        </w:tc>
      </w:tr>
      <w:tr>
        <w:trPr>
          <w:trHeight w:val="216"/>
        </w:trPr>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17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r>
      <w:tr>
        <w:trPr>
          <w:trHeight w:val="211"/>
        </w:trPr>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Kung</w:t>
            </w:r>
          </w:p>
        </w:tc>
      </w:tr>
    </w:tbl>
    <w:p>
      <w:pPr>
        <w:jc w:val="center"/>
        <w:ind w:left="49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7900"/>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ARRIVENT BIOPHARMA, INC.</w:t>
      </w:r>
    </w:p>
    <w:p>
      <w:pPr>
        <w:spacing w:after="0" w:line="233" w:lineRule="exact"/>
        <w:rPr>
          <w:sz w:val="20"/>
          <w:szCs w:val="20"/>
          <w:color w:val="auto"/>
        </w:rPr>
      </w:pPr>
    </w:p>
    <w:p>
      <w:pPr>
        <w:jc w:val="center"/>
        <w:ind w:left="1660" w:right="440"/>
        <w:spacing w:after="0" w:line="262" w:lineRule="auto"/>
        <w:rPr>
          <w:sz w:val="20"/>
          <w:szCs w:val="20"/>
          <w:color w:val="auto"/>
        </w:rPr>
      </w:pPr>
      <w:r>
        <w:rPr>
          <w:rFonts w:ascii="Times New Roman" w:cs="Times New Roman" w:eastAsia="Times New Roman" w:hAnsi="Times New Roman"/>
          <w:sz w:val="22"/>
          <w:szCs w:val="22"/>
          <w:b w:val="1"/>
          <w:bCs w:val="1"/>
          <w:color w:val="auto"/>
        </w:rPr>
        <w:t>AMENDED AND RESTATED NON-EMPLOYEE DIRECTOR COMPENSATION POLICY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20, 2025)</w:t>
      </w:r>
    </w:p>
    <w:p>
      <w:pPr>
        <w:spacing w:after="0" w:line="23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Board of Directors of ArriVent BioPharma,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approved the following Amended and Restated Non-Employee Director Compensation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establishes compensation to be paid to non-employee directors of the Company, effective as of March 20, 2025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to provide an inducement to obtain and retain the services of qualified persons to serve as members of the Company’s Board of Directors.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Applicable Persons</w:t>
      </w:r>
    </w:p>
    <w:p>
      <w:pPr>
        <w:spacing w:after="0" w:line="23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This Policy shall apply to each director of the Company who is not an employee of the Company or any Affiliate, provided, however, that this Policy shall not apply to, and no compensation shall be payable to, any director that is affiliated with an institutional investor that held shares of the Company’s Series A or Series B preferred stock prior to the consummation of the Company’s initial public offering (each, a “</w:t>
      </w:r>
      <w:r>
        <w:rPr>
          <w:rFonts w:ascii="Times New Roman" w:cs="Times New Roman" w:eastAsia="Times New Roman" w:hAnsi="Times New Roman"/>
          <w:sz w:val="22"/>
          <w:szCs w:val="22"/>
          <w:u w:val="single" w:color="auto"/>
          <w:color w:val="auto"/>
        </w:rPr>
        <w:t>Non-Employee Director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an entity which is a direct or indirect parent or subsidiary of the Company, as determined pursuant to Section 424 of the Internal Revenue Code of 1986, as amended.</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Stock Option Grants</w:t>
      </w:r>
    </w:p>
    <w:p>
      <w:pPr>
        <w:spacing w:after="0" w:line="237"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All stock option amounts set forth herein shall be subject to automatic adjustment in the event of any stock split or other recapitalization affecting the Company’s common stock.</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Annual Stock Option Grants to Non-Employee Directors</w:t>
      </w:r>
    </w:p>
    <w:p>
      <w:pPr>
        <w:spacing w:after="0" w:line="23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Annually, each Non-Employee Director who will continue as a member of the Board of Directors in the coming year shall be granted, automatically and without any action on the part of the Board of Directors, under the Company’s 2023 Employee, Director and Consultant Equity Incentive Plan or a successor plan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 non-qualified stock option to purchase the number of shares of the Company’s common stock as is equal to the Black-Scholes value of $235,000 as of the grant date (rounded down to the nearest whole share), on the first business day after the Company’s annual meeting of stockholders in each year commencing in 2024 (each, an “</w:t>
      </w:r>
      <w:r>
        <w:rPr>
          <w:rFonts w:ascii="Times New Roman" w:cs="Times New Roman" w:eastAsia="Times New Roman" w:hAnsi="Times New Roman"/>
          <w:sz w:val="22"/>
          <w:szCs w:val="22"/>
          <w:u w:val="single" w:color="auto"/>
          <w:color w:val="auto"/>
        </w:rPr>
        <w:t>Annual Grant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Initial Stock Option Grant for Newly Appointed or Elected Directors</w:t>
      </w:r>
    </w:p>
    <w:p>
      <w:pPr>
        <w:spacing w:after="0" w:line="23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Each new Non-Employee Director after the Effective Date shall be granted, in lieu of the Annual Grant for the calendar year during which the Non-Employee Director joined the Board of Directors, automatically and without any action on the part of the Board of Directors, under the Equity Plan, a non-qualified stock option to purchase the number of shares of the Company’s common stock as is equal to the Black-Scholes value of $352,000 as of the grant date (rounded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down to the nearest whole share), on the first business day after the date that the Non-Employee Director is first appointed or elected to the Board of Directors (each, an “</w:t>
      </w:r>
      <w:r>
        <w:rPr>
          <w:rFonts w:ascii="Times New Roman" w:cs="Times New Roman" w:eastAsia="Times New Roman" w:hAnsi="Times New Roman"/>
          <w:sz w:val="22"/>
          <w:szCs w:val="22"/>
          <w:u w:val="single" w:color="auto"/>
          <w:color w:val="auto"/>
        </w:rPr>
        <w:t>Initial Grant</w:t>
      </w:r>
      <w:r>
        <w:rPr>
          <w:rFonts w:ascii="Times New Roman" w:cs="Times New Roman" w:eastAsia="Times New Roman" w:hAnsi="Times New Roman"/>
          <w:sz w:val="22"/>
          <w:szCs w:val="22"/>
          <w:color w:val="auto"/>
        </w:rPr>
        <w:t>” and, together with the Annual Grants, the “</w:t>
      </w:r>
      <w:r>
        <w:rPr>
          <w:rFonts w:ascii="Times New Roman" w:cs="Times New Roman" w:eastAsia="Times New Roman" w:hAnsi="Times New Roman"/>
          <w:sz w:val="22"/>
          <w:szCs w:val="22"/>
          <w:u w:val="single" w:color="auto"/>
          <w:color w:val="auto"/>
        </w:rPr>
        <w:t>Non-Employee Director Grants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Terms for Non-Employee Director Grants</w:t>
      </w:r>
    </w:p>
    <w:p>
      <w:pPr>
        <w:spacing w:after="0" w:line="23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Unless otherwise specified by the Board of Directors or the Compensation Committee at the time of grant, each Non-Employee Director Grant shall (i) have an exercise price equal to the fair market value of the Company’s common stock as determined in accordance with the Equity Plan on the date of grant; (ii) terminate on the tenth anniversary of the date of grant, and</w:t>
      </w:r>
    </w:p>
    <w:p>
      <w:pPr>
        <w:spacing w:after="0" w:line="1" w:lineRule="exact"/>
        <w:rPr>
          <w:sz w:val="20"/>
          <w:szCs w:val="20"/>
          <w:color w:val="auto"/>
        </w:rPr>
      </w:pPr>
    </w:p>
    <w:p>
      <w:pPr>
        <w:jc w:val="both"/>
        <w:ind w:left="200" w:right="219" w:firstLine="9"/>
        <w:spacing w:after="0" w:line="231" w:lineRule="auto"/>
        <w:tabs>
          <w:tab w:leader="none" w:pos="58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such other terms and conditions as set forth in the form of option agreement approved by the Board of Directors or the Compensation Committee. Unless otherwise specified by the Board of Directors or the Compensation Committee at the time of grant, each Non-Employee Director Grant shall vest, in the case of (A) an Annual Grant, at the end of the “Directors’ Compensation Year,” which shall be defined as the period beginning on the date of each regular annual meeting of stockholders and ending on the date of the next regular annual meeting of stockholders, subject to the Non-Employee Director’s continued service on the Board of Directors through the applicable Directors’ Compensation Year, and (B) an Initial Grant, in equal installments over a three-year period on each anniversary of the grant date subject to the Non-Employee Director’s continued service on the Board of Directors through the applicable vesting date.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Annual Fees</w:t>
      </w:r>
    </w:p>
    <w:p>
      <w:pPr>
        <w:spacing w:after="0" w:line="23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Each Non-Employee Director serving on the Board of Directors and the Audit Committee, the Compensation Committee, the Nominating and Corporate Governance Committee, as applicable, shall be entitled to the following annual amounts (the “</w:t>
      </w:r>
      <w:r>
        <w:rPr>
          <w:rFonts w:ascii="Times New Roman" w:cs="Times New Roman" w:eastAsia="Times New Roman" w:hAnsi="Times New Roman"/>
          <w:sz w:val="22"/>
          <w:szCs w:val="22"/>
          <w:u w:val="single" w:color="auto"/>
          <w:color w:val="auto"/>
        </w:rPr>
        <w:t>Annual Fees</w:t>
      </w:r>
      <w:r>
        <w:rPr>
          <w:rFonts w:ascii="Times New Roman" w:cs="Times New Roman" w:eastAsia="Times New Roman" w:hAnsi="Times New Roman"/>
          <w:sz w:val="22"/>
          <w:szCs w:val="22"/>
          <w:color w:val="auto"/>
        </w:rPr>
        <w:t>”):</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Board of Directors or</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Committee of Board of</w:t>
            </w:r>
          </w:p>
        </w:tc>
        <w:tc>
          <w:tcPr>
            <w:tcW w:w="246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Annual Retainer Amount</w:t>
            </w:r>
          </w:p>
        </w:tc>
        <w:tc>
          <w:tcPr>
            <w:tcW w:w="100" w:type="dxa"/>
            <w:vAlign w:val="bottom"/>
          </w:tcPr>
          <w:p>
            <w:pPr>
              <w:spacing w:after="0"/>
              <w:rPr>
                <w:sz w:val="21"/>
                <w:szCs w:val="21"/>
                <w:color w:val="auto"/>
              </w:rPr>
            </w:pPr>
          </w:p>
        </w:tc>
        <w:tc>
          <w:tcPr>
            <w:tcW w:w="24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Annual Retainer Amount</w:t>
            </w:r>
          </w:p>
        </w:tc>
      </w:tr>
      <w:tr>
        <w:trPr>
          <w:trHeight w:val="274"/>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Directors</w:t>
            </w: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40" w:type="dxa"/>
            <w:vAlign w:val="bottom"/>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for Member</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22"/>
                <w:szCs w:val="22"/>
                <w:b w:val="1"/>
                <w:bCs w:val="1"/>
                <w:color w:val="auto"/>
              </w:rPr>
              <w:t>for Chair</w:t>
            </w:r>
          </w:p>
        </w:tc>
      </w:tr>
      <w:tr>
        <w:trPr>
          <w:trHeight w:val="250"/>
        </w:trPr>
        <w:tc>
          <w:tcPr>
            <w:tcW w:w="20" w:type="dxa"/>
            <w:vAlign w:val="bottom"/>
          </w:tcPr>
          <w:p>
            <w:pPr>
              <w:spacing w:after="0"/>
              <w:rPr>
                <w:sz w:val="21"/>
                <w:szCs w:val="21"/>
                <w:color w:val="auto"/>
              </w:rPr>
            </w:pPr>
          </w:p>
        </w:tc>
        <w:tc>
          <w:tcPr>
            <w:tcW w:w="356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Board Member</w:t>
            </w:r>
          </w:p>
        </w:tc>
        <w:tc>
          <w:tcPr>
            <w:tcW w:w="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204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45,000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Borders>
              <w:top w:val="single" w:sz="8" w:color="CCEEFF"/>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Lead Independent Director</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Audit Committee</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10,000</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20,000</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Compensation Committee</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c>
          <w:tcPr>
            <w:tcW w:w="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22"/>
                <w:szCs w:val="22"/>
                <w:color w:val="auto"/>
              </w:rPr>
              <w:t>Nominating and Corporate Governance</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Committee</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5,000</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22"/>
                <w:szCs w:val="22"/>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2"/>
                <w:szCs w:val="22"/>
                <w:color w:val="auto"/>
              </w:rPr>
              <w:t>10,000</w:t>
            </w:r>
          </w:p>
        </w:tc>
        <w:tc>
          <w:tcPr>
            <w:tcW w:w="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23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Payments payable to Non-Employee Directors shall be paid quarterly in arrears promptly following the end of each fiscal quarter, provided that (i) the amount of such payment shall be prorated for any portion of such quarter that such Non-Employee Director was not serving on the Board of Directors or a committee and (ii) no fee shall be payable in respect of any period prior to the date such Non-Employee Director was elected to the Board of Directors or 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Except as otherwise set forth in this Policy, all Annual Fees shall be paid for the period from January 1 through December 31 of each year. Such Annual Fees shall be paid in cash, except to the extent that an election is made pursuant to the following provision: Prior to the beginning of each calendar year, a Non-Employee Director may elect to receive all or a portion of such Non-Employee Director’s base Annual Fee for service as a member of the Board of Directors (i.e., $45,000) in the form of a non-qualified stock option to purchase the number of shares of the Company’s common stock (rounded down to the nearest whole share) as is equal to the Black-Scholes value of such Annual Fee (or portion thereof), which option will be granted on the first business day of the calendar year. Any election made with respect to less than all of a Non-Employee Director’s base Annual Fee must be expressed in a 50% increment, i.e., a Non-Employee Director may elect to receive either 50% or 100% of the base Annual Fee in the form of an option. Such option shall vest in four quarterly installments on the last day of each calendar quarter during the calendar year subject to the continued service of the Non-Employee Director through the applicable vesting date. Such option shall (i) be issued under the Equity Plan,</w:t>
      </w:r>
    </w:p>
    <w:p>
      <w:pPr>
        <w:spacing w:after="0" w:line="2" w:lineRule="exact"/>
        <w:rPr>
          <w:sz w:val="20"/>
          <w:szCs w:val="20"/>
          <w:color w:val="auto"/>
        </w:rPr>
      </w:pPr>
    </w:p>
    <w:p>
      <w:pPr>
        <w:jc w:val="both"/>
        <w:ind w:left="200" w:right="219" w:firstLine="9"/>
        <w:spacing w:after="0" w:line="231" w:lineRule="auto"/>
        <w:tabs>
          <w:tab w:leader="none" w:pos="5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such other terms and conditions as set forth in the form of option agreement approved by the Board of Directors or the Compensation Committee, and (iii) have an exercise price equal to the fair market value of the Company’s common stock on the date of grant, as determined in accordance with the Equity Plan. Each Non-Employee Director who is newly elected or appointed to the Board of Directors after the Effective Date may make an election to be paid in the form of an option within 30 days of such Non-Employee Director’s election or appointment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and any such option shall be granted on the last business day of the month following such Non-Employee Director’s Option Election for the prorated portion of the cash for the initial calendar year and otherwise in accordance with this paragraph. If no election has been made prior to the first day of the calendar year, then the Non-Employee Director shall receive such Non-Employee Director’s Annual Fees in the form in which they were paid during the prior calendar year.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3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Upon presentation of documentation of such expenses reasonably satisfactory to the Company, each Non-Employee Director shall be reimbursed for such Non-Employee Director’s reasonable out-of-pocket business expenses incurred in connection with attending meetings of the Board of Directors and committees thereof or in connection with other business related to the Board of Directors. Each Non-Employee Director shall abide by the Company’s travel and other expense policies applicable to Company personnel.</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3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Compensation Committee shall review this Policy from time to time to assess whether any amendments in the type and amount of compensation provided herein should be made in order to fulfill the objectives of this Policy and shall make recommendations to the Board of Directors for its approval of any amendments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612140</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39" w:name="page40"/>
    <w:bookmarkEnd w:id="39"/>
    <w:p>
      <w:pPr>
        <w:jc w:val="right"/>
        <w:ind w:right="219"/>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RESEARCH COLLABORATION AGREEMENT</w:t>
      </w:r>
    </w:p>
    <w:p>
      <w:pPr>
        <w:spacing w:after="0" w:line="207" w:lineRule="exact"/>
        <w:rPr>
          <w:sz w:val="20"/>
          <w:szCs w:val="20"/>
          <w:color w:val="auto"/>
        </w:rPr>
      </w:pPr>
    </w:p>
    <w:p>
      <w:pPr>
        <w:ind w:left="200" w:right="519" w:firstLine="648"/>
        <w:spacing w:after="0" w:line="256" w:lineRule="auto"/>
        <w:rPr>
          <w:sz w:val="20"/>
          <w:szCs w:val="20"/>
          <w:color w:val="auto"/>
        </w:rPr>
      </w:pPr>
      <w:r>
        <w:rPr>
          <w:rFonts w:ascii="Times New Roman" w:cs="Times New Roman" w:eastAsia="Times New Roman" w:hAnsi="Times New Roman"/>
          <w:sz w:val="18"/>
          <w:szCs w:val="18"/>
          <w:color w:val="auto"/>
        </w:rPr>
        <w:t>THIS AMENDMENT NO. 1 TO THE AMENDED AND RESTATED RESEARCH COLLABORATION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effective as of July 2,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Aarvik Therapeutics, Inc., a company incorporated in Delaware, having a place of business at 31363 Medallion Drive, Hayward, CA 94544 (“</w:t>
      </w:r>
      <w:r>
        <w:rPr>
          <w:rFonts w:ascii="Times New Roman" w:cs="Times New Roman" w:eastAsia="Times New Roman" w:hAnsi="Times New Roman"/>
          <w:sz w:val="18"/>
          <w:szCs w:val="18"/>
          <w:b w:val="1"/>
          <w:bCs w:val="1"/>
          <w:color w:val="auto"/>
        </w:rPr>
        <w:t>Aarvik</w:t>
      </w:r>
      <w:r>
        <w:rPr>
          <w:rFonts w:ascii="Times New Roman" w:cs="Times New Roman" w:eastAsia="Times New Roman" w:hAnsi="Times New Roman"/>
          <w:sz w:val="18"/>
          <w:szCs w:val="18"/>
          <w:color w:val="auto"/>
        </w:rPr>
        <w:t>”), and ArriVent BioPharma, Inc., a company incorporated in Delaware, with offices located at 18 Campus Blvd., Suite 100, Newtown Square, PA 19073-3269 (“</w:t>
      </w:r>
      <w:r>
        <w:rPr>
          <w:rFonts w:ascii="Times New Roman" w:cs="Times New Roman" w:eastAsia="Times New Roman" w:hAnsi="Times New Roman"/>
          <w:sz w:val="18"/>
          <w:szCs w:val="18"/>
          <w:b w:val="1"/>
          <w:bCs w:val="1"/>
          <w:color w:val="auto"/>
        </w:rPr>
        <w:t>ArriVent</w:t>
      </w:r>
      <w:r>
        <w:rPr>
          <w:rFonts w:ascii="Times New Roman" w:cs="Times New Roman" w:eastAsia="Times New Roman" w:hAnsi="Times New Roman"/>
          <w:sz w:val="18"/>
          <w:szCs w:val="18"/>
          <w:color w:val="auto"/>
        </w:rPr>
        <w:t>”). ArriVent and Aarvik are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200" w:right="439" w:firstLine="648"/>
        <w:spacing w:after="0" w:line="282" w:lineRule="auto"/>
        <w:rPr>
          <w:sz w:val="20"/>
          <w:szCs w:val="20"/>
          <w:color w:val="auto"/>
        </w:rPr>
      </w:pPr>
      <w:r>
        <w:rPr>
          <w:rFonts w:ascii="Times New Roman" w:cs="Times New Roman" w:eastAsia="Times New Roman" w:hAnsi="Times New Roman"/>
          <w:sz w:val="18"/>
          <w:szCs w:val="18"/>
          <w:color w:val="auto"/>
        </w:rPr>
        <w:t>WHEREAS, Aarvik and ArriVent are parties to that certain Amended and Restated Research Collaboration Agreement dated August 9, 2024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200" w:right="619"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and as a result of the termination of the [***], the Parties wish to amend certain terms of the Agreement as set forth in this Amendment;</w:t>
      </w:r>
    </w:p>
    <w:p>
      <w:pPr>
        <w:spacing w:after="0" w:line="162" w:lineRule="exact"/>
        <w:rPr>
          <w:sz w:val="20"/>
          <w:szCs w:val="20"/>
          <w:color w:val="auto"/>
        </w:rPr>
      </w:pPr>
    </w:p>
    <w:p>
      <w:pPr>
        <w:ind w:left="200" w:right="2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provided herein below and other consideration the receipt and sufficiency of which is hereby acknowledged, ArriVent and Aarvik hereby agree as follows:</w:t>
      </w:r>
    </w:p>
    <w:p>
      <w:pPr>
        <w:spacing w:after="0" w:line="203" w:lineRule="exact"/>
        <w:rPr>
          <w:sz w:val="20"/>
          <w:szCs w:val="20"/>
          <w:color w:val="auto"/>
        </w:rPr>
      </w:pPr>
    </w:p>
    <w:p>
      <w:pPr>
        <w:ind w:left="200" w:right="319" w:firstLine="657"/>
        <w:spacing w:after="0" w:line="239" w:lineRule="auto"/>
        <w:tabs>
          <w:tab w:leader="none" w:pos="14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Incorporation of Background; Capitalized Terms</w:t>
      </w:r>
      <w:r>
        <w:rPr>
          <w:rFonts w:ascii="Times New Roman" w:cs="Times New Roman" w:eastAsia="Times New Roman" w:hAnsi="Times New Roman"/>
          <w:sz w:val="18"/>
          <w:szCs w:val="18"/>
          <w:color w:val="auto"/>
        </w:rPr>
        <w:t>. The “Background” provisions set forth above, together with the defined terms therein, are incorporated herein by reference. Capitalized terms not otherwise defined herein shall have the meanings given to such terms in the Agreement.</w:t>
      </w:r>
    </w:p>
    <w:p>
      <w:pPr>
        <w:spacing w:after="0" w:line="208"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Parties hereby agree to the following amendments to the Agreement:</w:t>
      </w:r>
    </w:p>
    <w:p>
      <w:pPr>
        <w:spacing w:after="0" w:line="224" w:lineRule="exact"/>
        <w:rPr>
          <w:rFonts w:ascii="Times New Roman" w:cs="Times New Roman" w:eastAsia="Times New Roman" w:hAnsi="Times New Roman"/>
          <w:sz w:val="22"/>
          <w:szCs w:val="22"/>
          <w:color w:val="auto"/>
        </w:rPr>
      </w:pPr>
    </w:p>
    <w:p>
      <w:pPr>
        <w:ind w:left="200" w:right="399" w:firstLine="1305"/>
        <w:spacing w:after="0" w:line="234" w:lineRule="auto"/>
        <w:tabs>
          <w:tab w:leader="none" w:pos="21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Sections 1.52, 1.53, 1.54, 5.6 and 6.2.2 are deleted in their entirety and replaced with with words “Intentionally Omitted”.</w:t>
      </w:r>
    </w:p>
    <w:p>
      <w:pPr>
        <w:spacing w:after="0" w:line="20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following parenthetical is deleted from Section 3.82: “(subject to the applicable terms</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of the [***])”.</w:t>
      </w:r>
    </w:p>
    <w:p>
      <w:pPr>
        <w:spacing w:after="0" w:line="232" w:lineRule="exact"/>
        <w:rPr>
          <w:rFonts w:ascii="Times New Roman" w:cs="Times New Roman" w:eastAsia="Times New Roman" w:hAnsi="Times New Roman"/>
          <w:sz w:val="22"/>
          <w:szCs w:val="22"/>
          <w:color w:val="auto"/>
        </w:rPr>
      </w:pPr>
    </w:p>
    <w:p>
      <w:pPr>
        <w:ind w:left="200" w:right="279" w:firstLine="1305"/>
        <w:spacing w:after="0" w:line="239" w:lineRule="auto"/>
        <w:tabs>
          <w:tab w:leader="none" w:pos="21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last sentence of Section 5.5 of the Agreement is amended and restated as follows: “The Parties acknowledge and agree that Aarvik shall be solely responsible for, and shall promptly discharge, any and all payments payable pursuant to the Existing In-License Agreements.”</w:t>
      </w:r>
    </w:p>
    <w:p>
      <w:pPr>
        <w:spacing w:after="0" w:line="20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9.2.13 of the Agreement is hereby amended and restated in its entirety as follows:</w:t>
      </w:r>
    </w:p>
    <w:p>
      <w:pPr>
        <w:spacing w:after="0" w:line="198" w:lineRule="exact"/>
        <w:rPr>
          <w:sz w:val="20"/>
          <w:szCs w:val="20"/>
          <w:color w:val="auto"/>
        </w:rPr>
      </w:pPr>
    </w:p>
    <w:p>
      <w:pPr>
        <w:ind w:left="200" w:right="439" w:firstLine="1944"/>
        <w:spacing w:after="0" w:line="277" w:lineRule="auto"/>
        <w:rPr>
          <w:sz w:val="20"/>
          <w:szCs w:val="20"/>
          <w:color w:val="auto"/>
        </w:rPr>
      </w:pPr>
      <w:r>
        <w:rPr>
          <w:rFonts w:ascii="Times New Roman" w:cs="Times New Roman" w:eastAsia="Times New Roman" w:hAnsi="Times New Roman"/>
          <w:sz w:val="17"/>
          <w:szCs w:val="17"/>
          <w:color w:val="auto"/>
        </w:rPr>
        <w:t>“9.2.13 Neither Aarvik nor any of its Affiliates, on the one hand, is party to an agreement with any Third Party, on the other hand, pursuant to which Aarvik or its Affiliate has (i) in-licensed any Patents or Know-How that are included as part of the Aarvik IP or (ii) agreed to provisions that would require ArriVent to undertake or observe any restrictions or obligations with respect to the Research, Development, Manufacture, use, Commercialization or other Exploitation of the ADCs related to the Target Pair in the Field in the Territory.”</w:t>
      </w:r>
    </w:p>
    <w:p>
      <w:pPr>
        <w:spacing w:after="0" w:line="176" w:lineRule="exact"/>
        <w:rPr>
          <w:sz w:val="20"/>
          <w:szCs w:val="20"/>
          <w:color w:val="auto"/>
        </w:rPr>
      </w:pPr>
    </w:p>
    <w:p>
      <w:pPr>
        <w:ind w:left="2160" w:hanging="655"/>
        <w:spacing w:after="0"/>
        <w:tabs>
          <w:tab w:leader="none" w:pos="21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10.1 of the Agreement is hereby amended and restated in its entirety as follows:</w:t>
      </w:r>
    </w:p>
    <w:p>
      <w:pPr>
        <w:spacing w:after="0" w:line="198" w:lineRule="exact"/>
        <w:rPr>
          <w:sz w:val="20"/>
          <w:szCs w:val="20"/>
          <w:color w:val="auto"/>
        </w:rPr>
      </w:pPr>
    </w:p>
    <w:p>
      <w:pPr>
        <w:ind w:left="200" w:right="399" w:firstLine="1944"/>
        <w:spacing w:after="0" w:line="269"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Indemnification by Aarvik</w:t>
      </w:r>
      <w:r>
        <w:rPr>
          <w:rFonts w:ascii="Times New Roman" w:cs="Times New Roman" w:eastAsia="Times New Roman" w:hAnsi="Times New Roman"/>
          <w:sz w:val="17"/>
          <w:szCs w:val="17"/>
          <w:color w:val="auto"/>
        </w:rPr>
        <w:t>. Aarvik hereby agrees to defend, hold harmless and indemnify (collectively, “</w:t>
      </w:r>
      <w:r>
        <w:rPr>
          <w:rFonts w:ascii="Times New Roman" w:cs="Times New Roman" w:eastAsia="Times New Roman" w:hAnsi="Times New Roman"/>
          <w:sz w:val="17"/>
          <w:szCs w:val="17"/>
          <w:b w:val="1"/>
          <w:bCs w:val="1"/>
          <w:color w:val="auto"/>
        </w:rPr>
        <w:t>Indemnify</w:t>
      </w:r>
      <w:r>
        <w:rPr>
          <w:rFonts w:ascii="Times New Roman" w:cs="Times New Roman" w:eastAsia="Times New Roman" w:hAnsi="Times New Roman"/>
          <w:sz w:val="17"/>
          <w:szCs w:val="17"/>
          <w:color w:val="auto"/>
        </w:rPr>
        <w:t>”) ArriVent and its Affiliates, and its and their agents, directors, officers and employees (the “</w:t>
      </w:r>
      <w:r>
        <w:rPr>
          <w:rFonts w:ascii="Times New Roman" w:cs="Times New Roman" w:eastAsia="Times New Roman" w:hAnsi="Times New Roman"/>
          <w:sz w:val="17"/>
          <w:szCs w:val="17"/>
          <w:b w:val="1"/>
          <w:bCs w:val="1"/>
          <w:color w:val="auto"/>
        </w:rPr>
        <w:t>ArriVent Indemnitees</w:t>
      </w:r>
      <w:r>
        <w:rPr>
          <w:rFonts w:ascii="Times New Roman" w:cs="Times New Roman" w:eastAsia="Times New Roman" w:hAnsi="Times New Roman"/>
          <w:sz w:val="17"/>
          <w:szCs w:val="17"/>
          <w:color w:val="auto"/>
        </w:rPr>
        <w:t>”) from and against any liability or expense (including reasonable legal expenses and attorneys’ fees)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resulting from suits, claims, actions and demands, in each case brought by a Third Party (each, a “</w:t>
      </w:r>
      <w:r>
        <w:rPr>
          <w:rFonts w:ascii="Times New Roman" w:cs="Times New Roman" w:eastAsia="Times New Roman" w:hAnsi="Times New Roman"/>
          <w:sz w:val="17"/>
          <w:szCs w:val="17"/>
          <w:b w:val="1"/>
          <w:bCs w:val="1"/>
          <w:color w:val="auto"/>
        </w:rPr>
        <w:t>Third-Party Claim</w:t>
      </w:r>
      <w:r>
        <w:rPr>
          <w:rFonts w:ascii="Times New Roman" w:cs="Times New Roman" w:eastAsia="Times New Roman" w:hAnsi="Times New Roman"/>
          <w:sz w:val="17"/>
          <w:szCs w:val="17"/>
          <w:color w:val="auto"/>
        </w:rPr>
        <w:t>”) arising out of: (a) any activity conducted by or on behalf of Aarvik in breach of this Agreement or of any Applicable Laws, (b) the breach or violation of any covenant or</w:t>
      </w:r>
    </w:p>
    <w:p>
      <w:pPr>
        <w:spacing w:after="0" w:line="2" w:lineRule="exact"/>
        <w:rPr>
          <w:sz w:val="20"/>
          <w:szCs w:val="20"/>
          <w:color w:val="auto"/>
        </w:rPr>
      </w:pPr>
    </w:p>
    <w:p>
      <w:pPr>
        <w:ind w:left="260" w:right="279" w:firstLine="86"/>
        <w:spacing w:after="0" w:line="234" w:lineRule="auto"/>
        <w:tabs>
          <w:tab w:leader="none" w:pos="689"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450850</wp:posOffset>
            </wp:positionV>
            <wp:extent cx="5452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200" w:right="439"/>
        <w:spacing w:after="0" w:line="258" w:lineRule="auto"/>
        <w:rPr>
          <w:sz w:val="20"/>
          <w:szCs w:val="20"/>
          <w:color w:val="auto"/>
        </w:rPr>
      </w:pPr>
      <w:r>
        <w:rPr>
          <w:rFonts w:ascii="Times New Roman" w:cs="Times New Roman" w:eastAsia="Times New Roman" w:hAnsi="Times New Roman"/>
          <w:sz w:val="18"/>
          <w:szCs w:val="18"/>
          <w:color w:val="auto"/>
        </w:rPr>
        <w:t>Aarvik’s obligations under this Agreement, including Aarvik’s representations, warranties or covenants set forth herein, or (c) the willful misconduct or negligent acts of or violation of Applicable Law by any Aarvik Indemnitee. Aarvik’s obligation to Indemnify the ArriVent Indemnitees pursuant to this Section 10.1 shall not apply to the extent that any such Losses are Losses for which ArriVent is obligated to Indemnify the Aarvik Indemnitees pursuant to Section 10.2.</w:t>
      </w:r>
    </w:p>
    <w:p>
      <w:pPr>
        <w:spacing w:after="0" w:line="192" w:lineRule="exact"/>
        <w:rPr>
          <w:sz w:val="20"/>
          <w:szCs w:val="20"/>
          <w:color w:val="auto"/>
        </w:rPr>
      </w:pPr>
    </w:p>
    <w:p>
      <w:pPr>
        <w:ind w:left="2160" w:hanging="655"/>
        <w:spacing w:after="0"/>
        <w:tabs>
          <w:tab w:leader="none" w:pos="2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Section 13.12 of the Agreement is hereby amended and restated in its entirety as follows:</w:t>
      </w:r>
    </w:p>
    <w:p>
      <w:pPr>
        <w:spacing w:after="0" w:line="198" w:lineRule="exact"/>
        <w:rPr>
          <w:sz w:val="20"/>
          <w:szCs w:val="20"/>
          <w:color w:val="auto"/>
        </w:rPr>
      </w:pPr>
    </w:p>
    <w:p>
      <w:pPr>
        <w:ind w:left="200" w:right="339" w:firstLine="1944"/>
        <w:spacing w:after="0" w:line="266"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No Third Party</w:t>
      </w:r>
      <w:r>
        <w:rPr>
          <w:rFonts w:ascii="Times New Roman" w:cs="Times New Roman" w:eastAsia="Times New Roman" w:hAnsi="Times New Roman"/>
          <w:sz w:val="18"/>
          <w:szCs w:val="18"/>
          <w:color w:val="auto"/>
        </w:rPr>
        <w:t xml:space="preserve"> Beneficiaries. No Person other than Aarvik and ArriVent (and their respective permitted assignees) shall be deemed an intended beneficiary hereunder or have any right to enforce any obligation of this Agreement.”</w:t>
      </w:r>
    </w:p>
    <w:p>
      <w:pPr>
        <w:spacing w:after="0" w:line="203" w:lineRule="exact"/>
        <w:rPr>
          <w:sz w:val="20"/>
          <w:szCs w:val="20"/>
          <w:color w:val="auto"/>
        </w:rPr>
      </w:pPr>
    </w:p>
    <w:p>
      <w:pPr>
        <w:ind w:left="200" w:right="479" w:firstLine="657"/>
        <w:spacing w:after="0" w:line="234"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Inconsistencies</w:t>
      </w:r>
      <w:r>
        <w:rPr>
          <w:rFonts w:ascii="Times New Roman" w:cs="Times New Roman" w:eastAsia="Times New Roman" w:hAnsi="Times New Roman"/>
          <w:sz w:val="18"/>
          <w:szCs w:val="18"/>
          <w:color w:val="auto"/>
        </w:rPr>
        <w:t>. To the extent of any inconsistency between the Agreement and this Amendment, the terms and conditions of this Amendment shall prevail.</w:t>
      </w:r>
    </w:p>
    <w:p>
      <w:pPr>
        <w:spacing w:after="0" w:line="226" w:lineRule="exact"/>
        <w:rPr>
          <w:rFonts w:ascii="Times New Roman" w:cs="Times New Roman" w:eastAsia="Times New Roman" w:hAnsi="Times New Roman"/>
          <w:sz w:val="22"/>
          <w:szCs w:val="22"/>
          <w:color w:val="auto"/>
        </w:rPr>
      </w:pPr>
    </w:p>
    <w:p>
      <w:pPr>
        <w:ind w:left="200" w:right="1139" w:firstLine="657"/>
        <w:spacing w:after="0" w:line="234"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No Other Amendments</w:t>
      </w:r>
      <w:r>
        <w:rPr>
          <w:rFonts w:ascii="Times New Roman" w:cs="Times New Roman" w:eastAsia="Times New Roman" w:hAnsi="Times New Roman"/>
          <w:sz w:val="18"/>
          <w:szCs w:val="18"/>
          <w:color w:val="auto"/>
        </w:rPr>
        <w:t>. All provisions of the Agreement not expressly amended by this Amendment shall remain in full force and effect, and are ratified and confirmed.</w:t>
      </w:r>
    </w:p>
    <w:p>
      <w:pPr>
        <w:spacing w:after="0" w:line="226" w:lineRule="exact"/>
        <w:rPr>
          <w:rFonts w:ascii="Times New Roman" w:cs="Times New Roman" w:eastAsia="Times New Roman" w:hAnsi="Times New Roman"/>
          <w:sz w:val="22"/>
          <w:szCs w:val="22"/>
          <w:color w:val="auto"/>
        </w:rPr>
      </w:pPr>
    </w:p>
    <w:p>
      <w:pPr>
        <w:ind w:left="200" w:right="299" w:firstLine="657"/>
        <w:spacing w:after="0" w:line="239"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each of which shall be deemed an original and all of which, taken together, shall constitute one and the same instrument. An electronic or faxed signed copy of this Amendment shall have the same force and effect as an original signed copy.</w:t>
      </w:r>
    </w:p>
    <w:p>
      <w:pPr>
        <w:spacing w:after="0" w:line="226" w:lineRule="exact"/>
        <w:rPr>
          <w:rFonts w:ascii="Times New Roman" w:cs="Times New Roman" w:eastAsia="Times New Roman" w:hAnsi="Times New Roman"/>
          <w:sz w:val="22"/>
          <w:szCs w:val="22"/>
          <w:color w:val="auto"/>
        </w:rPr>
      </w:pPr>
    </w:p>
    <w:p>
      <w:pPr>
        <w:ind w:left="200" w:right="219" w:firstLine="657"/>
        <w:spacing w:after="0" w:line="243" w:lineRule="auto"/>
        <w:tabs>
          <w:tab w:leader="none" w:pos="14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Amendment shall be governed by, and construed and enforced in accordance with, the laws of the State of New York, without giving effect to principles of conflicts of law. If a dispute arises under or relates to this Amendment, the provisions of Article 12 of the Agreement will apply to this Amendment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260" w:right="279" w:firstLine="86"/>
        <w:spacing w:after="0" w:line="234" w:lineRule="auto"/>
        <w:tabs>
          <w:tab w:leader="none" w:pos="689"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450850</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1" w:name="page42"/>
    <w:bookmarkEnd w:id="41"/>
    <w:p>
      <w:pPr>
        <w:ind w:left="200" w:right="5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in duplicate originals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Effective Date.</w:t>
      </w:r>
    </w:p>
    <w:p>
      <w:pPr>
        <w:spacing w:after="0" w:line="37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AARVIK THERAPEUTICS, INC.</w:t>
            </w: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ARRIVENT BIOPHARMA, INC.</w:t>
            </w:r>
          </w:p>
        </w:tc>
      </w:tr>
      <w:tr>
        <w:trPr>
          <w:trHeight w:val="6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Jagath Reddy Junutula</w:t>
            </w: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By: /s/ Stuart Lutzker, M.D., Ph.D.</w:t>
            </w:r>
          </w:p>
        </w:tc>
      </w:tr>
      <w:tr>
        <w:trPr>
          <w:trHeight w:val="20"/>
        </w:trPr>
        <w:tc>
          <w:tcPr>
            <w:tcW w:w="3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453"/>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Jagath Reddy Junutula</w:t>
            </w: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Name: Stuart Lutzker, M.D., Ph.D.</w:t>
            </w:r>
          </w:p>
        </w:tc>
      </w:tr>
      <w:tr>
        <w:trPr>
          <w:trHeight w:val="432"/>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Title: President, Research and Development</w:t>
            </w:r>
          </w:p>
        </w:tc>
      </w:tr>
    </w:tbl>
    <w:p>
      <w:pPr>
        <w:spacing w:after="0" w:line="200" w:lineRule="exact"/>
        <w:rPr>
          <w:sz w:val="20"/>
          <w:szCs w:val="20"/>
          <w:color w:val="auto"/>
        </w:rPr>
      </w:pPr>
    </w:p>
    <w:p>
      <w:pPr>
        <w:spacing w:after="0" w:line="234" w:lineRule="exact"/>
        <w:rPr>
          <w:sz w:val="20"/>
          <w:szCs w:val="20"/>
          <w:color w:val="auto"/>
        </w:rPr>
      </w:pPr>
    </w:p>
    <w:p>
      <w:pPr>
        <w:ind w:left="260" w:right="279" w:firstLine="86"/>
        <w:spacing w:after="0" w:line="234" w:lineRule="auto"/>
        <w:tabs>
          <w:tab w:leader="none" w:pos="689"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CONFIDENTIAL INFORMATION CONTAINED IN THIS DOCUMENT, MARKED BY BRACKETS, HAS BEEN OMITTED BECAUSE THE INFORMATION (I) IS NOT MATERIAL AND (II) IS THE TYPE THAT THE REGISTRANT TREATS AS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450850</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Zhengbin Yao, Ph.D.,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17145</wp:posOffset>
            </wp:positionV>
            <wp:extent cx="2888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Zhengbin Yao, Ph.D.</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ArriVent BioPharma,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860"/>
        <w:spacing w:after="0"/>
        <w:tabs>
          <w:tab w:leader="none" w:pos="53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September 30, 2025, as filed with the Securities and Exchange Commission on the date hereof (the “Report”), I, Zhengbin Yao, Ph.D.,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Zhengbin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Name:Zhengbin Yao, Ph.D.</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ArriVent BioPharma, Inc. (the “Company”) on Form 10-Q for the quarter ended September 30, 2025, as filed with the Securities and Exchange Commission on the date hereof (the “Report”), I, Winston Kung, hereby certify, pursuant to 18 U.S.C.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1350, as adopted pursuant to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906 of the Sarbanes-Oxley Act of 2002, that:</w:t>
      </w:r>
    </w:p>
    <w:p>
      <w:pPr>
        <w:spacing w:after="0" w:line="129" w:lineRule="exact"/>
        <w:rPr>
          <w:sz w:val="20"/>
          <w:szCs w:val="20"/>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2025</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Name:Winston Kung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2"/>
      <w:numFmt w:val="decimal"/>
      <w:start w:val="104"/>
    </w:lvl>
  </w:abstractNum>
  <w:abstractNum w:abstractNumId="14">
    <w:nsid w:val="2443A858"/>
    <w:multiLevelType w:val="hybridMultilevel"/>
    <w:lvl w:ilvl="0">
      <w:lvlJc w:val="left"/>
      <w:lvlText w:val="**"/>
      <w:numFmt w:val="bullet"/>
      <w:start w:val="1"/>
    </w:lvl>
    <w:lvl w:ilvl="1">
      <w:lvlJc w:val="left"/>
      <w:lvlText w:val="%2"/>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Roman"/>
      <w:start w:val="3"/>
    </w:lvl>
  </w:abstractNum>
  <w:abstractNum w:abstractNumId="18">
    <w:nsid w:val="8EDBDAB"/>
    <w:multiLevelType w:val="hybridMultilevel"/>
    <w:lvl w:ilvl="0">
      <w:lvlJc w:val="left"/>
      <w:lvlText w:val="(%1)"/>
      <w:numFmt w:val="lowerRoman"/>
      <w:start w:val="2"/>
    </w:lvl>
  </w:abstractNum>
  <w:abstractNum w:abstractNumId="19">
    <w:nsid w:val="79838CB2"/>
    <w:multiLevelType w:val="hybridMultilevel"/>
    <w:lvl w:ilvl="0">
      <w:lvlJc w:val="left"/>
      <w:lvlText w:val="%1."/>
      <w:numFmt w:val="decimal"/>
      <w:start w:val="1"/>
    </w:lvl>
    <w:lvl w:ilvl="1">
      <w:lvlJc w:val="left"/>
      <w:lvlText w:val="(%2)"/>
      <w:numFmt w:val="lowerLetter"/>
      <w:start w:val="1"/>
    </w:lvl>
  </w:abstractNum>
  <w:abstractNum w:abstractNumId="20">
    <w:nsid w:val="4353D0CD"/>
    <w:multiLevelType w:val="hybridMultilevel"/>
    <w:lvl w:ilvl="0">
      <w:lvlJc w:val="left"/>
      <w:lvlText w:val="(%1)"/>
      <w:numFmt w:val="lowerLetter"/>
      <w:start w:val="5"/>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Letter"/>
      <w:start w:val="6"/>
    </w:lvl>
  </w:abstractNum>
  <w:abstractNum w:abstractNumId="23">
    <w:nsid w:val="54E49EB4"/>
    <w:multiLevelType w:val="hybridMultilevel"/>
    <w:lvl w:ilvl="0">
      <w:lvlJc w:val="left"/>
      <w:lvlText w:val="%1."/>
      <w:numFmt w:val="decimal"/>
      <w:start w:val="3"/>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43" Type="http://schemas.openxmlformats.org/officeDocument/2006/relationships/hyperlink" Target="https://www.sec.gov/Archives/edgar/data/1868279/000110465924008228/tm2321853d25_ex3-1.htm" TargetMode="External"/><Relationship Id="rId44" Type="http://schemas.openxmlformats.org/officeDocument/2006/relationships/hyperlink" Target="https://www.sec.gov/Archives/edgar/data/1868279/000110465924008228/tm2321853d25_ex3-2.htm" TargetMode="External"/><Relationship Id="rId45" Type="http://schemas.openxmlformats.org/officeDocument/2006/relationships/hyperlink" Target="https://www.sec.gov/Archives/edgar/data/1868279/000110465925065386/tm2519401d3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2025-11-10T07:14:14Z</dcterms:created>
  <dcterms:modified xsi:type="dcterms:W3CDTF">2025-11-10T07:14:14Z</dcterms:modified>
</cp:coreProperties>
</file>