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1, 2025</w:t>
      </w:r>
    </w:p>
    <w:p>
      <w:pPr>
        <w:spacing w:after="0" w:line="20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ARRIVENT BIOPHARMA,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001-41929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86-3336099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27" w:right="339" w:bottom="1440" w:gutter="0" w:footer="0" w:header="0"/>
          <w:type w:val="continuous"/>
        </w:sectPr>
      </w:pPr>
    </w:p>
    <w:p>
      <w:pPr>
        <w:spacing w:after="0" w:line="3"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18 Campus Boulevard, Suite 100</w:t>
      </w:r>
    </w:p>
    <w:p>
      <w:pPr>
        <w:spacing w:after="0" w:line="3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Newtown Square, PA</w:t>
      </w:r>
    </w:p>
    <w:p>
      <w:pPr>
        <w:spacing w:after="0" w:line="9"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19073</w:t>
      </w:r>
    </w:p>
    <w:p>
      <w:pPr>
        <w:spacing w:after="0" w:line="3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727"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(628) 277-4836</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7"/>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AVBP</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 2025, ArriVent BioPharma, Inc. (the “Company”) entered into an underwriting agreement (the “Underwriting Agreement”) with Goldman Sachs &amp; Co. LLC, Citigroup Global Markets Inc., and Guggenheim Securities, LLC as representatives of the several underwriters named therein (the “Underwriters”), relating to the issuance and sale in an underwritten public offering (the “Offering”) by the Company of an aggregate of 2,482,692 shares (the “Firm Shares”) of the Company’s common stock, $0.0001 par value per share (the “Common Stock”), at a public offering price of $19.50 per Share (as defined below), and, in lieu of shares of Common Stock to certain investors, pre-funded warrants (the “Pre-Funded Warrants”) to purchase up to 1,363,469 shares of Common Stock at a public offering price of $19.4999 per Pre-Funded Warrant, which represents the per share public offering price for the Shares less the $0.0001 per share exercise price for each Pre-Funded Warrant. The gross proceeds to the Company from the Offering are expected to be approximately $75 million before deducting underwriting discounts and commissions and other offering expenses. Under the terms of the Underwriting Agreement, the Underwriters have an option, exercisable for 30 days, to purchase up to an additional 576,923 shares of Common Stock (the “Optional Shares” and, together with the Firm Shares, the “Shares”) at the public offering price less underwriting discounts and commissions. All of the securities of the Company in the Offering are being sold by the Company. The Offering is expected to close on or about July 3, 2025, subject to customary closing conditions.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and Pre-Funded Warrants in the Offering will be issued pursuant to the Company’s automatic shelf registration statement on Form S-3ASR (File No. 333-284661), which was filed with and automatically declared effective by the Securities and Exchange Commission (the “Commission”) on February 3, 2025. A prospectus and final prospectus supplement relating to the Offering (the “Final Prospectus Supplement”) will be filed with the Commission on July 2, 2025 pursuant to Rule 424(b) under the Securities Act of 1933, as amended (the “Securities 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arising under the Securities Act, other obligations of the parties and termination provisions. The representations, warranties and covenants contained in the Underwriting Agreement were made only for the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Underwriting Agreement is qualified in its entirety by reference to the Underwriting Agreement, which is attached as Exhibit 1.1 hereto and incorporated by reference herein.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A holder of Pre-Funded Warrants may not exercise the Pre-Funded Warrant if the holder, together with its affiliates, would beneficially own more than 4.99%, or, at the election of such holder upon issuance, 9.99%, of the number of shares of common stock outstanding or more than 4.99%, or, at the election of such holder upon issuance, 9.99%, of the combined voting power of the Company’s securities outstanding immediately after giving effect to such exercise. A holder of Pre-Funded Warrants may increase or decrease this percentage to any other percentage not exceeding 19.99%, in the case of an increase, upon 61 days’ prior notice to the Company. The foregoing description of the terms of the Pre-Funded Warrants is qualified in its entirety by reference to the form of Pre-Funded Warrant, which is attached as Exhibit 4.1 hereto and incorporated by reference herein.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legal opinion of Mintz, Levin, Cohn, Ferris, Glovsky and Popeo, P.C. relating to the validity of the issuance and sale of the Shares and shares of common stock issuable upon exercise of the Pre-Funded Warrants and the validity of the Pre-Funded Warrants offered in the Offering is attached as Exhibit 5.1 hereto.</w:t>
      </w:r>
    </w:p>
    <w:p>
      <w:pPr>
        <w:spacing w:after="0" w:line="17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2025, the Company issued a press release announcing the pricing of the Offering, a copy of which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9.01</w:t>
            </w:r>
          </w:p>
        </w:tc>
        <w:tc>
          <w:tcPr>
            <w:tcW w:w="1000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60" w:type="dxa"/>
            <w:vAlign w:val="bottom"/>
            <w:gridSpan w:val="4"/>
          </w:tcPr>
          <w:p>
            <w:pPr>
              <w:ind w:left="1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88"/>
              </w:rPr>
              <w:t>1.</w:t>
            </w:r>
            <w:r>
              <w:rPr>
                <w:rFonts w:ascii="Times New Roman" w:cs="Times New Roman" w:eastAsia="Times New Roman" w:hAnsi="Times New Roman"/>
                <w:sz w:val="18"/>
                <w:szCs w:val="18"/>
                <w:u w:val="single" w:color="auto"/>
                <w:color w:val="0000EE"/>
                <w:w w:val="88"/>
              </w:rPr>
              <w:t>1</w:t>
            </w: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top w:val="single" w:sz="8" w:color="auto"/>
            </w:tcBorders>
            <w:gridSpan w:val="6"/>
          </w:tcPr>
          <w:p>
            <w:pPr>
              <w:ind w:left="20"/>
              <w:spacing w:after="0" w:line="169" w:lineRule="exact"/>
              <w:rPr>
                <w:sz w:val="20"/>
                <w:szCs w:val="20"/>
                <w:color w:val="auto"/>
              </w:rPr>
            </w:pPr>
            <w:r>
              <w:rPr>
                <w:rFonts w:ascii="Times New Roman" w:cs="Times New Roman" w:eastAsia="Times New Roman" w:hAnsi="Times New Roman"/>
                <w:sz w:val="18"/>
                <w:szCs w:val="18"/>
                <w:color w:val="0000EE"/>
              </w:rPr>
              <w:t>Underwriting Agreement, dated July 1, 2025, by and between the Company and Goldman Sachs &amp; Co. LLC, Citigroup Global Markets</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Inc., and Guggenheim Securities, LLC.</w:t>
            </w:r>
          </w:p>
        </w:tc>
        <w:tc>
          <w:tcPr>
            <w:tcW w:w="7160" w:type="dxa"/>
            <w:vAlign w:val="bottom"/>
            <w:tcBorders>
              <w:top w:val="single" w:sz="8" w:color="0000EE"/>
            </w:tcBorders>
            <w:gridSpan w:val="4"/>
          </w:tcPr>
          <w:p>
            <w:pPr>
              <w:spacing w:after="0"/>
              <w:rPr>
                <w:sz w:val="17"/>
                <w:szCs w:val="17"/>
                <w:color w:val="auto"/>
              </w:rPr>
            </w:pPr>
          </w:p>
        </w:tc>
      </w:tr>
      <w:tr>
        <w:trPr>
          <w:trHeight w:val="41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Form of Pre-Funded Warrant.</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Opinion of Mintz, Levin, Cohn, Ferris, Glovsky and Popeo, P.C.</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gridSpan w:val="3"/>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Consent of Mintz, Levin, Cohn, Ferris, Glovsky and Popeo, P.C. (contained in Exhibit 5.1).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80" w:type="dxa"/>
            <w:vAlign w:val="bottom"/>
            <w:gridSpan w:val="4"/>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Press Release of ArriVent BioPharma, Inc., dated July 1, 2025, announcing the pricing of the underwritten public offering.</w:t>
            </w:r>
          </w:p>
        </w:tc>
      </w:tr>
      <w:tr>
        <w:trPr>
          <w:trHeight w:val="453"/>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Borders>
              <w:top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180" w:type="dxa"/>
            <w:vAlign w:val="bottom"/>
          </w:tcPr>
          <w:p>
            <w:pPr>
              <w:spacing w:after="0"/>
              <w:rPr>
                <w:sz w:val="24"/>
                <w:szCs w:val="24"/>
                <w:color w:val="auto"/>
              </w:rPr>
            </w:pPr>
          </w:p>
        </w:tc>
      </w:tr>
      <w:tr>
        <w:trPr>
          <w:trHeight w:val="67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Winston Kung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7"/>
          <w:szCs w:val="17"/>
          <w:b w:val="1"/>
          <w:bCs w:val="1"/>
          <w:color w:val="auto"/>
        </w:rPr>
        <w:t> Exhibit 1.1</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2,482,692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up to 1,363,469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40005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representatives (the “Representatives”)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named in Schedule I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10282-2198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Guggenheim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ArriVent BioPharma, Inc., a Delaware corporation (the “Company”), proposes, subject to the terms and conditions stated in this agreement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to issue and sell to the Underwriters named in Schedule I hereto (the “Underwriters”) (i) an aggregate of 2,482,692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$0.0001 per share (“Stock”), of the Company (the “Firm Shares”) and (ii) pre-funded warrants of the Company to purchase up to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1,363,469 shares of Stock (the “Pre-Funded Warrants”) in the form attached as Annex I hereto. The Firm Shares and the Pre-Funded Warrants to be sold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are collectively referred to as the “Firm Securities.” In addition, the Company has granted the Underwriters an option to purchase,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of the Underwriters, up to 576,923 additional shares (the “Optional Shares”) of Stock (the Firm Shares and the Optional Shares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elect to purchase pursuant to Section 2 hereof being collectively called the “Shares”). The Firm Securities and, if and to the extent such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exercised, the Optional Shares are collectively called the “Offered Securities.” As used herein, “Warrant Shares” means the shares of Stock issuable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the Pre-Funded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Company represents and warrants to, and agrees with, each of the Underwriters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(a)            An “automatic shelf registration statement” as defined under Rule 405 under the Securities Act of 1933, as amended (the “Act”), on Form S-3 (File No. 333-284661) in respect of the Offered Securities has been filed with the Securities and Exchange Commission (the “Commission”) not earlier than three years prior to the date hereof; such registration statement, and any post-effective amendment thereto, became effective on filing; and no stop order suspending the effectiveness of such registration statement or any part thereof has been issued and no proceeding for that purpose has been initiated or, to the Company’s knowledge, threatened by the Commission, and no notice of objection of the Commission to the use of such registration statement or any post-effective amendment thereto pursuant to Rule 401(g)(2) under the Act has been received by the Company (the base prospectus filed as part of such registration statement, in the form in which it has most recently been filed with the Commission on or prior to the date of this Agreement, is hereinafter called the “Basic Prospectus”; any preliminary prospectus (including any preliminary prospectus supplement) relating to the Offered Securities filed with the Commission pursuant to Rule 424(b) under the Act is hereinafter called a “Preliminary Prospectus”; the various parts of such registration statement, including all exhibits thereto but excluding Form T-1 and including any prospectus supplement relating to the Offered Securities that is filed with the Commission and deemed by virtue of Rule 430B to be part of such registration statement, each as amended at the time such part of the registration statement became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Offered Securities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under the Act,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Offered Securities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Offered Securities is hereinafter called an “Issuer Free Writing Prospectus”);  </w:t>
      </w: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 No order preventing or suspending the use of any Preliminary Prospectus or any Issuer Free Writing Prospectus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by the Commission, and (B) each Preliminary Prospectus, at the time of filing thereof, conformed in all material respects to the requirements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and the rules and regulations of the Commission thereunder, and did not contain an untrue statement of a material fact or omit to state a material fact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stated therein or necessary to make the statements therein, in the light of the circumstances under which they were made, not misleading;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representation and warranty shall not apply to any statements or omissions made in reliance upon and in conformity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 Information (as defined in Section 9(b)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For the purposes of this Agreement, the “Applicable Time” is 7:00 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statements or omissions made in an Issuer Free Writing Prospectus in reliance upon and in conformity with the Underwriter Information;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The documents incorporated by reference in the Pricing Prospectus and the Prospectus, when they became effective or were filed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Commission, as the case may be, conformed in all material respects to the requirements of the Act or the Exchange Act, as applicable,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and regulations of the Commission thereunder, and none of such documents contained an untrue statement of a material fact or omitted to state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fact required to be stated therein or necessary to make the statements therein not misleading; and any further documents so filed and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reference in the Pricing Prospectus and the Prospectus or any further amendment or supplement thereto, when such documents become effective or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the Commission, as the case may be, will conform in all material respects to the requirements of the Act or the Exchange Act, as applicable,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rules and regulations of the Commission thereunder and will not contain an untrue statement of a material fact or omit to state a material fact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stated therein or necessary to make the statements therein not misleading; provided, however, that this representation and warranty shall not apply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or omissions made in reliance upon and in conformity with the Underwriter Information; and no such or any other documents were filed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Commission since the Commission’s close of business on the business day immediately prior to the date of this Agreement and prior to the execution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except as set forth on Schedule II(b)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(e)            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any statements or omissions made in reliance upon and in conformity with the Underwriter Information;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Company operates under one legal entity, ArriVent BioPharma, Inc., without any subsidiary entities.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(g)            The Company has not, since the date of the latest audited financial statements included or incorporated by reference in the Pricing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(i) sustained any material loss or interference with its business from fire, explosion, flood or other calamity, whether or not covered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or from any labor dispute or court or governmental action, order or decree or (ii) entered into any transaction or agreement (whether or not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course of business) that is material to the Company or incurred any liability or obligation, direct or contingent, that is material to the Company,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otherwise than as set forth or contemplated in the Pricing Prospectus; and, since the respective dates as of which information is given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and the Pricing Prospectus, there has not been (x) any change in the capital stock (other than as a result of (i) the exercise, if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or the award, if any, of stock options or restricted stock in the ordinary course of business pursuant to the Company’s equity plans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the Pricing Prospectus and the Prospectus or (ii) the issuance, if any, of stock upon conversion of Company securities as described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Prospectus and the Prospectus) or long-term debt of the Company or (y) any Material Adverse Effect (as defined below); as used in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shall mean any material adverse change or effect, or any development involving a prospective material adverse change or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or affecting (i) the business, properties, general affairs, management, financial position, stockholders’ equity, condition (financial or otherwise), prospects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earnings or results of operations of the Company, except as set forth or contemplated in the Pricing Prospectus, or (ii) the ability of the Company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 its obligations under this Agreement, including the issuance and sale of the Offered Securities, or to consummate the transactions contemplated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Pricing Prospectus and the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(h)            The Company has good and marketable title in fee simple to all real property and good and marketable title to all personal property owned by them, in each case free and clear of all liens, encumbrances and defects except such as do not materially affect the value of such property and do not interfere with the use made and proposed to be made of such property by the Company; and any real property and buildings held under lease by the Company are held by it under valid, subsisting and enforceable leases with such exceptions as are not material and do not materially interfere with the use made and proposed to be made of such property and buildings by the Company;  </w:t>
      </w:r>
    </w:p>
    <w:p>
      <w:pPr>
        <w:spacing w:after="0" w:line="20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            The Company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(j)            The Company has an authorized capitalization as set forth in the Pricing Prospectus and all of the issued shares of capital stock of the Company have been duly and validly authorized and issued and are fully paid and non-assessable and conform, in all material respects, to the description of the Stock contained in the Pricing Disclosure Package and Prospectus;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(k)            The Shares to be issued and sold by the Company to the Underwriters hereunder have been duly and validly authorized and, when issued and delivered against payment therefor as provided herein, will be duly and validly issued and fully paid and non-assessable and will conform to the description of the Stock contained in the Pricing Disclosure Package and the Prospectus; and the issuance of the Shares is not subject to any preemptive or similar rights that have not been complied with or otherwise effectively waived. The Pre-Funded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validly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or other similar rights to subscribe for or purchase the Warrant Shares;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(l)            The issue and sale of the Offered Securities and the Warrant Shares and the compliance by the Company with this Agreement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consummation of the transactions contemplated in this Agreement, the Pre-Funded Warrants and the Pricing Prospectus will not conflict with or result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breach or violation of any of the terms or provisions of, or constitute a default under, (A) any indenture, mortgage, deed of trust, loan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agreement or instrument to which the Company is a party or by which the Company is bound or to which any of the property or assets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subject, except, in the case of this clause (A) for such defaults, breaches, or violations that would not, individually or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result in a Material Adverse Effect, (B) the certificate of incorporation or by-laws (or other applicable organizational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or (C) any statute or any judgment, order, rule or regulation of any court or governmental agency or body having jurisdiction over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of its properties except, in the case of this clause (C) for such violations that would not, individually or in the aggregate,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result in a Material Adverse Effect; and no consent, approval, authorization, order, registration or qualification of or with any such court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agency or body is required for the issue and sale of the Offered Securities and the Warrant Shares or the consummation by the Company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contemplated by this Agreement and the Pre-Funded Warrants, except such as have been obtained under the Act and for such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approvals, authorizations, registrations or qualifications as may be required under state securities or Blue Sky laws in connection with the purchase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of the Offered Securities by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(m)            The Company is not (i) in violation of its certificate of incorporation or by-laws (or other applicable organizational document), (ii) in violation of any statute or any judgment, order, rule or regulation of any court or governmental agency or body having jurisdiction over the Company or any of its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have a Material Adverse Effect;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The statements set forth in the Pricing Prospectus and Prospectus under the captions “Description of Capital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Pre-Funded Warrants”, insofar as they purport to constitute a summary of the terms of the Stock and Pre-Funded Warrants, and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caption “Underwriting”, insofar as they purport to describe the provisions of the laws and documents referred to therein, are accurate, complete and fair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material respects;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Other than as set forth in the Pricing Prospectus, there are no legal, governmental or regulatory investigations, actions, demands,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suits, arbitrations, inquiries or proceedings (“Actions”) pending to which the Company or, to the Company’s knowledge, any officer or director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party or of which any property of the Company or, to the Company’s knowledge, any officer or director of the Company, is the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if determined adversely to the Company (or such officer or director), would individually or in the aggregate have a Material Adverse Effect;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knowledge, no such proceedings are threatened or contemplated by governmental authorities or others; there are no current or pending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that are required under the Act to be described in the Registration Statement or the Pricing Prospectus that are not so described therein; and there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 statutes, regulations or contracts or other documents that are required under the Act to be filed as exhibits to the Registration Statement or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Registration Statement, the Pricing Prospectus that are not so filed as exhibits to the Registration Statement or described in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and the Pricing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The Company is not and, after giving effect to the offering and sale of the Offered Securities and the application of the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will not be an “investment company”, as such term is defined in the Investment Company Act of 1940, as amended (the “Investment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(q)            (A) (i) At the time of filing the Registration Statement, (ii) at the time of the most recent amendment thereto for the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Offered Securities in reliance on the exemption of Rule 163 under the Act, the Company was a “well-known seasoned issuer” as defined in Rule 405 under the Act; and (B) at the time of filing the Registration Statement and any post-effective amendment thereto, at the earliest time thereafter that the Company or any offering participant made a bona fide offer (within the meaning of Rule 164(h)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under the Act) of the Offered Securities, and at the date hereof, the Company was not and is not an "ineligible issuer," as defined under Rule 405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(r)            KPMG LLP and PricewaterhouseCoopers LLP, who have certified certain financial statements of the Company, are each independent public accountants as required by the Act and the rules and regulations of the Commission thereunder;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The Company maintains a system of internal control over financial reporting (as such term is defined in Rule 13a-15(f)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that (i) complies with the requirements of the Exchange Act, (ii) has been designed by the Company’s principal executive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or under their supervision, to provide reasonable assurance regarding the reliability of financial reporting and the preparation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for external purposes in accordance with generally accepted accounting principles and (iii) is sufficient to provide reasonable assurance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 transactions are executed in accordance with management’s general or specific authorization, (B) transactions are recorded as necessary to permit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preparation of financial statements in conformity with generally accepted accounting principles and to maintain accountability for assets, (C) access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is permitted only in accordance with management’s general or specific authorization and (D) the recorded accountability for assets is compared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existing assets at reasonable intervals and appropriate action is taken with respect to any differences; and the Company’s internal control over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is effective and the Company is not aware of any material weaknesses in its internal control over financial reporting (it being understood that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shall not require the Company to comply with Section 404 of the Sarbanes-Oxley Act of 2002 as of an earlier date than it would otherwise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so comply under applicable law)</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            Since the date of the latest audited financial statements included or incorporated by reference in the Pricing Prospectus, there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no change in the Company’s internal control over financial reporting that has materially and adversely affected, or is reasonably likely to materially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adversely affect, the Company’s internal control over financial 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The Company maintains disclosure controls and procedures (as such term is defined in Rule 13a-15(e) under the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comply with the requirements of the Exchange Act; such disclosure controls and procedures have been designed to ensure that material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Company is made known to the Company’s principal executive officer and principal financial officer by others within those entities;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disclosure controls and procedures are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This Agreement has been duly authorized, executed and delivered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            Neither the Company nor any director, officer or employee of the Company nor, to the knowledge of the Company, any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or other person associated with or acting on behalf of the Company has (i) made, offered, promised or authorized any unlawful contribution, gift,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entertainment or other unlawful expense (or taken any act in furtherance thereof); (ii) made, offered, promised or authorized any direct or indirect unlawful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or (iii) violated or is in violation of any provision of the Foreign Corrupt Practices Act of 1977, as amended, or the rules and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the Bribery Act 2010 of the United Kingdom or any other applicable anti-corruption, anti-bribery or related law, statute or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“Anti-Corruption Laws”); the Company has conducted its businesses in compliance with Anti-Corruption Laws and has instituted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maintained and will continue to maintain policies and procedures reasonably designed to promote and achieve compliance with such laws and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contained herein; the Company will not use, directly or indirectly, the proceeds of the offering in furtherance of an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promise to pay, or authorization of the payment or giving of money, or anything else of value, to any person in violation of Anti-Corruption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(x)            The operations of the Company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conducts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Company with respect to the Money Laundering Laws is pending or, to the knowledge of the Company, threatened;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(y)            Neither the Company nor any director, officer or employee of the Company nor, to the knowledge of the Company, any agent, affiliate or other person associated with or acting on behalf of the Company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(ii) located, organized, or resident in a country or territory that is the subject or target of Sanctions (a “Sanctioned Jurisdiction”), and the Company will not directly or indirectly use the proceeds of the offering of the Offered Securities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the Company is not engaged in, or has, at any time in the past ten years, engaged in, any dealings or transactions with or involving any individual or entity that was or is, as applicable, at the time of such dealing or transaction, the subject or target of Sanctions or with any Sanctioned Jurisdiction; the Company has instituted, and maintains, policies and procedures designed to promote and achieve continued compliance with Sanctions;  </w:t>
      </w:r>
    </w:p>
    <w:p>
      <w:pPr>
        <w:spacing w:after="0" w:line="21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(z)            The financial statements included or incorporated by reference in the Registration Statement, the Pricing Prospectus and the Prospectus, together with the related schedules and notes, present fairly, in all material respects, the financial position of the Company at the dates indicated and the statement of operations, stockholders’ equity and cash flows of the Company for the periods specified; said financial statements have been prepared in conformity with U.S. generally accepted accounting principles (“GAAP”) applied on a consistent basis throughout the periods involved. The supporting schedules, if any, present fairly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or incorporated by reference therein, no historical or pro forma financial statements or supporting schedules are required to be included or incorporated by reference in the Registration Statement, the Pricing Prospectus or the Prospectus under the Act or the rules and regulations promulgated thereunder;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(aa)       To the Company’s knowledge, the Company owns or possesses valid and enforceable licenses to, all patents, patent applications, copyrights, know how, trademarks, service marks, trade names or other intellectual property (collectively, “Intellectual Property”) necessary or material to conduct the business as currently conducted or proposed to be conducted as described in the Registration Statement, the Pricing Prospectus and the Prospectus (collectively, the “Disclosure Documents”) (“Company Intellectual Property”). To the Company’s knowledge, except as disclosed in the Disclosure Documents, the conduct of its businesses in the manner described in the Registration Statement, the Time of Sale Prospectus, and the Prospectus does not and will not infringe, misappropriate, dilute or otherwise violate any Intellectual Property rights of third parties except any such infringement or misappropriation as would not, individually or in the aggregate, result in a Material Adverse Effect. There is no pending or threatened action, suit, proceeding or claim by others (A) challenging the Company’s rights in or to any Company Intellectual Property or (B) challenging the validity, enforceability or scope of any Company Intellectual Property, except in each case (A) and (B), any such action, suit, proceeding or claim would not, individually or in the aggregate, result in a Material Adverse Effect. To the Company’s knowledge, the Company Intellectual Property has not been adjudged by a court of competent jurisdiction to be invalid or unenforceable, in whole or in part, and the Company is unaware of any facts which would form a reasonable basis for any such adjudication. The Company Intellectual Property has been duly maintained and, is subsisting, and to the Company’s knowledge, is valid and enforceable (other than pending applications for registration) and free of material defects in connection with the filing and prosecution thereof. Except as disclosed in the Disclosure Documents: (1) the Company is the sole owner of the Company Intellectual Property owned by it and has the valid and enforceable right to use such Intellectual Property without the obligation to obtain consent to sublicense and without a duty of accounting to co-owner, as applicable; and (2) no government funding, facilities or resources of a university, college, other educational institution or research center was used in the development of any Intellectual Property that is owned or purported to be owned by the Company that would confer any governmental agency or body, university, college, other educational institution or research center any claim or right of ownership to any such Intellectual Property. Except as disclosed in the Disclosure Documents, the Company is not obligated to pay a material royalty, grant a license or option, or provide other material consideration to any third party in connection with the Company Intellectual Property. To the Company’s knowledge: a) there are no third parties who have rights to any Company Intellectual Property, except for customary reversionary rights of third-party licensors with respect to Company Intellectual Property that is disclosed in the Disclosure Documents as licensed to the Company; and b) there is no infringement, misappropriation, dilution, or other violation by third parties of any Company Intellectual Property. To the Company’s knowledge, the Company has complied with the terms of each agreement pursuant to which Company Intellectual Property has been licensed to the Company, and all such agreements are in full force and effect. The Company has taken all reasonable steps necessary to secure assignments to its title, rights and interests in and to the Company Intellectual Property owned by the Company from all employees, consultants, agents and contractors engaged in the development of the Intellectual Property on behalf of the Company, including requiring all such employees, consultants, agents and contractors to execute appropriate invention assignment agreements to assign all of their right, title and interest in and to such Intellectual Property to the Company, and to the Company’s knowledge, no such agreement has been breached or violated, except as would not, individually or in the aggregate, result in a Material Adverse Effect. The Company has taken all reasonable and customary steps to protect, maintain and safeguard the Company Intellectual Property, including by implementation of physical and cyber security measures and the execution of appropriate employment contracts, patent disclosure agreements, non-competition agreements, non-solicitation agreements, nondisclosure agreements, and confidentiality agreements with their employees, and to the Company’s knowledge no employee of the Company is in or has been in violation of any term of, such agreements or any restrictive covenant to or with a former employer where the basis of such violation relates to such employee’s employment with the Company, except as would not, individually or in the aggregate, result in a Material Adverse Effect. To the Company’s knowledge, the Company and the parties prosecuting such applications have complied or are in the process of complying with their duty of candor and disclosure to the U.S. Patent and Trademark Office (the “USPTO”), and all such requirements in the relevant foreign patent authority having similar requirements as the case may be, in connection with such patents and patent applications for which it has filing, prosecution and/or maintenance responsibilities. To the Company’s knowledge: a) there is no patent or patent application that contains claims that would subject the Company Intellectual Property to a proceeding under 35 U.S.C. § 135 and 37 C.F.R. 41.100 to 41.208; and b) there is no prior art or public or commercial activity or other facts required to be disclosed to the USPTO and any relevant foreign patent authority that were not (or are not in the process of being) disclosed and which would preclude the grant of a patent in connection with any such application or would reasonably be expected to form the basis of a finding of invalidity or unenforceability with respect to any patents that have been issued with respect to such applications. The Company expects the product candidates described in the Disclosure Documents as under development by the Company to fall within the scope of the claims of one or more patents or patent applications owned or licensed by the Company, as described in the Disclosure Documents;  </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(bb)     (i) No labor disturbance by or dispute with current or former employees or officers of the Company exists or, to the Company’s knowledge, is contemplated or threatened, and (ii) the Company is not aware of any existing or imminent labor disturbance by, or dispute with, the employees of any of the Company’s principal suppliers, manufacturers, customers or contractors that would, in each case, singly or in the aggregate, reasonably be expected to have a Material Adverse Effect on the Company. The Company is not a party to any collective bargaining agreement;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(cc)     Except as would not reasonably be expected to have a Material Adverse Effect (i) each employee benefit plan, within the meaning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Section 3(3) of the Employee Retirement Income Security Act of 1974, as amended (“ERISA”), whether or not subject to ERISA, for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member of its “Controlled Group” (defined as (A) any organization which is a member of a controlled group of corporations or considered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common control and treated as one employer with the Company within the meaning of Section 414(b),(c),(m) or (o) of the Internal Revenue Code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1986, as amended (the “Code”) or (B) any entity, whether or not incorporated, that is under common control with the Company within the meaning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4001(a)(14) of ERISA)) would have any actual or contingent liability (each, a “Plan”) has been maintained in compliance with its terms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requirements of any applicable statutes, orders, rules and regulations, including but not limited to ERISA and the Code; (ii) no prohibited transaction, within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meaning of Section 406 of ERISA or Section 4975 of the Code, has occurred with respect to any Plan, excluding transactions effected pursuant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statutory or administrative exemption; and (iii) neither the Company nor any member of the Controlled Group has incurred, nor reasonably expects to incur,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liability under Title IV of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(dd)     The Company’s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has implemented and maintained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its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(ee)     No forward-looking statement (within the meaning of Section 27A of the Act and Section 21E of the Exchange Act) included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in any of the Registration Statement, the Pricing Prospectus or the Prospectus has been made or reaffirmed without a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or has been disclosed other than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(ff)      Nothing has come to the attention of the Company that has caused the Company to believe that the statistical and market-related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included in each of the Registration Statement, the Pricing Prospectus and the Prospectus is not based on or derived from sources that are reliable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accurate in all material respects;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(gg)    There is and has been no failure on the part of the 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  </w:t>
      </w:r>
    </w:p>
    <w:p>
      <w:pPr>
        <w:spacing w:after="0" w:line="204"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(hh)    The Company has not taken nor will it take, directly or indirectly, any action designed to or that could reasonably be expected to cause or result in the stabilization or manipulation of the price of any security of the Company in connection with the offering of the Offered Securities;  </w:t>
      </w:r>
    </w:p>
    <w:p>
      <w:pPr>
        <w:spacing w:after="0" w:line="20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(ii)         The Company has such permits, licenses, approvals, consents, franchises, certificates of need and other approvals or authorizations of governmental or regulatory authorities (“Permits”) as are necessary under applicable law to own its properties and conduct its current business in the manner described in the Registration Statement, the Pricing Prospectus and the Prospectus, except for any of the foregoing that would not, individually or in the aggregate, have a Material Adverse Effect. The Company has not received written notice of any proceedings related to the revocation or modification of any such Permits that, individually or in the aggregate, if the subject of an unfavorable decision, ruling or finding, would have a Material Adverse Effect;  </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(jj)       The Company is insured against such losses and risks and in such amounts as are prudent and customary in the businesses in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engaged and as required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(kk)     From the time of the filing of the Registration Statement relating to the Offered Securities with the Commission through the date hereof, the Company has been and is an “emerging growth company” as defined in Section 2(a)(19) of the Act (an “Emerging Growth Company”);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(ll)       The Company (i) has operated and currently operates its business in compliance in all material respects with all applicable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Care Laws (as defined below) and any other applicable requirements of the Food and Drug Administration (“FDA”), the Department of Health and Human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(“HHS”) and any comparable state, local or foreign regulatory authority to which its business and operations are subject (collectively,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Authorities”); (ii) has not received any FDA Form-483, written notice of adverse finding, warning letter, untitled letter or other written notice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correspondence from any court or arbitrator or governmental or Regulatory Authority alleging or asserting material non-compliance with (A)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Health Care Laws or (B) or any licenses, certificates, approvals, clearances, exemptions, registrations, authorizations, certificates, permits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supplements or amendments thereto required pursuant any such applicable Health Care Laws (“Regulatory Authorizations”); (iii) possesses such valid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Regulatory Authorizations required to conduct its business as currently conducted, and is not in violation, in any material respect, of any term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Regulatory Authorizations; (iv) has not received written notice of any claim, action, suit, proceeding, hearing, enforcement, investigation,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arbitration or other action from any governmental authority or Regulatory Authority or any other third party alleging that any product, operation or activity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in material violation of any applicable Health Care Laws or Regulatory Authorizations and has no knowledge that any Regulatory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 or any other third party has threatened any such claim, litigation, arbitration, action, suit, investigation or proceeding; (v) has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written notice that any Regulatory Authority has taken, is taking or intends to take action to limit, suspend, modify or revoke any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Authorizations and has no knowledge that any Applicable Regulatory Authority is threatening such action; (vi) has no knowledge of any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has occurred which allows, or after notice or lapse of time would allow, revocation or termination thereof or results in any other material impairment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of the holder of any material Regulatory Authorization; (vii) has filed, obtained, maintained or submitted all material reports, documents, forms,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 applications, records, claims, submissions and supplements or amendments as required by any applicable Health Care Laws or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Authorizations and all such reports, documents, forms, notices, applications, records, claims, submissions and supplements or amendments were materially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and correct on the date filed (or were materially corrected or supplemented by a subsequent submission); (viii) is not a party to or have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ongoing reporting obligations pursuant to any corporate integrity agreements, deferred or non-prosecution agreements, monitoring agreements,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decrees, settlement orders, plans of correction or similar agreements with or imposed by any applicable Regulatory Authority; and (ix) along with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officers and directors, and, to the Company’s knowledge, agents, has not been excluded, suspended or debarred from participation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health care program or human clinical research or, to the knowledge of the Company, is subject to a governmental inquiry, investigation,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or other similar action that could reasonably be expected to result in debarment, suspension, or exclusion. The term “Health Care Laws”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Health Care Laws related to the research, investigation, development, production, testing, packaging, labeling, distribution, storage, shipping, transport,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advertising, promotion, sale, export, import, use, handling, control, safety, efficacy, reliability or manufacturing of pharmaceutical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without limitation, Title XVIII of the Social Security Act, 42 U.S.C. §§ 1395-1395hhh (the Medicare statute), Title XIX of the Social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42 U.S.C. §§ 1396-1396v (the Medicaid statute), and any other law pertaining to or governing a government healthcare program; the Federal Anti-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Kickback Statute, 42 U.S.C. § 1320a-7b(b); the civil False Claims Act, 31 U.S.C. §§ 3729 et seq.; the criminal false statements law, 42 U.S.C. 1320a-7b(a);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criminal laws relating to health care fraud and abuse, including but not limited to 18 U.S.C. Sections 286, 287, 1035, 1347 and 1349 and the health 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fraud criminal provisions under the Health Insurance Portability and Accountability Act of 1996, 42 U.S.C. §§ 1320d et seq., (“HIPAA”); the Civil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Monetary Penalties Law, 42 U.S.C. §§ 1320a-7a and 1320a-7b; the Physician Payments Sunshine Act, 42 U.S.C. § 1320a-7h; the Exclusion Laws, 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 1320a-7; HIPAA, as amended by the Health Information Technology for Economic and Clinical Health Act, 42 U.S.C. §§ 17921 et seq.;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Food, Drug, and Cosmetic Act, 21 U.S.C. §§ 301 et seq.; the regulations promulgated pursuant to such laws; and any comparable foreign,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and local laws and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(mm)       All clinical trials and pre-clinical studies and tests conducted by or on behalf of or sponsored by the Company, or in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participated with respect to its product candidates, including without limitation any such studies, tests and trials that are described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the Pricing Prospectus and the Prospectus, or the results of which are referred to in the Registration Statement, the Pricing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and the Prospectus, as applicable, were, and if still pending are, being conducted in all material respects in accordance with all applicable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Care Laws, Regulatory Authorizations and any applicable rules, regulations, protocols and policies to which such studies, tests or trials are subject.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descriptions of the results from such studies, tests and trials contained in the Registration Statement, Pricing Prospectus and the Prospectus are accurate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material respects, and the Company has no knowledge of any other studies, tests or trials not described in the Registration Statement, the Pricing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and the Prospectus, the results of which are inconsistent with or reasonably call into question the results described or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the Pricing Prospectus and the Prospectus. The Company has not received any written notices, correspondence or other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from any Regulatory Authority, institutional review board or other entity having authority over the conduct of such studies, tests, or trials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requiring or threatening the termination, material modification or suspension of such studies, tests or trials, other than ordinary course communications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modifications in connection with the design and implementation of such studies, tests or trials, and, to the Company’s knowledge, there are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grounds for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2.            Subject to the terms and conditions herein set forth, (a) the Company agrees to issue and sell to each of the Underwriters, and each of the Underwriters agrees, severally and not jointly, to purchase from the Company, at a purchase price per Firm Share of $18.33 and a purchase price per Pre-Funded Warrant of $18.3299, the number of Firm Shares and Pre-Funded Warrants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Firm Share set forth in clause (a) of this Section 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  </w:t>
      </w:r>
    </w:p>
    <w:p>
      <w:pPr>
        <w:spacing w:after="0" w:line="21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Company hereby grants to the Underwriters the right to purchase at their election up to 576,923 Optional Shares, at the purchase price per Firm Share set forth in the paragraph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(the “Option Period”),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one or later than ten business days after the date of such notice.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3.            Upon the authorization by you of the release of the Firm Securities, the several Underwriters propose to offer the Firm Securities for sale upon the terms and conditions set forth in the Pricing Disclosure Package and the Prospectus.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          (a)       The Shares to be purchased by each Underwriter hereunder, in definitive or book-entry form, and in such authorized denominations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in such names as the Representatives may request upon at least twenty-four hours’ prior notice to the Company shall be delivered by or on behalf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to the Representatives, through the facilities of the Depository Trust Company (“DTC”), for the account of such Underwriter,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by or on behalf of such Underwriter of the purchase price therefor by wire transfer of Federal (same-day) funds to the account specified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the Representatives at least twenty-four hours in advance. The Company will cause the certificates, if any, representing the Shares to be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for checking and packaging at least twenty-four hours prior to the Time of Delivery (as defined below) with respect thereto at the office of DTC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designated custodian (the “Designated Office”). The time and date of such delivery and payment shall be, with respect to the Firm Securities, 9:30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 New York City time, on July 3, 2025 or such other time and date as the Representatives and the Company may agree upon in writing, and,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Optional Shares, 9:30 a.m., New York time, on the date specified by the Representatives in the written notice given by the Representatives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election to purchase such Optional Shares, or such other time and date as the Representatives and the Company may agree upon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Such time and date for delivery of the Firm Securities is herein called the “First Time of Delivery”, such time and date for delivery of the Optional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if not the First Time of Delivery, is herein called the “Second Time of Delivery”, and each such time and date for delivery is herein called a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Delivery”.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(b)            Notwithstanding the foregoing, the Company and the Representatives shall instruct purchasers of the Pre-Funded Warrants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to make payment for the Pre-Funded Warrants on the First Time of Delivery to the Representatives by wire transfer in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funds to the account specified by the Representatives at a purchase price of $19.4999 per Pre-Funded Warrant, and the Company shall deliver,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cause to be delivered, the Pre-Funded Warrants to such purchasers at the First Time of Delivery, in definitive form and registered in such names and in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 as the Representatives shall request in writing before the First Time of Delivery, against such payment, in lieu of the Company’s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deliver such Pre-Funded Warrants to the Underwriters; provided, that, upon receipt by the Representatives of payment for the Pre-Funded Warrants,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shall promptly (but in no event later than the First Time of Delivery), pay $18.3299 per such Pre-Funded Warrant to the Company by wire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in immediately available funds to the account specified by the Company. In the event that the purchasers of the Pre-Funded Warrants fail to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to the Representatives for all or part of the Pre-Funded Warrants at the First Time of Delivery, the Representatives may elect, by written notice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to purchase additional shares of Stock in lieu of all or a portion of such Pre-Funded Warrants, to be delivered to the Underwriters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at the price per Share listed in Section 2 at the applicable Time of Delivery in the manner contemplated herein in connection with the 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purchase of Shares. The Pre-Funded Warrants will be made available for inspection by the Representatives on the business day prior to the First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Delivery.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documents to be delivered at each Time of Delivery by or on behalf of the parties hereto pursuant to Section 8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cross receipt for the Offered Securities and any additional documents requested by the Underwriters pursuant to Section 8(l) hereof,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at the offices of Latham &amp; Watkins LLP, 1271 Avenue of the Americas, New York, NY 10020 (the “Closing Location”), and the Offered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will be delivered at the Designated Office, all at such Time of Delivery. A meeting will be held at the Closing Location at 3:00 p.m.,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time, on the New York Business Day next preceding such Time of Delivery, at which meeting the final drafts of the documents to be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preceding sentence will be available for review by the parties hereto. For the purposes of this Section 4, “New York Business Day”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 each Monday, Tuesday, Wednesday, Thursday and Friday which is not a day on which banking institutions in New York City are generally authorized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obligated by law or executive order to close.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The Company agrees with each of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To prepare the Prospectus in a form approved by you and to file such Prospectus pursuant to Rule 424(b) under the Act prior to the earlier of (i) the First Time of Delivery and (ii) the Commission’s close of business on the second business day following the execution and delivery of this Agreement, or, if applicable, such earlier time as may be required under the Act;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other material required to be filed by the Company with the Commission pursuant to Rule 433(d) under the Act;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Offered Securities; to advise you, promptly after it receives notice thereof, of the issuance by the Commission of any stop order or of any order preventing or suspending the use of any Preliminary Prospectus or other prospectus in respect of the Offered Securities, of any notice of objection of the Commission to the use of the Registration Statement or any post-effective amendment thereto pursuant to Rule 401(g)(2) under the Act, of the suspension of the qualification of the Offered Securities for offering or sale in any jurisdiction, of the initiation or threatening of any proceeding for any such purpose, or of any request by the Commission for the amending or supplementing of the Registration Statement or the Prospectus or for additional information; in the event of the issuance of any stop order or of any order preventing or suspending the use of any Preliminary Prospectus or other prospectus or suspending any such qualification, to promptly use its best efforts to obtain the withdrawal of such order; and in the event of any such issuance of a notice of objection, promptly to take such steps including, without limitation, amending the Registration Statement or filing a new registration statement, at its own expense, as may be necessary to permit offers and sales of the Offered Securities by the Underwriters (references herein to the Registration Statement shall include any such amendment or new registration statement);  </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If required by Rule 430B(h) under the Act, to prepare a form of prospectus in a form approved by you and to file such form of prospectus pursuant to Rule 424(b) under the Act not later than may be required by Rule 424(b) under the Act; and to make no further amendment or supplement to such form of prospectus which shall be disapproved by you promptly after reasonable notice thereof;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If by the third anniversary (the “Renewal Deadline”) of the initial effective date of the Registration Statement, any of the Offered Securities remain unsold by the Underwriters, the Company will file, if it has not already done so and is eligible to do so, a new automatic shelf registration statement relating to the Offered Securities, in a form satisfactory to you. If at the Renewal Deadline the Company is no longer eligible to file an automatic shelf registration statement, the Company will, if it has not already done so, file a new shelf registration statement relating to the Offered Securities, in a form satisfactory to you and will use its best efforts to cause such registration statement to be declared effective within 180 days after the Renewal Deadline. The Company will take all other action necessary or appropriate to permit the public offering and sale of the Offered Securities to continue as contemplated in the expired registration statement relating to the Offered Securities. References herein to the Registration Statement shall include such new automatic shelf registration statement or such new shelf registration statement, as the case may be;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Promptly from time to time to take such action as you may reasonably request to qualify the Offered Securities for offering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under the securities laws of such jurisdictions as you may request and to comply with such laws so as to permit the continuance of sales and dealings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therein in such jurisdictions for as long as may be necessary to complete the distribution of the Offered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therewith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not be required to qualify as a foreign corporation (where not otherwise required) or to file a general consent to service of process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(where not otherwise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Prior to 10:00 a.m., New York City time, on the New York Business Day next succeeding the date of this Agreement and from time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 to furnish the Underwriters with written and electronic copies of the Prospectus in New York City in such quantities as you may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and, if the delivery of a prospectus (or in lieu thereof, the notice referred to in Rule 173(a) under the Act) is required at any time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of nine months after the time of issue of the Prospectus in connection with the offering or sale of the Offered Securities and if at such time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shall have occurred as a result of which the Prospectus as then amended or supplemented would include an untrue statement of a material fact or omit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state any material fact necessary in order to make the statements therein, in the light of the circumstances under which they were made when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(or in lieu thereof, the notice referred to in Rule 173(a) under the Act) is delivered, not misleading, or, if for any other reason it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during such same period to amend or supplement the Prospectus or to file under the Exchange Act any document incorporated by reference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in order to comply with the Act or the Exchange Act, to notify you and upon your request to file such document and to prepare and furnish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charge to each Underwriter and to any dealer in securities as many written and electronic copies as you may from time to time reasonably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amended Prospectus or a supplement to the Prospectus which will correct such statement or omission or effect such compliance; and in case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 is required to deliver a prospectus (or in lieu thereof, the notice referred to in Rule 173(a) under the Act) in connection with sales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Offered Securities at any time nine months or more after the time of issue of the Prospectus, upon your request but at the expense of such Underwriter,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prepare and deliver to such Underwriter as many written and electronic copies as you may request of an amended or supplemented Prospectus complying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Section 10(a)(3) of the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(f)            To make generally available to its stockholders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(which need not be audited) complying with Section 11(a) of the Act and the rules and regulations of the Commission thereunder (including, at the option of the Company, Rule 158);  </w:t>
      </w:r>
    </w:p>
    <w:p>
      <w:pPr>
        <w:spacing w:after="0" w:line="20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(g)       (1)       During the period beginning from the date hereof and continuing to and including the date 90 days after the date of the 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and Pre-Funded Warrants,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Representatives’ prior written consent; provided, however, that the foregoing sentence shall not apply to (A) the Shares and Pre-Funded Warrants to be sold hereunder, (B) any shares of Stock issued by the Company upon the exercise of an option or warrant or the conversion of a security outstanding on the date hereof and referred to in the Registration Statement, the Pricing Prospectus and the Prospectus, (C) any shares of Stock issued or options to purchase Stock granted pursuant to employee benefit or equity incentive plans of the Company referred to in the Registration Statement, the Pricing Prospectus and the Prospectus, (D) any shares of Stock issued pursuant to any non-employee director stock plan or dividend reinvestment plan referred to in the Registration Statement, the Pricing Prospectus and the Prospectus, provided that the recipients thereof have provided to the Representatives a signed lock-up letter in substantially the form attached as Annex II hereto, (E) the filing by the Company of a registration statement on Form S-8 or any successor form thereto with respect to the registration of securities to be offered under any employee benefit or equity incentive plans of the Company referred to in the Registration Statement, the Pricing Prospectus and the Prospectus, (F) any shares of Stock issued following the expiration of the Option Period pursuant to the Open Market Sales</w:t>
      </w:r>
    </w:p>
    <w:p>
      <w:pPr>
        <w:spacing w:after="0" w:line="190" w:lineRule="auto"/>
        <w:rPr>
          <w:sz w:val="20"/>
          <w:szCs w:val="20"/>
          <w:color w:val="auto"/>
        </w:rPr>
      </w:pPr>
      <w:r>
        <w:rPr>
          <w:rFonts w:ascii="Times New Roman" w:cs="Times New Roman" w:eastAsia="Times New Roman" w:hAnsi="Times New Roman"/>
          <w:sz w:val="18"/>
          <w:szCs w:val="18"/>
          <w:color w:val="auto"/>
        </w:rPr>
        <w:t>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dated February 3, 2025 between the Company and Jefferies LLC, or (G)  shares of Stock or other securities issued in connection with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that includes a commercial relationship (including strategic alliances, commercial lending relationships, joint ventures, acquisitions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licenses), provided that (i) the aggregate number of shares issued pursuant to this clause (G) (on an as-converted or as-exercised basis,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exceed five percent (5%) of the total number of outstanding shares of Stock immediately following the issuance and sale of the Offered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and (ii) the recipient of any such shares of Stock or securities issued pursuant to this clause (G) during such period shall enter into an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in the form of Annex II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(h)            To pay the required Commission filing fees relating to the Offered Securities within the time required by Rule 456(b)(1) under the Act without regard to the proviso therein and otherwise in accordance with Rules 456(b) and 457(r) under the Act;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To use the net proceeds received by it from the sale of the Offered Securities pursuant to this Agreement in the manner specified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Pricing Prospectus under the caption “Use of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To use its best efforts to list for quotation the Shares and the Warrant Shares on the Nasdaq Global Market (“Nasdaq”);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Upon reasonable request of any Underwriter, to furnish, or cause to be furnished, to such Underwriter an electronic version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trademarks, servicemarks and corporate logo for use on the website, if any, operated by such Underwriter for the purpose of facilitating the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line offering of the Offered Securities (the “License”);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License shall be used solely for the purpose described above, is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any fee and may not be assigned or transferred;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(o)          To promptly notify you if the Company ceases to be an Emerging Growth Company at any time prior to the later of (i) completion of the distribution of the Offered Securities within the meaning of the Act and (ii) the last Time of Delivery; and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(p)          The Company shall, at all times while any Pre-Funded Warrants are outstanding, reserve and keep available out of the aggregate of its authorized but unissued and otherwise unreserved Stock, solely for the purpose of enabling it to issue Warrant Shares upon exercise of such Pre-Funded Warrants, the number of Warrant Shares that are initially issuable and deliverable upon the exercise of the then-outstanding Pre-Funded Warrants.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6.             (a)         The Company represents and agrees that, without the prior consent of the Representatives, it has not made and will not make any offer relating to the Offered Securities that would constitute a “free writing prospectus” as defined in Rule 405 under the Act; each Underwriter represents and agrees that, without the prior consent of the Company and the Representatives, it has not made and will not make any offer relating to the Offered Securities that would constitute a free writing prospectus required to be filed with the Commission; any such free writing prospectus the use of which has been consented to by the Company and the Representatives is listed on Schedule II(a) or Schedule II(c) hereto;  </w:t>
      </w:r>
    </w:p>
    <w:p>
      <w:pPr>
        <w:spacing w:after="0" w:line="205"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          The Company has complied and will comply with the requirements of Rule 433 under the Act applicable to any Issuer Free Writing Prospectus, including timely filing with the Commission or retention where required and legending;  </w:t>
      </w:r>
    </w:p>
    <w:p>
      <w:pPr>
        <w:spacing w:after="0" w:line="20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provided, however, that this covenant shall not apply to any statements or omissions in a Written Testing-the-Waters Communication prepared or authorized by the Company made in reliance upon and in conformity with the Underwriter Information;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(d)            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II(d) hereto; and the Company reconfirms that the Underwriters have been authorized to act on its behalf in engaging in Testing-the-Waters Communications; and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Each Underwriter represents and agrees that any Testing-the-Waters Communications undertaken by it were with entities that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 reasonably believes are qualified institutional buyers as defined in Rule 144A under the Act or institutions that are accredited investors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in Rule 501(a)(1), (a)(2), (a)(3), (a)(7) or (a)(8) under the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7.            The Company covenants and agrees with the several Underwriters that the Company will pay or cause to be paid the following: (i) the fees, disbursements and expenses of the Company’s counsel and accountants in connection with the registration of the Offered Securities under the Act and all other expenses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Offered Securities ; (iii) all expenses in connection with the qualification of the Offered Securities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Shares and the Warrant Shares on Nasdaq; (v) the filing fees incident to, and the fees and disbursements of counsel for the Underwriters in connection with, any required review by the Financial Industry Regulatory Authority of the terms of the sale of the Offered Securities, provided, however, that the reasonable and documented fees and disbursements of counsel for the Underwriters related to clauses (iii) and (v) shall not exceed $20,000 in the aggregate; (vi) the cost of preparing stock certificates; (vii) the cost and charges of any transfer agent or registrar; and (viii)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stock transfer taxes on resale of any of the Offered Securities by them, and any advertising expenses connected with any offers they may make.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8.            The obligations of the Underwriters hereunder, as to the Offered Securities to be delivered at each Time of Delivery, shall be subject, in their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to the condition that all representations and warranties and other statements of the Company herein are, at and as of the Applicable Time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 of Delivery, true and correct, the condition that the Company shall have performed all of its obligations hereunder theretofore to be performed,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following additional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filings by Rule 433; no stop order suspending the effectiveness of the Registration Statement or any part thereof shall have been issued and no proceeding for that purpose or pursuant to Section 8A of the Act shall have been initiated or threatened by the Commission and no notice of objection of the Commission to the use of the Registration Statement or any post-effective amendment thereto pursuant to Rule 401(g)(2) under the Act shall have been received; no stop order suspending or preventing the use of the Preliminary Prospectus, Prospectus or any Issuer Free Writing Prospectus shall have been initiated or threatened by the Commission; and all requests for additional information on the part of the Commission shall have been complied with to your reasonable satisfaction;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Latham &amp; Watkins LLP, counsel for the Underwriters, shall have furnished to you such written opinion and negative assurance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each dated such Time of Delivery, in form and substance satisfactory to you, and such counsel shall have received such papers and information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may reasonably request to enable them to pass upon such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(c)            Mintz, Levin, Cohn, Ferris, Glovsky and Popeo, P.C., counsel for the Company, shall have furnished to you their written opinion and negative assurance letter, each dated such Time of Delivery, in form and substance satisfactory to you;  </w:t>
      </w:r>
    </w:p>
    <w:p>
      <w:pPr>
        <w:spacing w:after="0" w:line="20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(d)            Mintz, Levin, Cohn, Ferris, Glovsky and Popeo, P.C., intellectual property counsel for the Company, shall have furnished to you its written opinion, dated such Time of Delivery, in form and substance satisfactory to you;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On the date of the Prospectus at a time prior to the execution of this Agreement, at 9:30 a.m., New York City time, on the effective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any post-effective amendment to the Registration Statement filed subsequent to the date of this Agreement and also at each Time of Delivery,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KPMG LLP and PricewaterhouseCoopers LLP shall have furnished to you a letter or letters, dated the respective dates of delivery thereof, in form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satisfactory to you;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(f)            (i) The Company shall not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change or effect, or any development involving a prospective change or effect, in or affecting (x) the business, properties, general affairs, management, financial position, stockholders’ equity or results of operations of the Company, except as set forth or contemplated in the Pricing Prospectus, or (y) the ability of the Company to perform its obligations under this Agreement, including the issuance and sale of the Offered Securities,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Offered Securities being delivered at such Time of Delivery on the terms and in the manner contemplated in the Pricing Prospectus and the Prospectus;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On or after the Applicable Time (i) no downgrading shall have occurred in the rating accorded the Company’s debt securities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“nationally recognized statistical rating organization”, as that term is defined by the Commission for purposes of Rule 436(g)(2) under the Act,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no such organization shall have publicly announced that it has under surveillance or review, with possible negative implications, its rating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debt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(h)            On or after the Applicable Time there shall not have occurred any of the following: (i) a suspension or material limitation in trading in securities generally on the New York Stock Exchange or on Nasdaq; (ii) a suspension or material limitation in trading in the Company’s securities on Nasdaq;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Offered Securities being delivered at such Time of Delivery on the terms and in the manner contemplated in the Pricing Prospectus and the Prospectus;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The Company shall have filed a Notification: Listing of Additional Shares with Nasdaq with respect to the Shares and the Warrant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and shall have received no objection thereto from Nasdaq;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(j)            The Company shall have obtained and delivered to the Underwriters executed copies of an agreement from each officer, director, and certain stockholders of the Company, substantially to the effect set forth in Annex II hereto in form and substance satisfactory to you;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(k)            The Company shall have complied with the provisions of Section 5(c) hereof with respect to the furnishing of prospectuses 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Business Day next succeeding the date of this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(l)            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you may reasonably request.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9.            (a)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or any Testing-the-Waters Communication, in reliance upon and in conformity with the Underwriter Information.  </w:t>
      </w:r>
    </w:p>
    <w:p>
      <w:pPr>
        <w:spacing w:after="0" w:line="21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such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ninth, tenth and eleventh paragraphs under the caption “Underwriting”.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w:t>
      </w:r>
    </w:p>
    <w:p>
      <w:pPr>
        <w:spacing w:after="0" w:line="208"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(d)            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Offered Securities.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(e)            The obligations of the Company under this Section 9 shall be in addition to any liability which the Company may otherwise have and shall extend, upon the same terms and conditions, to each employee, officer and director of each Underwriter,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10.       (a)       If any Underwriter shall default in its obligation to purchase the Offered Securities which it has agreed to purchase hereunder at a Time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Delivery, you may in your discretion arrange for you or another party or other parties to purchase such Offered Securities on the terms contained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within thirty-six hours after such default by any Underwriter you do not arrange for the purchase of such Offered Securities, then the Company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a further period of thirty-six hours within which to procure another party or other parties satisfactory to you to purchase such Offered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such terms. In the event that, within the respective prescribed periods, you notify the Company that you have so arranged for the purchase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Offered Securities, or the Company notifies you that it has so arranged for the purchase of such Offered Securities, you or the Company shall have the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postpone such Time of Delivery for a period of not more than seven days, in order to effect whatever changes may thereby be made necessary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or the Prospectus, or in any other documents or arrangements, and the Company agrees to file promptly any amendments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supplements to the Registration Statement or the Prospectus which in your opinion may thereby be made necessary. The term “Underwriter” as used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shall include any person substituted under this Section with like effect as if such person had originally been a party to this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such Offered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If, after giving effect to any arrangements for the purchase of the Offered Securities of a defaulting Underwriter or Underwriters by you and the Company as provided in subsection (a) above, the aggregate number of such Offered Securities which remains unpurchased does not exceed one-eleventh of the aggregate number of all the Offered Securities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Firm Securities which such Underwriter agreed to purchase hereunder) of the Offered Securities of such defaulting Underwriter or Underwriters for which such arrangements have not been made; but nothing herein shall relieve a defaulting Underwriter from liability for its default.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If, after giving effect to any arrangements for the purchase of the Offered Securities of a defaulting Underwriter or Underwriters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and the Company as provided in subsection (a) above, the aggregate number of such Offered Securities which remains unpurchased exceeds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eleventh of the aggregate number of all the Offered Securities to be purchased at such Time of Delivery, or if the Company shall not exercise the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subsection (b) above to require non-defaulting Underwriters to purchase Offered Securities of a defaulting Underwriter or Underwriters,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(or, with respect to the Second Time of Delivery, the obligations of the Underwriters to purchase and of the Company to sell the Optional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shall thereupon terminate, without liability on the part of any non-defaulting Underwriter or the Company, except for the expenses to be borne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Underwriters as provided in Section 7 hereof and the indemnity and contribution agreements in Section 9 hereof; but nothing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relieve a defaulting Underwriter from liability for its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The respective indemnities, rights of contribution, agreements, representations, warranties and other statements of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as set forth in this Agreement or made by or on behalf of them, respectively, pursuant to this Agreement, shall remain in full force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effect, regardless of any investigation (or any statement as to the results thereof) made by or on behalf of any Underwriter or any director,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affiliate or controlling person of any Underwriter, or the Company, or any officer or director or controlling person of the Company, and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survive delivery of and payment for the Offered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12.            If this Agreement shall be terminated pursuant to Section 10 hereof, the Company shall not then be under any liability to any Underwriter except as provided in Sections 7 and 9 hereof; but, if for any other reason, any Offered Securities are not delivered by or on behalf of the Company as provided herein or the Underwriters decline to purchase the Offered Securities for any reason permitted under this Agreement, the Company will reimburse the Underwriters through you for all out-of-pocket expenses approved in writing by you, including fees and disbursements of counsel, reasonably incurred by the Underwriters in making preparations for the purchase, sale and delivery of the Offered Securities not so delivered, but the Company shall then be under no further liability to any Underwriter except as provided in Sections 7 and 9 hereof.  </w:t>
      </w:r>
    </w:p>
    <w:p>
      <w:pPr>
        <w:spacing w:after="0" w:line="208"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13.            In all dealings hereunder, the Representatives shall act on behalf of each of the Underwriters, and the parties hereto shall be entitled to act and rely upon any statement, request, notice or agreement on behalf of any Underwriter made or given by you on behalf of the Underwriters.  </w:t>
      </w:r>
    </w:p>
    <w:p>
      <w:pPr>
        <w:spacing w:after="0" w:line="20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All statements, requests, notices and agreements hereunder shall be in writing, and if to the Underwriters shall be delivered or sent by mail, telex or facsimile transmission to you as the Representatives in care of Goldman Sachs &amp; Co. LLC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200 West Street, New York, New York 10282-2198, Attention: Registration Department; in care of Citigroup Global Markets Inc., 388 Greenwich Street, New York, New York 10013, Attention: General Counsel, facsimile number: (646) 291-1469; and in care of Guggenheim Securities, LLC, 330 Madison Avenue, New York, New York 10017, Attention: Head of Equity Capital Markets, facsimile number: (212) 658-9689; and if to the Company shall be delivered or sent by mail, telex or facsimile transmission to the address of the Company set forth in the Registration Statement, Attention: Secretary;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notices under subsection 5(e) shall be in writing, and if to the Underwriters shall be delivered or sent by mail, telex or facsimile transmission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you as the Representatives at Goldman Sachs &amp; Co. LLC, 200 West Street, New York, New York 10282-2198, Attention: Control Room; Citigroup Global Markets Inc., 388 Greenwich Street, New York, New York 10013, Attention: General Counsel, facsimile number: (646) 291-1469; and Guggenheim Securities, LLC, 330 Madison Avenue, New York, New York 10017, Attention: Head of Equity Capital Markets, facsimile number: (212) 658-9689. Any such statements, requests, notices or agreements shall take effect upon receipt thereof.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This Agreement shall be binding upon, and inure solely to the benefit of, the Underwriters, the Company and, to the extent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Sections 9 and 11 hereof, the officers and directors of the Company and each person who controls the Company or any Underwriter, or any director,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or affiliate of any Underwriter, and their respective heirs, executors, administrators, successors and assigns, and no other person shall acquire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any right under or by virtue of this Agreement. No purchaser of any of the Offered Securities from any Underwriter shall be deemed a successor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 by reason merely of such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15.            Time shall be of the essence of this Agreement. As used herein, the term “business day” shall mean any day when the Commission’s office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Washington, D.C. is open for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The Company acknowledges and agrees that (i) the purchase and sale of the Offered Securities pursuant to this Agreement is an 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length commercial transaction between the Company, on the one hand, and the several Underwriters, on the other, (ii) in connection therewith and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 leading to such transaction each Underwriter is acting solely as a principal and not the agent or fiduciary of the Company, (iii) no Underwriter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an advisory or fiduciary responsibility in favor of the Company with respect to the offering contemplated hereby or the process leading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(irrespective of whether such Underwriter has advised or is currently advising the Company on other matters) or any other obligation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the obligations expressly set forth in this Agreement, (iv) the Company has consulted its own legal and financial advisors to the extent it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and (v) none of the activities of the Underwriters in connection with the transactions contemplated herein constitutes a recommendation,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advice, or solicitation of any action by the Underwriters with respect to any entity or natural person. The Company agrees that it will not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Underwriters, or any of them, has rendered advisory services of any nature or respect, or owes a fiduciary or similar duty to the Company,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such transaction or the process leading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17.            This Agreement supersedes all prior agreements and understandings (whether written or oral) between the Company and the Underwriters,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of them, with respect to the subject matter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This Agreement and any transaction contemplated by this Agreement and any claim, controversy or dispute arising under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related thereto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19.            The Company and each of the Underwriters hereby irrevocably waives, to the fullest extent permitted by applicable law, any and all right to trial by jury in any legal proceeding arising out of or relating to this Agreement or the transactions contemplated hereby.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20.            This Agreement may be executed by any one or more of the parties hereto in any number of counterparts, each of which shall be deemed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an original, but all such counterparts shall together constitute one and the same instrument. Counterparts may be delivered via facsimile, electronic 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electronic signature covered by the U.S. federal ESIGN Act of 2000, Uniform Electronic Transactions Act, the Electronic Signatures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Records Act or other applicable law, e.g., www.docusign.com) or other transmission method and any counterpart so delivered shall be deemed to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and validly delivered and be valid and effective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21.            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Recognition of the U.S. Special Resolution Regimes.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Regime, the transfer from such Underwriter of this Agreement, and any interest and obligation in or under this Agreement, will be effective to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as the transfer would be effective under the U.S. Special Resolution Regime if this Agreement, and any such interest and obligation, were governed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laws of the United States or a state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under a U.S. Special Resolution Regime, Default Rights under this Agreement that may be exercised against such Underwriter are permitted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exercised to no greater extent than such Default Rights could be exercised under the U.S. Special Resolution Regime if this Agreement were governed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laws of the United States or a state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As used in this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 “covered bank” as that term is defined in, and interpreted in accordance with, 12 C.F.R. § 47.3(b);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 “covered FSI” as that term is defined in, and interpreted in accordance with, 12 C.F.R. § 382.2(b).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tbl>
      <w:tblPr>
        <w:tblLayout w:type="fixed"/>
        <w:tblInd w:w="0" w:type="dxa"/>
        <w:tblCellMar>
          <w:top w:w="0" w:type="dxa"/>
          <w:left w:w="0" w:type="dxa"/>
          <w:bottom w:w="0" w:type="dxa"/>
          <w:right w:w="0" w:type="dxa"/>
        </w:tblCellMar>
      </w:tblPr>
      <w:tr>
        <w:trPr>
          <w:trHeight w:val="200"/>
        </w:trPr>
        <w:tc>
          <w:tcPr>
            <w:tcW w:w="5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40" w:type="dxa"/>
            <w:vAlign w:val="bottom"/>
          </w:tcPr>
          <w:p>
            <w:pPr>
              <w:spacing w:after="0"/>
              <w:rPr>
                <w:sz w:val="17"/>
                <w:szCs w:val="17"/>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Very truly yours,</w:t>
            </w:r>
          </w:p>
        </w:tc>
      </w:tr>
      <w:tr>
        <w:trPr>
          <w:trHeight w:val="2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9"/>
                <w:szCs w:val="19"/>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ArriVent BioPharma, Inc.</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Winston Kung</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6"/>
                <w:szCs w:val="16"/>
                <w:color w:val="auto"/>
              </w:rPr>
            </w:pPr>
          </w:p>
        </w:tc>
        <w:tc>
          <w:tcPr>
            <w:tcW w:w="5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Winston Kung</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CFO</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Accepted as of the date hereof:</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9"/>
                <w:szCs w:val="19"/>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Lyla Bibi Maduri</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Lyla Bibi Maduri</w:t>
            </w: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6"/>
                <w:szCs w:val="16"/>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Citigroup Global Markets Inc.</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9"/>
                <w:szCs w:val="19"/>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Yan</w:t>
            </w:r>
          </w:p>
        </w:tc>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Lin Yan</w:t>
            </w: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6"/>
                <w:szCs w:val="16"/>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Guggenheim Securities, LLC</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9"/>
                <w:szCs w:val="19"/>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Punit Mehta</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Punit Mehta</w:t>
            </w: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6"/>
                <w:szCs w:val="16"/>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Managing Director</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behalf of each of the Underwriters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restart"/>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94"/>
        </w:trPr>
        <w:tc>
          <w:tcPr>
            <w:tcW w:w="40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13"/>
              <w:spacing w:after="0"/>
              <w:rPr>
                <w:sz w:val="20"/>
                <w:szCs w:val="20"/>
                <w:color w:val="auto"/>
              </w:rPr>
            </w:pPr>
            <w:r>
              <w:rPr>
                <w:rFonts w:ascii="Times New Roman" w:cs="Times New Roman" w:eastAsia="Times New Roman" w:hAnsi="Times New Roman"/>
                <w:sz w:val="18"/>
                <w:szCs w:val="18"/>
                <w:b w:val="1"/>
                <w:bCs w:val="1"/>
                <w:color w:val="auto"/>
                <w:w w:val="99"/>
              </w:rPr>
              <w:t>Optional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13"/>
              <w:spacing w:after="0"/>
              <w:rPr>
                <w:sz w:val="20"/>
                <w:szCs w:val="20"/>
                <w:color w:val="auto"/>
              </w:rPr>
            </w:pPr>
            <w:r>
              <w:rPr>
                <w:rFonts w:ascii="Times New Roman" w:cs="Times New Roman" w:eastAsia="Times New Roman" w:hAnsi="Times New Roman"/>
                <w:sz w:val="18"/>
                <w:szCs w:val="18"/>
                <w:b w:val="1"/>
                <w:bCs w:val="1"/>
                <w:color w:val="auto"/>
              </w:rPr>
              <w:t>Shares to</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18"/>
                <w:szCs w:val="18"/>
                <w:color w:val="auto"/>
              </w:rPr>
            </w:pPr>
          </w:p>
        </w:tc>
        <w:tc>
          <w:tcPr>
            <w:tcW w:w="13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33"/>
              <w:spacing w:after="0"/>
              <w:rPr>
                <w:sz w:val="20"/>
                <w:szCs w:val="20"/>
                <w:color w:val="auto"/>
              </w:rPr>
            </w:pPr>
            <w:r>
              <w:rPr>
                <w:rFonts w:ascii="Times New Roman" w:cs="Times New Roman" w:eastAsia="Times New Roman" w:hAnsi="Times New Roman"/>
                <w:sz w:val="18"/>
                <w:szCs w:val="18"/>
                <w:b w:val="1"/>
                <w:bCs w:val="1"/>
                <w:color w:val="auto"/>
                <w:w w:val="99"/>
              </w:rPr>
              <w:t>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3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Pre-Funded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Firm Shares</w:t>
            </w:r>
          </w:p>
        </w:tc>
        <w:tc>
          <w:tcPr>
            <w:tcW w:w="80" w:type="dxa"/>
            <w:vAlign w:val="bottom"/>
          </w:tcPr>
          <w:p>
            <w:pPr>
              <w:spacing w:after="0"/>
              <w:rPr>
                <w:sz w:val="18"/>
                <w:szCs w:val="18"/>
                <w:color w:val="auto"/>
              </w:rPr>
            </w:pPr>
          </w:p>
        </w:tc>
        <w:tc>
          <w:tcPr>
            <w:tcW w:w="138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Warrants to</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rPr>
              <w:t>if Maximum</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80" w:type="dxa"/>
            <w:vAlign w:val="bottom"/>
          </w:tcPr>
          <w:p>
            <w:pPr>
              <w:spacing w:after="0"/>
              <w:rPr>
                <w:sz w:val="18"/>
                <w:szCs w:val="18"/>
                <w:color w:val="auto"/>
              </w:rPr>
            </w:pPr>
          </w:p>
        </w:tc>
        <w:tc>
          <w:tcPr>
            <w:tcW w:w="13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be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276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0"/>
                <w:szCs w:val="20"/>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xml:space="preserve">Purchased     </w:t>
            </w: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Purchased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Exercised    </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868,943 </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477,215 </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201,924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76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546,192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299,963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126,923 </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2760" w:type="dxa"/>
            <w:vAlign w:val="bottom"/>
            <w:gridSpan w:val="2"/>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496,538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272,694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115,385 </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276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223,442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122,712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51,923 </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2760" w:type="dxa"/>
            <w:vAlign w:val="bottom"/>
            <w:gridSpan w:val="2"/>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198,615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109,078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46,154 </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276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49,654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27,269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11,538 </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2760" w:type="dxa"/>
            <w:vAlign w:val="bottom"/>
            <w:gridSpan w:val="2"/>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49,654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27,269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 </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JonesTrading Institutional Services LLC</w:t>
            </w:r>
          </w:p>
        </w:tc>
        <w:tc>
          <w:tcPr>
            <w:tcW w:w="276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49,654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27,269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11,538 </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Total</w:t>
            </w:r>
          </w:p>
        </w:tc>
        <w:tc>
          <w:tcPr>
            <w:tcW w:w="2760" w:type="dxa"/>
            <w:vAlign w:val="bottom"/>
            <w:tcBorders>
              <w:top w:val="single" w:sz="8" w:color="CCEEFF"/>
              <w:bottom w:val="single" w:sz="8" w:color="CCEEFF"/>
            </w:tcBorders>
            <w:gridSpan w:val="2"/>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2,482,692</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1,363,469</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576,923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Free Writing Prospectuses not included in the Pricing Disclosure Package: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Documents Incorporated by Reference: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other than the Pricing Prospectus that comprise the Pricing Disclosure Package:</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per share for the Shares is $19.50.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per Pre-Funded Warrant is $19.4999.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Firm Shares purchased by the Underwriters is 2,482,692.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Pre-Funded Warrants being sold by the Company is 1,363,469.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Optional Shares to be sold by the Company is up to 576,923.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Testing-the-Waters Communications: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PRE-FUNDED WARRANT TO PURCHASE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Number of Shares: [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9160" w:val="left"/>
        </w:tabs>
        <w:rPr>
          <w:sz w:val="20"/>
          <w:szCs w:val="20"/>
          <w:color w:val="auto"/>
        </w:rPr>
      </w:pPr>
      <w:r>
        <w:rPr>
          <w:rFonts w:ascii="Times New Roman" w:cs="Times New Roman" w:eastAsia="Times New Roman" w:hAnsi="Times New Roman"/>
          <w:sz w:val="18"/>
          <w:szCs w:val="18"/>
          <w:color w:val="auto"/>
        </w:rPr>
        <w:t>Warrant No.____</w:t>
      </w:r>
      <w:r>
        <w:rPr>
          <w:sz w:val="20"/>
          <w:szCs w:val="20"/>
          <w:color w:val="auto"/>
        </w:rPr>
        <w:tab/>
      </w:r>
      <w:r>
        <w:rPr>
          <w:rFonts w:ascii="Times New Roman" w:cs="Times New Roman" w:eastAsia="Times New Roman" w:hAnsi="Times New Roman"/>
          <w:sz w:val="17"/>
          <w:szCs w:val="17"/>
          <w:color w:val="auto"/>
        </w:rPr>
        <w:t>Original Issue Date: [    ],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ArriVent BioPharma,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which are hereby acknowledged, [    ]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up to a total of [    ] shares of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per share equal to $0.0001 per share (as adjusted from time to time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upon surrender of this Warrant to Purchase Common Stock (including any Warrants to Purchase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Original Issue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subject to the following terms and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Section 13(d) “group” together with the Holder or any Attribution Parties and (iii)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All such determinations shall be appropriately adjusted for any stock dividend, stock split, stock combination or other similar transaction during the applicable calculation period.</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all of the rules and regulations promulgated thereunder.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324"/>
        <w:spacing w:after="0" w:line="26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Market.  </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Company’s Registration Statement on Form S-3ASR filed with the Commission on February 3, 2025 (File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333-284661), which became automatically effective upon filing.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all of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324"/>
        <w:spacing w:after="0" w:line="26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 which as of the Issuance Date was “T+1.”  </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appointed in such capacity.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8"/>
        <w:spacing w:after="0" w:line="250" w:lineRule="auto"/>
        <w:tabs>
          <w:tab w:leader="none" w:pos="1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Securities; Registration of Warrants</w:t>
      </w:r>
      <w:r>
        <w:rPr>
          <w:rFonts w:ascii="Times New Roman" w:cs="Times New Roman" w:eastAsia="Times New Roman" w:hAnsi="Times New Roman"/>
          <w:sz w:val="18"/>
          <w:szCs w:val="18"/>
          <w:color w:val="auto"/>
        </w:rPr>
        <w:t>. The Warrant, as initially issued by the Company, is offered and sold pursuant to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 Agent to, register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evidencing the portion of this Warrant so transferred shall be issued to the transferee, and a New Warrant evidencing the remaining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Warrants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324"/>
        <w:spacing w:after="0" w:line="260" w:lineRule="auto"/>
        <w:rPr>
          <w:sz w:val="20"/>
          <w:szCs w:val="20"/>
          <w:color w:val="auto"/>
        </w:rPr>
      </w:pPr>
      <w:r>
        <w:rPr>
          <w:rFonts w:ascii="Times New Roman" w:cs="Times New Roman" w:eastAsia="Times New Roman" w:hAnsi="Times New Roman"/>
          <w:sz w:val="18"/>
          <w:szCs w:val="18"/>
          <w:color w:val="auto"/>
        </w:rPr>
        <w:t>(a) All or any part of this Warrant shall be exercisable by the registered Holder in any manner permitted by this Warrant (including Section 11) at any time and from time to time on or after the Original Issue Date, and such rights shall not expire.  </w:t>
      </w:r>
    </w:p>
    <w:p>
      <w:pPr>
        <w:spacing w:after="0" w:line="20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(b) 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The Holder and any assignee, by acceptance of this Warrant, acknowledge and agree that, by reason of the provisions of this section,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a portion of the Warrant Shares hereunder, the number of Warrant Shares available for purchase hereunder at any given time may be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stated on the face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Warrant Shares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Upon exercise of this Warrant, the Company shall promptly (but in no event later than the number of Trading Days comprising the Standard Settlement Period following the Exercise Date), upon the request of the Holder,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color w:val="auto"/>
        </w:rPr>
        <w:t>Exercise Shares</w:t>
      </w:r>
      <w:r>
        <w:rPr>
          <w:rFonts w:ascii="Times New Roman" w:cs="Times New Roman" w:eastAsia="Times New Roman" w:hAnsi="Times New Roman"/>
          <w:sz w:val="18"/>
          <w:szCs w:val="18"/>
          <w:color w:val="auto"/>
        </w:rPr>
        <w:t>”) to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At Custodian system, or if the Transfer Agent is then a participant in the DTC Fast Automated Securities Transfer Program (the “</w:t>
      </w:r>
      <w:r>
        <w:rPr>
          <w:rFonts w:ascii="Times New Roman" w:cs="Times New Roman" w:eastAsia="Times New Roman" w:hAnsi="Times New Roman"/>
          <w:sz w:val="18"/>
          <w:szCs w:val="18"/>
          <w:b w:val="1"/>
          <w:bCs w:val="1"/>
          <w:color w:val="auto"/>
        </w:rPr>
        <w:t>FAST Program</w:t>
      </w:r>
      <w:r>
        <w:rPr>
          <w:rFonts w:ascii="Times New Roman" w:cs="Times New Roman" w:eastAsia="Times New Roman" w:hAnsi="Times New Roman"/>
          <w:sz w:val="18"/>
          <w:szCs w:val="18"/>
          <w:color w:val="auto"/>
        </w:rPr>
        <w:t>”) and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member of the FAST Program or if (A) and (B) above are not true,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natural person or legal entity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If the Company fails to deliver to the Holder or its designee Exercise Shares in the manner required pursuant to </w:t>
      </w:r>
      <w:r>
        <w:rPr>
          <w:rFonts w:ascii="Times New Roman" w:cs="Times New Roman" w:eastAsia="Times New Roman" w:hAnsi="Times New Roman"/>
          <w:sz w:val="18"/>
          <w:szCs w:val="18"/>
          <w:u w:val="single" w:color="auto"/>
          <w:color w:val="auto"/>
        </w:rPr>
        <w:t>Section 5(a) </w:t>
      </w:r>
      <w:r>
        <w:rPr>
          <w:rFonts w:ascii="Times New Roman" w:cs="Times New Roman" w:eastAsia="Times New Roman" w:hAnsi="Times New Roman"/>
          <w:sz w:val="18"/>
          <w:szCs w:val="18"/>
          <w:color w:val="auto"/>
        </w:rPr>
        <w:t>within the Standard Settlement Period following the Exercise Date (other than a failure caused by incorrect or incomplete information provided by the Holder to the Company) and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but did not receive within the Standard Settlement Period, then the Company shall, within two (2)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8"/>
          <w:szCs w:val="18"/>
          <w:u w:val="single" w:color="auto"/>
          <w:color w:val="auto"/>
        </w:rPr>
        <w:t>Section 5(a) </w:t>
      </w:r>
      <w:r>
        <w:rPr>
          <w:rFonts w:ascii="Times New Roman" w:cs="Times New Roman" w:eastAsia="Times New Roman" w:hAnsi="Times New Roman"/>
          <w:sz w:val="18"/>
          <w:szCs w:val="18"/>
          <w:color w:val="auto"/>
        </w:rPr>
        <w:t>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1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Charges, Taxes and Expenses</w:t>
      </w:r>
      <w:r>
        <w:rPr>
          <w:rFonts w:ascii="Times New Roman" w:cs="Times New Roman" w:eastAsia="Times New Roman" w:hAnsi="Times New Roman"/>
          <w:sz w:val="18"/>
          <w:szCs w:val="18"/>
          <w:color w:val="auto"/>
        </w:rPr>
        <w:t>. Issuance and delivery for shares of Common Stock upon exercise of this Warrant shall be made without charge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8"/>
        <w:spacing w:after="0" w:line="250" w:lineRule="auto"/>
        <w:tabs>
          <w:tab w:leader="none" w:pos="2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 available out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(the “</w:t>
      </w:r>
      <w:r>
        <w:rPr>
          <w:rFonts w:ascii="Times New Roman" w:cs="Times New Roman" w:eastAsia="Times New Roman" w:hAnsi="Times New Roman"/>
          <w:sz w:val="18"/>
          <w:szCs w:val="18"/>
          <w:b w:val="1"/>
          <w:bCs w:val="1"/>
          <w:color w:val="auto"/>
        </w:rPr>
        <w:t>Number of Warrant Shares</w:t>
      </w:r>
      <w:r>
        <w:rPr>
          <w:rFonts w:ascii="Times New Roman" w:cs="Times New Roman" w:eastAsia="Times New Roman" w:hAnsi="Times New Roman"/>
          <w:sz w:val="18"/>
          <w:szCs w:val="18"/>
          <w:color w:val="auto"/>
        </w:rPr>
        <w: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adjustment 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 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 Pro Rata Distributions</w:t>
      </w:r>
      <w:r>
        <w:rPr>
          <w:rFonts w:ascii="Times New Roman" w:cs="Times New Roman" w:eastAsia="Times New Roman" w:hAnsi="Times New Roman"/>
          <w:sz w:val="18"/>
          <w:szCs w:val="18"/>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any distribution of Purchase Rights (as defined below) subject to </w:t>
      </w:r>
      <w:r>
        <w:rPr>
          <w:rFonts w:ascii="Times New Roman" w:cs="Times New Roman" w:eastAsia="Times New Roman" w:hAnsi="Times New Roman"/>
          <w:sz w:val="18"/>
          <w:szCs w:val="18"/>
          <w:u w:val="single" w:color="auto"/>
          <w:color w:val="auto"/>
        </w:rPr>
        <w:t>Section 9(c) </w:t>
      </w:r>
      <w:r>
        <w:rPr>
          <w:rFonts w:ascii="Times New Roman" w:cs="Times New Roman" w:eastAsia="Times New Roman" w:hAnsi="Times New Roman"/>
          <w:sz w:val="18"/>
          <w:szCs w:val="18"/>
          <w:color w:val="auto"/>
        </w:rPr>
        <w:t xml:space="preserve">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 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Company shall offer the Holder the right upon exercise of such Purchase Right to acquire a security (e.g. a pre-funded warrant) that would not result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Holder and the other Attribution Parties exceeding the Maximum Percentage but will otherwise to the extent possible have economic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preferences and privileges substantially consistent and on par with the securities or other property issuable upon exercise of the originally offered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Purchase Rights). As used in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(i) “Options” means any rights, warrants or options to subscribe for or purchase shares of Common Stock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Securities and (ii) “Convertible Securities” mean any stock or securities (other than Options) directly or indirectly convertible into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or exchangeable for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 Fundamental Transactions</w:t>
      </w:r>
      <w:r>
        <w:rPr>
          <w:rFonts w:ascii="Times New Roman" w:cs="Times New Roman" w:eastAsia="Times New Roman" w:hAnsi="Times New Roman"/>
          <w:sz w:val="18"/>
          <w:szCs w:val="18"/>
          <w:color w:val="auto"/>
        </w:rPr>
        <w:t>. If, at any time while this Warrant is outstanding (i) the Company effects any merger or consolidation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or into another Person, in which the Company is not the surviving entity or in which the stockholders of the Company immediately prior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or consolidation do not own, directly or indirectly, at least 50% of the voting power of the surviving entity immediately after such merger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consolidation, (ii) the Company effects any sale to another Person of all or substantially all of its assets in one or a series of related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pursuant to any tender offer or exchange offer (whether by the Company or another Person), holders of capital stock tender shares representing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50% of the voting power of the capital stock of the Company and the Company or such other Person, as applicable, accepts such tender for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the Company consummates a stock purchase agreement or other business combination (including, without limitation, a reorganization, recapitalization,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spin-off or scheme of arrangement) with another Person whereby such other Person acquires more than the 50% of the voting power of the capital stock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(except for any such transaction in which the stockholders of the Company immediately prior to such transaction maintain, in substantially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proportions, the voting power of such Person immediately after the transaction) or (v) the Company effects any reclassification of the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or any compulsory share exchange pursuant to which the Common Stock is effectively converted into or exchanged for other securities, cash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 </w:t>
      </w:r>
      <w:r>
        <w:rPr>
          <w:rFonts w:ascii="Times New Roman" w:cs="Times New Roman" w:eastAsia="Times New Roman" w:hAnsi="Times New Roman"/>
          <w:sz w:val="18"/>
          <w:szCs w:val="18"/>
          <w:color w:val="auto"/>
        </w:rPr>
        <w:t>above) (in any such case,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amount and kind of securities, cash or property as it would have been entitled to receive upon the occurrence of such Fundamental Transaction if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been, immediately prior to such Fundamental Transaction, the holder of the number of Warrant Shares then issuable upon exercise in full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Warrant (including any Distributions or Purchase Rights then held in abeyance pursuant to </w:t>
      </w:r>
      <w:r>
        <w:rPr>
          <w:rFonts w:ascii="Times New Roman" w:cs="Times New Roman" w:eastAsia="Times New Roman" w:hAnsi="Times New Roman"/>
          <w:sz w:val="18"/>
          <w:szCs w:val="18"/>
          <w:u w:val="single" w:color="auto"/>
          <w:color w:val="auto"/>
        </w:rPr>
        <w:t>Sections 9(b)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9(c) </w:t>
      </w:r>
      <w:r>
        <w:rPr>
          <w:rFonts w:ascii="Times New Roman" w:cs="Times New Roman" w:eastAsia="Times New Roman" w:hAnsi="Times New Roman"/>
          <w:sz w:val="18"/>
          <w:szCs w:val="18"/>
          <w:color w:val="auto"/>
        </w:rPr>
        <w:t>above) without regard to any limitations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The Company shall not effect any Fundamental Transaction in which the Company is not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entity or the Alternate Consideration includes securities of another Person unless (i) the Alternate Consideration is solely cash and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(ii) prior to or simultaneously with the consummation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any successor to the Company, surviving entity or other Person (including any purchaser of assets of the Company) shall assume the obligation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to the Holder such Alternate Consideration as, in accordance with the foregoing provisions, the Holder may be entitled to receive, and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this Warrant. The provisions of this paragraph (c) shall similarly apply to subsequent transactions analogous of a Fundamental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type.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 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u w:val="single" w:color="auto"/>
          <w:color w:val="auto"/>
        </w:rPr>
        <w:t> 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p>
    <w:p>
      <w:pPr>
        <w:spacing w:after="0" w:line="205"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 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9(c),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  </w:t>
      </w:r>
    </w:p>
    <w:p>
      <w:pPr>
        <w:spacing w:after="0" w:line="210" w:lineRule="exact"/>
        <w:rPr>
          <w:sz w:val="20"/>
          <w:szCs w:val="20"/>
          <w:color w:val="auto"/>
        </w:rPr>
      </w:pPr>
    </w:p>
    <w:p>
      <w:pPr>
        <w:jc w:val="both"/>
        <w:ind w:firstLine="8"/>
        <w:spacing w:after="0" w:line="250" w:lineRule="auto"/>
        <w:tabs>
          <w:tab w:leader="none" w:pos="2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 obligation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Y [(A-B)/A]</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equals the Closing Sale Prices of the shares of Common Stock (as reported by Bloomberg Financial Markets) as of the Trading Day on the date immediately preceding the Exercise Date;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transaction shall be deemed to have been acquired by the Holder, and the holding period for the Warrant Shares shall be deemed to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commenced, on the date this Warrant was originally issued (provided that the Commission continues to take the position that such treatment is proper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of such exercise). In the event that the Registration Statement or another registration statement registering the issuance of Warrant Shares is,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 not effective at the time of exercise of this Warrant, then the Warrant may only be exercised through a cashless exercise, as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Except as set forth in Section 5(b) (Buy-In remedy) and Section 12 (payment of cash in lieu of fractional shares), in no event will the exercise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be settled in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Exercise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Paragraph 11(a),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Form 10-K, Form 10-Q, Current Report on Form 8-K or other public filing with the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8"/>
          <w:szCs w:val="18"/>
          <w:b w:val="1"/>
          <w:bCs w:val="1"/>
          <w:color w:val="auto"/>
        </w:rPr>
        <w:t>Reported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Outstanding Share Number</w:t>
      </w:r>
      <w:r>
        <w:rPr>
          <w:rFonts w:ascii="Times New Roman" w:cs="Times New Roman" w:eastAsia="Times New Roman" w:hAnsi="Times New Roman"/>
          <w:sz w:val="18"/>
          <w:szCs w:val="18"/>
          <w:color w:val="auto"/>
        </w:rPr>
        <w:t>”). For any reason at any time, upon the written or oral request of the Holder, the Company shall within one (1) 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Section 11(a),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provided that any increase in the Maximum Percentage will not be effective until the sixty-first (61st) day after such notice is delivered to the Company and shall not negatively affect any partial exercise effected prior to such change.</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 xml:space="preserve">(b)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9(c) </w:t>
      </w:r>
      <w:r>
        <w:rPr>
          <w:rFonts w:ascii="Times New Roman" w:cs="Times New Roman" w:eastAsia="Times New Roman" w:hAnsi="Times New Roman"/>
          <w:sz w:val="18"/>
          <w:szCs w:val="18"/>
          <w:color w:val="auto"/>
        </w:rPr>
        <w:t>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Rule 16a-1(a)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promulgated thereunder. No prior inability to exercise this Warrant pursuant to this paragraph shall have any effect on the applicability of the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paragraph with respect to any subsequent determination of exercisability. The provisions of this paragraph shall be construed and implemented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manner otherwise than in strict conformity with the terms of this </w:t>
      </w:r>
      <w:r>
        <w:rPr>
          <w:rFonts w:ascii="Times New Roman" w:cs="Times New Roman" w:eastAsia="Times New Roman" w:hAnsi="Times New Roman"/>
          <w:sz w:val="18"/>
          <w:szCs w:val="18"/>
          <w:u w:val="single" w:color="auto"/>
          <w:color w:val="auto"/>
        </w:rPr>
        <w:t>Section 11(a) </w:t>
      </w:r>
      <w:r>
        <w:rPr>
          <w:rFonts w:ascii="Times New Roman" w:cs="Times New Roman" w:eastAsia="Times New Roman" w:hAnsi="Times New Roman"/>
          <w:sz w:val="18"/>
          <w:szCs w:val="18"/>
          <w:color w:val="auto"/>
        </w:rPr>
        <w:t>to the extent necessary to correct this paragraph or any portion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paragraph which may be defective or inconsistent with the intended beneficial ownership limitation contained in this </w:t>
      </w:r>
      <w:r>
        <w:rPr>
          <w:rFonts w:ascii="Times New Roman" w:cs="Times New Roman" w:eastAsia="Times New Roman" w:hAnsi="Times New Roman"/>
          <w:sz w:val="18"/>
          <w:szCs w:val="18"/>
          <w:u w:val="single" w:color="auto"/>
          <w:color w:val="auto"/>
        </w:rPr>
        <w:t>Section 11(a) </w:t>
      </w:r>
      <w:r>
        <w:rPr>
          <w:rFonts w:ascii="Times New Roman" w:cs="Times New Roman" w:eastAsia="Times New Roman" w:hAnsi="Times New Roman"/>
          <w:sz w:val="18"/>
          <w:szCs w:val="18"/>
          <w:color w:val="auto"/>
        </w:rPr>
        <w:t>or to make changes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supplements necessary or desirable to properly give effect to such limitation. The limitation contained in this paragraph may not be waived and shall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successor holder of this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8"/>
        <w:spacing w:after="0" w:line="250" w:lineRule="auto"/>
        <w:tabs>
          <w:tab w:leader="none" w:pos="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 in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 Agent</w:t>
      </w:r>
      <w:r>
        <w:rPr>
          <w:rFonts w:ascii="Times New Roman" w:cs="Times New Roman" w:eastAsia="Times New Roman" w:hAnsi="Times New Roman"/>
          <w:sz w:val="18"/>
          <w:szCs w:val="18"/>
          <w:color w:val="auto"/>
        </w:rPr>
        <w:t>. The Company shall initially serve as warrant agent under this Warrant. Upon thirty (30) days’ notice to the Holder, the Company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 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 Authorized Shares</w:t>
      </w:r>
      <w:r>
        <w:rPr>
          <w:rFonts w:ascii="Times New Roman" w:cs="Times New Roman" w:eastAsia="Times New Roman" w:hAnsi="Times New Roman"/>
          <w:sz w:val="18"/>
          <w:szCs w:val="18"/>
          <w:color w:val="auto"/>
        </w:rPr>
        <w:t>.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Before taking any action which would result in an adjustment in the number of Warrant Shares for which this Warrant is exercisable or in the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the Company shall obtain all such authorizations or exemptions thereof, or consents thereto, as may be necessary from any public regulatory body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bodies having jurisdiction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assigned by the Company without the written consent of the Holder, except to a successor in the event of a Fundamental Transaction. This Warrant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binding on and inure to the benefit of the Company and the Holder and their respective successors and assigns. Subject to the preceding sentence,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in this Warrant shall be construed to give to any Person other than the Company and the Holder any legal or equitable right, remedy or cause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under this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This Warrant may be amended only in writing signed by the Company and the Holder, or their 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provided herein, the Company may take any action herein prohibited, or omit to perform any act herein required to be performed by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if the Company has obtained the written consent of the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 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tabs>
          <w:tab w:leader="none" w:pos="1460" w:val="left"/>
          <w:tab w:leader="none" w:pos="2000" w:val="left"/>
          <w:tab w:leader="none" w:pos="3060" w:val="left"/>
          <w:tab w:leader="none" w:pos="3580" w:val="left"/>
          <w:tab w:leader="none" w:pos="4760" w:val="left"/>
          <w:tab w:leader="none" w:pos="6120" w:val="left"/>
          <w:tab w:leader="none" w:pos="6660" w:val="left"/>
          <w:tab w:leader="none" w:pos="8280" w:val="left"/>
          <w:tab w:leader="none" w:pos="9300" w:val="left"/>
          <w:tab w:leader="none" w:pos="10820" w:val="left"/>
        </w:tabs>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u w:val="single" w:color="auto"/>
          <w:color w:val="auto"/>
        </w:rPr>
        <w:t> Governing</w:t>
      </w:r>
      <w:r>
        <w:rPr>
          <w:sz w:val="20"/>
          <w:szCs w:val="20"/>
          <w:color w:val="auto"/>
        </w:rPr>
        <w:tab/>
      </w:r>
      <w:r>
        <w:rPr>
          <w:rFonts w:ascii="Times New Roman" w:cs="Times New Roman" w:eastAsia="Times New Roman" w:hAnsi="Times New Roman"/>
          <w:sz w:val="18"/>
          <w:szCs w:val="18"/>
          <w:u w:val="single" w:color="auto"/>
          <w:color w:val="auto"/>
        </w:rPr>
        <w:t>Law;</w:t>
        <w:tab/>
        <w:t>Jurisdiction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ALL</w:t>
        <w:tab/>
        <w:t>QUESTIONS</w:t>
        <w:tab/>
        <w:t>CONCERNING</w:t>
        <w:tab/>
        <w:t>THE</w:t>
        <w:tab/>
        <w:t>CONSTRUCTION,</w:t>
        <w:tab/>
        <w:t>VALIDITY,</w:t>
        <w:tab/>
        <w:t>ENFORCEMENT</w:t>
      </w:r>
      <w:r>
        <w:rPr>
          <w:sz w:val="20"/>
          <w:szCs w:val="20"/>
          <w:color w:val="auto"/>
        </w:rPr>
        <w:tab/>
      </w:r>
      <w:r>
        <w:rPr>
          <w:rFonts w:ascii="Times New Roman" w:cs="Times New Roman" w:eastAsia="Times New Roman" w:hAnsi="Times New Roman"/>
          <w:sz w:val="17"/>
          <w:szCs w:val="17"/>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INTERPRETATION OF THIS WARRANT SHALL BE GOVERNED BY AND CONSTRUED AND ENFORCED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OF THE STATE OF NEW YORK WITHOUT REGARD TO THE PRINCIPLES OF CONFLICTS OF LAW THEREOF. EACH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HOLDER HEREBY IRREVOCABLY SUBMITS TO THE EXCLUSIVE JURISDICTION OF THE STATE AND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COURTS SITTING IN THE CITY OF NEW YORK, BOROUGH OF MANHATTAN, FOR THE ADJUDICATION OF ANY DISPUTE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 CONNECTION HEREWITH OR WITH ANY TRANSACTION CONTEMPLATED HEREBY OR DISCUSSED HEREIN (INCLUDING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THE ENFORCEMENT OF ANY OF THE TRANSACTION DOCUMENTS), AND HEREBY IRREVOCABLY WAIVES, AND AGREES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TO ASSERT IN ANY SUIT, ACTION OR PROCEEDING, ANY CLAIM THAT IT IS NOT PERSONALLY SUBJECT TO THE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SUCH COURT. EACH OF THE COMPANY AND THE HOLDER HEREBY IRREVOCABLY WAIVES PERSONAL SERVICE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 AND CONSENTS TO PROCESS BEING SERVED IN ANY SUCH SUIT, ACTION OR PROCEEDING BY MAILING A COPY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REGISTERED OR CERTIFIED MAIL OR OVERNIGHT DELIVERY (WITH EVIDENCE OF DELIVERY) TO SUCH PERSON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IN EFFECT FOR NOTICES TO IT AND AGREES THAT SUCH SERVICE SHALL CONSTITUTE GOOD AND SUFFICIENT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PROCESS AND NOTICE THEREOF. NOTHING CONTAINED HEREIN SHALL BE DEEMED TO LIMIT IN ANY WAY ANY RIGHT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 PROCESS IN ANY MANNER PERMITTED BY LAW. EACH OF THE COMPANY AND THE HOLDER HEREBY WAIVES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TRIAL BY JURY.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 Headings</w:t>
      </w:r>
      <w:r>
        <w:rPr>
          <w:rFonts w:ascii="Times New Roman" w:cs="Times New Roman" w:eastAsia="Times New Roman" w:hAnsi="Times New Roman"/>
          <w:sz w:val="17"/>
          <w:szCs w:val="17"/>
          <w:color w:val="auto"/>
        </w:rPr>
        <w:t>. The headings herein are for convenience only, do not constitute a part of this Warrant and shall not be deemed to limit or affect any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duly executed by its authorized officer as of the date first indicated above.</w:t>
            </w:r>
          </w:p>
        </w:tc>
        <w:tc>
          <w:tcPr>
            <w:tcW w:w="0" w:type="dxa"/>
            <w:vAlign w:val="bottom"/>
          </w:tcPr>
          <w:p>
            <w:pPr>
              <w:spacing w:after="0"/>
              <w:rPr>
                <w:sz w:val="1"/>
                <w:szCs w:val="1"/>
                <w:color w:val="auto"/>
              </w:rPr>
            </w:pPr>
          </w:p>
        </w:tc>
      </w:tr>
      <w:tr>
        <w:trPr>
          <w:trHeight w:val="216"/>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 w:type="dxa"/>
            <w:vAlign w:val="bottom"/>
            <w:vMerge w:val="continue"/>
          </w:tcPr>
          <w:p>
            <w:pPr>
              <w:spacing w:after="0"/>
              <w:rPr>
                <w:sz w:val="17"/>
                <w:szCs w:val="17"/>
                <w:color w:val="auto"/>
              </w:rPr>
            </w:pPr>
          </w:p>
        </w:tc>
        <w:tc>
          <w:tcPr>
            <w:tcW w:w="11040" w:type="dxa"/>
            <w:vAlign w:val="bottom"/>
            <w:gridSpan w:val="2"/>
            <w:vMerge w:val="restart"/>
          </w:tcPr>
          <w:p>
            <w:pPr>
              <w:ind w:left="5260"/>
              <w:spacing w:after="0"/>
              <w:rPr>
                <w:sz w:val="20"/>
                <w:szCs w:val="20"/>
                <w:color w:val="auto"/>
              </w:rPr>
            </w:pPr>
            <w:r>
              <w:rPr>
                <w:rFonts w:ascii="Times New Roman" w:cs="Times New Roman" w:eastAsia="Times New Roman" w:hAnsi="Times New Roman"/>
                <w:sz w:val="18"/>
                <w:szCs w:val="18"/>
                <w:b w:val="1"/>
                <w:bCs w:val="1"/>
                <w:color w:val="auto"/>
              </w:rPr>
              <w:t>ARRIVENT BIOPHARMA, INC.</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4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 </w:t>
            </w: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4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740" w:type="dxa"/>
            <w:vAlign w:val="bottom"/>
          </w:tcPr>
          <w:p>
            <w:pPr>
              <w:ind w:left="5260"/>
              <w:spacing w:after="0" w:line="191" w:lineRule="exact"/>
              <w:rPr>
                <w:sz w:val="20"/>
                <w:szCs w:val="20"/>
                <w:color w:val="auto"/>
              </w:rPr>
            </w:pPr>
            <w:r>
              <w:rPr>
                <w:rFonts w:ascii="Times New Roman" w:cs="Times New Roman" w:eastAsia="Times New Roman" w:hAnsi="Times New Roman"/>
                <w:sz w:val="18"/>
                <w:szCs w:val="18"/>
                <w:color w:val="auto"/>
                <w:w w:val="89"/>
              </w:rPr>
              <w:t>Name: </w:t>
            </w:r>
          </w:p>
        </w:tc>
        <w:tc>
          <w:tcPr>
            <w:tcW w:w="5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4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Title:</w:t>
            </w: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4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undersigned is the Holder of Warrant No. 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issued by ArriVent BioPharma,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have the respective meanings set forth in the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undersigned hereby exercises its right to purchase Warrant Shares pursuant to the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The Holder intends that payment of the Exercise Price shall be made as (check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340" w:hanging="328"/>
        <w:spacing w:after="0" w:line="207" w:lineRule="exact"/>
        <w:tabs>
          <w:tab w:leader="none" w:pos="340"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 Exercise</w:t>
      </w:r>
    </w:p>
    <w:p>
      <w:pPr>
        <w:spacing w:after="0" w:line="15" w:lineRule="exact"/>
        <w:rPr>
          <w:rFonts w:ascii="Times New Roman" w:cs="Times New Roman" w:eastAsia="Times New Roman" w:hAnsi="Times New Roman"/>
          <w:sz w:val="18"/>
          <w:szCs w:val="18"/>
          <w:color w:val="auto"/>
        </w:rPr>
      </w:pPr>
    </w:p>
    <w:p>
      <w:pPr>
        <w:spacing w:after="0"/>
        <w:tabs>
          <w:tab w:leader="none" w:pos="0" w:val="left"/>
        </w:tabs>
        <w:numPr>
          <w:ilvl w:val="0"/>
          <w:numId w:val="18"/>
        </w:numPr>
        <w:rPr>
          <w:rFonts w:ascii="Times New Roman" w:cs="Times New Roman" w:eastAsia="Times New Roman" w:hAnsi="Times New Roman"/>
          <w:sz w:val="18"/>
          <w:szCs w:val="18"/>
          <w:color w:val="auto"/>
        </w:rPr>
      </w:pPr>
    </w:p>
    <w:p>
      <w:pPr>
        <w:spacing w:after="0" w:line="7" w:lineRule="exact"/>
        <w:rPr>
          <w:rFonts w:ascii="Times New Roman" w:cs="Times New Roman" w:eastAsia="Times New Roman" w:hAnsi="Times New Roman"/>
          <w:sz w:val="18"/>
          <w:szCs w:val="18"/>
          <w:color w:val="auto"/>
        </w:rPr>
      </w:pPr>
    </w:p>
    <w:p>
      <w:pPr>
        <w:ind w:left="340" w:hanging="328"/>
        <w:spacing w:after="0" w:line="207" w:lineRule="exact"/>
        <w:tabs>
          <w:tab w:leader="none" w:pos="340"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“Cashless Exercise” under Section 10 of the Warrant</w:t>
      </w:r>
    </w:p>
    <w:p>
      <w:pPr>
        <w:spacing w:after="0" w:line="10" w:lineRule="exact"/>
        <w:rPr>
          <w:rFonts w:ascii="Times New Roman" w:cs="Times New Roman" w:eastAsia="Times New Roman" w:hAnsi="Times New Roman"/>
          <w:sz w:val="18"/>
          <w:szCs w:val="18"/>
          <w:color w:val="auto"/>
        </w:rPr>
      </w:pPr>
    </w:p>
    <w:p>
      <w:pPr>
        <w:spacing w:after="0"/>
        <w:tabs>
          <w:tab w:leader="none" w:pos="0" w:val="left"/>
        </w:tabs>
        <w:numPr>
          <w:ilvl w:val="0"/>
          <w:numId w:val="18"/>
        </w:numPr>
        <w:rPr>
          <w:rFonts w:ascii="Times New Roman" w:cs="Times New Roman" w:eastAsia="Times New Roman" w:hAnsi="Times New Roman"/>
          <w:sz w:val="18"/>
          <w:szCs w:val="18"/>
          <w:color w:val="auto"/>
        </w:rPr>
      </w:pPr>
    </w:p>
    <w:p>
      <w:pPr>
        <w:spacing w:after="0" w:line="7" w:lineRule="exact"/>
        <w:rPr>
          <w:rFonts w:ascii="Times New Roman" w:cs="Times New Roman" w:eastAsia="Times New Roman" w:hAnsi="Times New Roman"/>
          <w:sz w:val="18"/>
          <w:szCs w:val="18"/>
          <w:color w:val="auto"/>
        </w:rPr>
      </w:pPr>
    </w:p>
    <w:p>
      <w:pPr>
        <w:ind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If the Holder has elected a Cash Exercise, the Holder shall pay the sum of $       in immediately available funds to the Company in accordance with the terms of the Warrant.</w:t>
      </w:r>
    </w:p>
    <w:p>
      <w:pPr>
        <w:spacing w:after="0"/>
        <w:tabs>
          <w:tab w:leader="none" w:pos="0" w:val="left"/>
        </w:tabs>
        <w:numPr>
          <w:ilvl w:val="0"/>
          <w:numId w:val="18"/>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Pursuant to this Exercise Notice, the Company shall deliver to the Holder Warrant Shares determined in accordance with the terms of the Warrant.</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18"/>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-24130</wp:posOffset>
            </wp:positionV>
            <wp:extent cx="139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9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14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Name of Holder:</w:t>
            </w: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0</wp:posOffset>
            </wp:positionV>
            <wp:extent cx="9258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__,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I to the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10282-2198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Guggenheim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ArriVent BioPharma, Inc. - Lock-Up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understands that you, as representatives (the “Representatives”), propose to enter into an underwriting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Agreement”) on behalf of the several Underwriters named in Schedule I to such agreement (collectively, the “Underwriters”), with ArriVent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Inc., a Delaware corporation (the “Company”), providing for a public offering (the “Public Offering”) of shares (the “Shares”) of the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par value $0.0001 per share, of the Company (the “Common Stock”) pursuant to a Registration Statement on Form S-3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filed with the Securities and Exchange Commission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agreement by the Underwriters to offer and sell the Shares, and of other good and valuable consideration the receipt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sufficiency of which is hereby acknowledged, the undersigned agrees that, subject to the provisions contained herein, during the period beginning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this Lock-Up Agreement and continuing to and including the date that is 90 days after the date of the final prospectus relating to the Public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(such period, the “Lock-Up Period”), the undersigned shall not, and shall not cause or direct any of its affiliates to, (i) offer, sell,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sell, pledge, grant any option, right or warrant to purchase, purchase any option or contract to sell, lend or otherwise transfer or dispose of any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or any options or warrants to purchase any shares of Common Stock, or any securities convertible into, exchangeable for or that represent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to receive shares of Common Stock (such shares of Common Stock, options, rights, warrants or other securities, collectively, “Lock-Up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including without limitation any such Lock-Up Securities currently beneficially owned (as such term is used in Rule 13d-3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of 1934, as amended (the “Exchange Act”)) or hereafter acquired by the undersigned, (ii) engage in any hedging or other transaction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(including, without limitation, any short sale or the purchase or sale of, or entry into, any put or call option, or combination thereof, forward,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swap or any other derivative transaction or instrument, however described or defined) which is designed to or which reasonably could be expected to lead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or result in a sale, loan, pledge or other disposition (whether by the undersigned or someone other than the undersigned), or transfer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consequences of ownership, in whole or in part, directly or indirectly, of any Lock-Up Securities, whether any such transaction or arrangement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instrument provided for thereunder) would be settled by delivery of Common Stock or other securities, in cash or otherwise (any such sale, loan, pledge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disposition, or transfer of economic consequences, a “Transfer”), (iii) make any demand for or exercise any right with respect to the registration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Lock-Up Securities or (iv) otherwise publicly announce any intention to engage in or cause any action, activity, transaction or arrangement described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(i), (ii) or (iii) above. The undersigned represents and warrants that the undersigned is not, and has not caused or directed any of its affiliates to be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currently a party to any agreement or arrangement that provides for, is designed to or reasonably could be expected to lead to or result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during the Lock-Up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undersigned may, without the prior consent of the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the undersigned’s Lock-Up Securities (i) as one or more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or charitable contributions,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 (ii) upon death by will, testamentary document or intestate succession, (iii) 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 (iv) to a corporation, partnership, limited liability company or other entity of which the undersigned and the immediate family of the undersigned are the legal and beneficial owner of all of the outstanding equity securities or similar interests, (v) to a nominee or custodian of a person or entity to whom a disposition or transfer would be permissible under clauses (a)(i) through (iv) above, (vi) if the undersigned is a corporation, partnership, limited liability company or other business entity, (A) to another corporation, partnership, limited liability company or other business entity that is an affiliate (as defined in Rule 405 under the Securities Act of 1933, as amended) of the undersigned, or to any investment fund or other entity which fund or entity is controlled or managed by the undersigned or affiliates of the undersigned, or (B) as part of a distribution by the undersigned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the Company from an employee of the Company upon death, disability or termination of employment, in each case, of such employee, (ix) if the undersigned is not an officer or director of the Company, in connection with a sale of the undersigned’s shares of Common Stock acquired (A) from the Underwriters in the Public Offering or (B) in open market transactions after the closing date of the Public Offering, (x) to the Company in connection with the vesting, settlement or exercise of restricted stock units, options, warrants or other rights to purchase shares of Common Stock (including, in each case, by way of “net” or “cashless” exercise) that are scheduled to expire or automatically vest during the Lock-Up Period,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relating to the Shares included in the Registration Statement immediately prior to the time the Underwriting Agreement is executed and the Prospectus, provided that any securities received upon such vesting, settlement, exercise or conversion shall be subject to the terms of this Lock-Up Agreement, (xi) in connection with any sales of Shares by the undersigned to the Underwriters pursuant to the Underwriting Agreement, or (xii) with the prior written consent of the Representatives on behalf of the Underwriters; provided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 (ii),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and (D) in the case of clauses (a)(vii),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 (a)(vii) above, that the donee, devisee, transferee or distributee has agreed to be bound by a lock-up agreement in the form of this Lock-Up Agreement;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980" w:hanging="324"/>
        <w:spacing w:after="0" w:line="250"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written plan meeting the requirements of Rule 10b5-1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thereto that that none of the securities subject to such plan may be transferred, sold or otherwise disposed of pursuant to such plan until after the expiration of the Lock-Up Period;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undersigned’s Lock-Up Securities shall remain subject to the provisions of this Lock-Up Agreement.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of Section 13(d)(3) of the Exchange Act), other than a natural person, entity or “group” (as described above) that has executed a Lock-Up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substantially the same form as this Lock-Up Agreement, beneficially owns, directly or indirectly, 50% or more of the common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or 50% or more of the voting power, in the undersigned.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undersigned now has, and, except as contemplated by clauses (a) and (c) of the third paragraph of this Lock-Up Agreement,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acknowledges and agrees that none of the Underwriters has made any recommendation or provided any investment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advice to the undersigned with respect to this Lock-Up Agreement or the subject matter hereof, and the undersigned has consulted its own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financial, regulatory, tax and other advisors with respect to this Lock-Up Agreement and the subject matter hereof to the extent the undersigned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deemed appropriate. The undersigned further acknowledges and agrees that, although the Underwriters may have provided or hereafter provide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 in connection with the Public Offering a Form CRS and/or certain other disclosures as contemplated by Regulation Best Interest,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have not made and are not making a recommendation to the undersigned to enter into this Lock-Up Agreement or to transfer, sell or dispose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or to refrain from transferring, selling or disposing of, any shares of Common Stock, and nothing set forth in such disclosures or herein is intended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suggest that any Underwriter is making such a recommendation.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Lock-Up Agreement shall automatically terminate and the undersigned shall be released from all of his, her or its obligations hereunder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earlier of (i) the date on which for any reason the Underwriting Agreement is terminated (other than the provisions thereof that survive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payment for and delivery of the Shares to be sold thereunder (other than pursuant to the Underwriters’ option thereunder to purchase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(ii) the date on which the Company notifies the Representatives, in writing and prior to the execution of the Underwriting Agreement, that it does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intend to proceed with the Public Offering and (iii) July 31, 2025, in the event that the Underwriting Agreement has not been executed by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that the Company may, by written notice to the undersigned prior to such date, extend such date by a period of up to an additional 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Lock-Up Agreement in proceeding toward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the Public Offering. The undersigned further understands that this Lock-Up Agreement is irrevocable and shall be binding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undersigned’s heirs, legal representatives, successors and assigns. The undersigned hereby represents and warrants that the undersigned has full power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to enter into this Lock-Up Agreement. This Lock-Up Agreement shall be governed by, and construed in accordance with, the laws of the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without regard to principles of conflict of laws that would result in the application of any law other than the laws of the State of New York.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Lock-Up Agreement may be delivered via facsimile, electronic mail (including pdf or any electronic signature complying with the U.S. federal ESIGN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2000, e.g., www.docusign.com or www.echosign.com) or other transmission method, and any counterpart so delivered shall be deemed to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and validly delivered and be valid and effective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AN INDIVIDUAL:</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AN ENTITY:</w:t>
            </w:r>
          </w:p>
        </w:tc>
        <w:tc>
          <w:tcPr>
            <w:tcW w:w="0" w:type="dxa"/>
            <w:vAlign w:val="bottom"/>
          </w:tcPr>
          <w:p>
            <w:pPr>
              <w:spacing w:after="0"/>
              <w:rPr>
                <w:sz w:val="1"/>
                <w:szCs w:val="1"/>
                <w:color w:val="auto"/>
              </w:rPr>
            </w:pPr>
          </w:p>
        </w:tc>
      </w:tr>
      <w:tr>
        <w:trPr>
          <w:trHeight w:val="22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4900" w:type="dxa"/>
            <w:vAlign w:val="bottom"/>
            <w:tcBorders>
              <w:top w:val="single" w:sz="8" w:color="auto"/>
            </w:tcBorders>
          </w:tcPr>
          <w:p>
            <w:pPr>
              <w:jc w:val="center"/>
              <w:ind w:right="410"/>
              <w:spacing w:after="0" w:line="191" w:lineRule="exact"/>
              <w:rPr>
                <w:sz w:val="20"/>
                <w:szCs w:val="20"/>
                <w:color w:val="auto"/>
              </w:rPr>
            </w:pPr>
            <w:r>
              <w:rPr>
                <w:rFonts w:ascii="Times New Roman" w:cs="Times New Roman" w:eastAsia="Times New Roman" w:hAnsi="Times New Roman"/>
                <w:sz w:val="18"/>
                <w:szCs w:val="18"/>
                <w:i w:val="1"/>
                <w:iCs w:val="1"/>
                <w:color w:val="auto"/>
                <w:w w:val="99"/>
              </w:rPr>
              <w:t>(duly authorized signature)</w:t>
            </w:r>
          </w:p>
        </w:tc>
        <w:tc>
          <w:tcPr>
            <w:tcW w:w="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auto"/>
            </w:tcBorders>
          </w:tcPr>
          <w:p>
            <w:pPr>
              <w:spacing w:after="0"/>
              <w:rPr>
                <w:sz w:val="16"/>
                <w:szCs w:val="16"/>
                <w:color w:val="auto"/>
              </w:rPr>
            </w:pPr>
          </w:p>
        </w:tc>
        <w:tc>
          <w:tcPr>
            <w:tcW w:w="4920" w:type="dxa"/>
            <w:vAlign w:val="bottom"/>
            <w:tcBorders>
              <w:top w:val="single" w:sz="8" w:color="auto"/>
            </w:tcBorders>
          </w:tcPr>
          <w:p>
            <w:pPr>
              <w:jc w:val="center"/>
              <w:ind w:right="390"/>
              <w:spacing w:after="0" w:line="191" w:lineRule="exact"/>
              <w:rPr>
                <w:sz w:val="20"/>
                <w:szCs w:val="20"/>
                <w:color w:val="auto"/>
              </w:rPr>
            </w:pPr>
            <w:r>
              <w:rPr>
                <w:rFonts w:ascii="Times New Roman" w:cs="Times New Roman" w:eastAsia="Times New Roman" w:hAnsi="Times New Roman"/>
                <w:sz w:val="18"/>
                <w:szCs w:val="18"/>
                <w:i w:val="1"/>
                <w:iCs w:val="1"/>
                <w:color w:val="auto"/>
                <w:w w:val="99"/>
              </w:rPr>
              <w:t>(please print complete name of entity)</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Name:</w:t>
            </w:r>
            <w:r>
              <w:rPr>
                <w:rFonts w:ascii="Times New Roman" w:cs="Times New Roman" w:eastAsia="Times New Roman" w:hAnsi="Times New Roman"/>
                <w:sz w:val="18"/>
                <w:szCs w:val="18"/>
                <w:i w:val="1"/>
                <w:iCs w:val="1"/>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900" w:type="dxa"/>
            <w:vAlign w:val="bottom"/>
            <w:tcBorders>
              <w:top w:val="single" w:sz="8" w:color="auto"/>
            </w:tcBorders>
          </w:tcPr>
          <w:p>
            <w:pPr>
              <w:jc w:val="center"/>
              <w:ind w:right="390"/>
              <w:spacing w:after="0" w:line="176" w:lineRule="exact"/>
              <w:rPr>
                <w:sz w:val="20"/>
                <w:szCs w:val="20"/>
                <w:color w:val="auto"/>
              </w:rPr>
            </w:pPr>
            <w:r>
              <w:rPr>
                <w:rFonts w:ascii="Times New Roman" w:cs="Times New Roman" w:eastAsia="Times New Roman" w:hAnsi="Times New Roman"/>
                <w:sz w:val="18"/>
                <w:szCs w:val="18"/>
                <w:i w:val="1"/>
                <w:iCs w:val="1"/>
                <w:color w:val="auto"/>
              </w:rPr>
              <w:t>(please print full name)</w:t>
            </w:r>
          </w:p>
        </w:tc>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5"/>
                <w:szCs w:val="15"/>
                <w:color w:val="auto"/>
              </w:rPr>
            </w:pPr>
          </w:p>
        </w:tc>
        <w:tc>
          <w:tcPr>
            <w:tcW w:w="4920" w:type="dxa"/>
            <w:vAlign w:val="bottom"/>
            <w:tcBorders>
              <w:top w:val="single" w:sz="8" w:color="auto"/>
            </w:tcBorders>
          </w:tcPr>
          <w:p>
            <w:pPr>
              <w:jc w:val="center"/>
              <w:ind w:right="390"/>
              <w:spacing w:after="0" w:line="176" w:lineRule="exact"/>
              <w:rPr>
                <w:sz w:val="20"/>
                <w:szCs w:val="20"/>
                <w:color w:val="auto"/>
              </w:rPr>
            </w:pPr>
            <w:r>
              <w:rPr>
                <w:rFonts w:ascii="Times New Roman" w:cs="Times New Roman" w:eastAsia="Times New Roman" w:hAnsi="Times New Roman"/>
                <w:sz w:val="18"/>
                <w:szCs w:val="18"/>
                <w:i w:val="1"/>
                <w:iCs w:val="1"/>
                <w:color w:val="auto"/>
                <w:w w:val="99"/>
              </w:rPr>
              <w:t>(duly authorized signature)</w:t>
            </w:r>
          </w:p>
        </w:tc>
        <w:tc>
          <w:tcPr>
            <w:tcW w:w="0" w:type="dxa"/>
            <w:vAlign w:val="bottom"/>
          </w:tcPr>
          <w:p>
            <w:pPr>
              <w:spacing w:after="0"/>
              <w:rPr>
                <w:sz w:val="1"/>
                <w:szCs w:val="1"/>
                <w:color w:val="auto"/>
              </w:rPr>
            </w:pPr>
          </w:p>
        </w:tc>
      </w:tr>
      <w:tr>
        <w:trPr>
          <w:trHeight w:val="21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w:t>
            </w:r>
          </w:p>
        </w:tc>
        <w:tc>
          <w:tcPr>
            <w:tcW w:w="0" w:type="dxa"/>
            <w:vAlign w:val="bottom"/>
          </w:tcPr>
          <w:p>
            <w:pPr>
              <w:spacing w:after="0"/>
              <w:rPr>
                <w:sz w:val="1"/>
                <w:szCs w:val="1"/>
                <w:color w:val="auto"/>
              </w:rPr>
            </w:pPr>
          </w:p>
        </w:tc>
      </w:tr>
      <w:tr>
        <w:trPr>
          <w:trHeight w:val="178"/>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4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5"/>
                <w:szCs w:val="15"/>
                <w:color w:val="auto"/>
              </w:rPr>
            </w:pPr>
          </w:p>
        </w:tc>
        <w:tc>
          <w:tcPr>
            <w:tcW w:w="4920" w:type="dxa"/>
            <w:vAlign w:val="bottom"/>
            <w:tcBorders>
              <w:top w:val="single" w:sz="8" w:color="auto"/>
            </w:tcBorders>
          </w:tcPr>
          <w:p>
            <w:pPr>
              <w:jc w:val="center"/>
              <w:ind w:right="390"/>
              <w:spacing w:after="0" w:line="177" w:lineRule="exact"/>
              <w:rPr>
                <w:sz w:val="20"/>
                <w:szCs w:val="20"/>
                <w:color w:val="auto"/>
              </w:rPr>
            </w:pPr>
            <w:r>
              <w:rPr>
                <w:rFonts w:ascii="Times New Roman" w:cs="Times New Roman" w:eastAsia="Times New Roman" w:hAnsi="Times New Roman"/>
                <w:sz w:val="18"/>
                <w:szCs w:val="18"/>
                <w:i w:val="1"/>
                <w:iCs w:val="1"/>
                <w:color w:val="auto"/>
                <w:w w:val="99"/>
              </w:rPr>
              <w:t>(please print full name)</w:t>
            </w:r>
          </w:p>
        </w:tc>
        <w:tc>
          <w:tcPr>
            <w:tcW w:w="0" w:type="dxa"/>
            <w:vAlign w:val="bottom"/>
          </w:tcPr>
          <w:p>
            <w:pPr>
              <w:spacing w:after="0"/>
              <w:rPr>
                <w:sz w:val="1"/>
                <w:szCs w:val="1"/>
                <w:color w:val="auto"/>
              </w:rPr>
            </w:pPr>
          </w:p>
        </w:tc>
      </w:tr>
      <w:tr>
        <w:trPr>
          <w:trHeight w:val="214"/>
        </w:trPr>
        <w:tc>
          <w:tcPr>
            <w:tcW w:w="5400" w:type="dxa"/>
            <w:vAlign w:val="bottom"/>
            <w:gridSpan w:val="2"/>
            <w:vMerge w:val="continue"/>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9"/>
                <w:szCs w:val="19"/>
                <w:color w:val="auto"/>
              </w:rPr>
            </w:pPr>
          </w:p>
        </w:tc>
        <w:tc>
          <w:tcPr>
            <w:tcW w:w="4920" w:type="dxa"/>
            <w:vAlign w:val="bottom"/>
          </w:tcPr>
          <w:p>
            <w:pPr>
              <w:jc w:val="center"/>
              <w:ind w:right="390"/>
              <w:spacing w:after="0"/>
              <w:rPr>
                <w:sz w:val="20"/>
                <w:szCs w:val="20"/>
                <w:color w:val="auto"/>
              </w:rPr>
            </w:pPr>
            <w:r>
              <w:rPr>
                <w:rFonts w:ascii="Times New Roman" w:cs="Times New Roman" w:eastAsia="Times New Roman" w:hAnsi="Times New Roman"/>
                <w:sz w:val="18"/>
                <w:szCs w:val="18"/>
                <w:i w:val="1"/>
                <w:iCs w:val="1"/>
                <w:color w:val="auto"/>
              </w:rPr>
              <w:t>(please print full title)</w:t>
            </w:r>
          </w:p>
        </w:tc>
        <w:tc>
          <w:tcPr>
            <w:tcW w:w="0" w:type="dxa"/>
            <w:vAlign w:val="bottom"/>
          </w:tcPr>
          <w:p>
            <w:pPr>
              <w:spacing w:after="0"/>
              <w:rPr>
                <w:sz w:val="1"/>
                <w:szCs w:val="1"/>
                <w:color w:val="auto"/>
              </w:rPr>
            </w:pPr>
          </w:p>
        </w:tc>
      </w:tr>
      <w:tr>
        <w:trPr>
          <w:trHeight w:val="221"/>
        </w:trPr>
        <w:tc>
          <w:tcPr>
            <w:tcW w:w="540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ectPr>
          <w:pgSz w:w="11900" w:h="16838" w:orient="portrait"/>
          <w:cols w:equalWidth="0" w:num="1">
            <w:col w:w="11240"/>
          </w:cols>
          <w:pgMar w:left="320" w:top="220" w:right="339" w:bottom="1440" w:gutter="0" w:footer="0" w:header="0"/>
        </w:sectPr>
      </w:pPr>
    </w:p>
    <w:bookmarkStart w:id="52" w:name="page53"/>
    <w:bookmarkEnd w:id="52"/>
    <w:p>
      <w:pPr>
        <w:ind w:left="10360"/>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PRE-FUNDED WARRANT TO PURCHASE COMMON STOCK</w:t>
      </w:r>
    </w:p>
    <w:p>
      <w:pPr>
        <w:spacing w:after="0" w:line="241"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8"/>
          <w:szCs w:val="18"/>
          <w:color w:val="auto"/>
        </w:rPr>
        <w:t>Number of Shares: [</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adjustment)</w:t>
      </w:r>
    </w:p>
    <w:p>
      <w:pPr>
        <w:sectPr>
          <w:pgSz w:w="11900" w:h="16838" w:orient="portrait"/>
          <w:cols w:equalWidth="0" w:num="1">
            <w:col w:w="11240"/>
          </w:cols>
          <w:pgMar w:left="320" w:top="333"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No. 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Date: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2025</w:t>
      </w:r>
    </w:p>
    <w:p>
      <w:pPr>
        <w:spacing w:after="0" w:line="211" w:lineRule="exact"/>
        <w:rPr>
          <w:sz w:val="20"/>
          <w:szCs w:val="20"/>
          <w:color w:val="auto"/>
        </w:rPr>
      </w:pPr>
    </w:p>
    <w:p>
      <w:pPr>
        <w:sectPr>
          <w:pgSz w:w="11900" w:h="16838" w:orient="portrait"/>
          <w:cols w:equalWidth="0" w:num="3">
            <w:col w:w="8280" w:space="720"/>
            <w:col w:w="1560" w:space="180"/>
            <w:col w:w="500"/>
          </w:cols>
          <w:pgMar w:left="320" w:top="333"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ArriVent BioPharma,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 shares of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xml:space="preserve">”) at an exercise price per share equal to $0.0001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upon surrender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18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3" w:lineRule="exact"/>
        <w:rPr>
          <w:rFonts w:ascii="Times New Roman" w:cs="Times New Roman" w:eastAsia="Times New Roman" w:hAnsi="Times New Roman"/>
          <w:sz w:val="18"/>
          <w:szCs w:val="18"/>
          <w:color w:val="auto"/>
        </w:rPr>
      </w:pPr>
    </w:p>
    <w:p>
      <w:pPr>
        <w:jc w:val="both"/>
        <w:ind w:firstLine="332"/>
        <w:spacing w:after="0" w:line="259" w:lineRule="auto"/>
        <w:tabs>
          <w:tab w:leader="none" w:pos="5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w:t>
      </w:r>
    </w:p>
    <w:p>
      <w:pPr>
        <w:spacing w:after="0" w:line="179" w:lineRule="exact"/>
        <w:rPr>
          <w:rFonts w:ascii="Times New Roman" w:cs="Times New Roman" w:eastAsia="Times New Roman" w:hAnsi="Times New Roman"/>
          <w:sz w:val="18"/>
          <w:szCs w:val="18"/>
          <w:color w:val="auto"/>
        </w:rPr>
      </w:pPr>
    </w:p>
    <w:p>
      <w:pPr>
        <w:jc w:val="both"/>
        <w:ind w:firstLine="332"/>
        <w:spacing w:after="0" w:line="259" w:lineRule="auto"/>
        <w:tabs>
          <w:tab w:leader="none" w:pos="5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Section 13(d) “group” together with the Holder or any Attribution Parties and (iii)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79" w:lineRule="exact"/>
        <w:rPr>
          <w:rFonts w:ascii="Times New Roman" w:cs="Times New Roman" w:eastAsia="Times New Roman" w:hAnsi="Times New Roman"/>
          <w:sz w:val="18"/>
          <w:szCs w:val="18"/>
          <w:color w:val="auto"/>
        </w:rPr>
      </w:pPr>
    </w:p>
    <w:p>
      <w:pPr>
        <w:jc w:val="both"/>
        <w:ind w:firstLine="332"/>
        <w:spacing w:after="0" w:line="256" w:lineRule="auto"/>
        <w:tabs>
          <w:tab w:leader="none" w:pos="5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All such determinations shall be appropriately adjusted for any stock dividend, stock split, stock combination or other similar transaction during the applicable calculation period.</w:t>
      </w:r>
    </w:p>
    <w:p>
      <w:pPr>
        <w:spacing w:after="0" w:line="18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all of the rules and regulations promulgated thereunder.</w:t>
      </w:r>
    </w:p>
    <w:p>
      <w:pPr>
        <w:spacing w:after="0" w:line="22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ind w:right="20" w:firstLine="332"/>
        <w:spacing w:after="0" w:line="286" w:lineRule="auto"/>
        <w:tabs>
          <w:tab w:leader="none" w:pos="5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3" w:name="page54"/>
    <w:bookmarkEnd w:id="53"/>
    <w:p>
      <w:pPr>
        <w:ind w:left="-8" w:firstLine="332"/>
        <w:spacing w:after="0" w:line="286" w:lineRule="auto"/>
        <w:tabs>
          <w:tab w:leader="none" w:pos="5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Market.</w:t>
      </w:r>
    </w:p>
    <w:p>
      <w:pPr>
        <w:spacing w:after="0" w:line="154" w:lineRule="exact"/>
        <w:rPr>
          <w:rFonts w:ascii="Times New Roman" w:cs="Times New Roman" w:eastAsia="Times New Roman" w:hAnsi="Times New Roman"/>
          <w:sz w:val="18"/>
          <w:szCs w:val="18"/>
          <w:color w:val="auto"/>
        </w:rPr>
      </w:pPr>
    </w:p>
    <w:p>
      <w:pPr>
        <w:ind w:left="-8" w:firstLine="332"/>
        <w:spacing w:after="0" w:line="286" w:lineRule="auto"/>
        <w:tabs>
          <w:tab w:leader="none" w:pos="5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Company’s Registration Statement on Form S-3ASR filed with the Commission on February 3, 2025 (File No. 333-284661), which became automatically effective upon filing.</w:t>
      </w:r>
    </w:p>
    <w:p>
      <w:pPr>
        <w:spacing w:after="0" w:line="154" w:lineRule="exact"/>
        <w:rPr>
          <w:rFonts w:ascii="Times New Roman" w:cs="Times New Roman" w:eastAsia="Times New Roman" w:hAnsi="Times New Roman"/>
          <w:sz w:val="18"/>
          <w:szCs w:val="18"/>
          <w:color w:val="auto"/>
        </w:rPr>
      </w:pPr>
    </w:p>
    <w:p>
      <w:pPr>
        <w:ind w:left="532" w:hanging="208"/>
        <w:spacing w:after="0"/>
        <w:tabs>
          <w:tab w:leader="none" w:pos="53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all of the rules and regulations promulgated thereunder.</w:t>
      </w:r>
    </w:p>
    <w:p>
      <w:pPr>
        <w:spacing w:after="0" w:line="225" w:lineRule="exact"/>
        <w:rPr>
          <w:rFonts w:ascii="Times New Roman" w:cs="Times New Roman" w:eastAsia="Times New Roman" w:hAnsi="Times New Roman"/>
          <w:sz w:val="18"/>
          <w:szCs w:val="18"/>
          <w:color w:val="auto"/>
        </w:rPr>
      </w:pPr>
    </w:p>
    <w:p>
      <w:pPr>
        <w:ind w:left="-8" w:firstLine="332"/>
        <w:spacing w:after="0" w:line="286" w:lineRule="auto"/>
        <w:tabs>
          <w:tab w:leader="none" w:pos="5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 which as of the Issuance Date was “T+1.”</w:t>
      </w:r>
    </w:p>
    <w:p>
      <w:pPr>
        <w:spacing w:after="0" w:line="154" w:lineRule="exact"/>
        <w:rPr>
          <w:rFonts w:ascii="Times New Roman" w:cs="Times New Roman" w:eastAsia="Times New Roman" w:hAnsi="Times New Roman"/>
          <w:sz w:val="18"/>
          <w:szCs w:val="18"/>
          <w:color w:val="auto"/>
        </w:rPr>
      </w:pPr>
    </w:p>
    <w:p>
      <w:pPr>
        <w:ind w:left="572" w:hanging="248"/>
        <w:spacing w:after="0"/>
        <w:tabs>
          <w:tab w:leader="none" w:pos="57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rFonts w:ascii="Times New Roman" w:cs="Times New Roman" w:eastAsia="Times New Roman" w:hAnsi="Times New Roman"/>
          <w:sz w:val="18"/>
          <w:szCs w:val="18"/>
          <w:color w:val="auto"/>
        </w:rPr>
      </w:pPr>
    </w:p>
    <w:p>
      <w:pPr>
        <w:ind w:left="-8" w:firstLine="332"/>
        <w:spacing w:after="0" w:line="286" w:lineRule="auto"/>
        <w:tabs>
          <w:tab w:leader="none" w:pos="55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56"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1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Securities; Registration of Warrants</w:t>
      </w:r>
      <w:r>
        <w:rPr>
          <w:rFonts w:ascii="Times New Roman" w:cs="Times New Roman" w:eastAsia="Times New Roman" w:hAnsi="Times New Roman"/>
          <w:sz w:val="18"/>
          <w:szCs w:val="18"/>
          <w:color w:val="auto"/>
        </w:rPr>
        <w:t>. The Warrant, as initially issued by the Company, is offered and sold pursuant to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4"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1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 Agent to, register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evidencing the portion of this Warrant so transferred shall be issued to the transferee, and a New Warrant evidencing the remaining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8"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Warrants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8" w:firstLine="332"/>
        <w:spacing w:after="0" w:line="282" w:lineRule="auto"/>
        <w:tabs>
          <w:tab w:leader="none" w:pos="5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this Warrant (including Section 11) at any time and from time to time on or after the Original Issue Date, and such rights shall not expire.</w:t>
      </w:r>
    </w:p>
    <w:p>
      <w:pPr>
        <w:spacing w:after="0" w:line="157" w:lineRule="exact"/>
        <w:rPr>
          <w:rFonts w:ascii="Times New Roman" w:cs="Times New Roman" w:eastAsia="Times New Roman" w:hAnsi="Times New Roman"/>
          <w:sz w:val="18"/>
          <w:szCs w:val="18"/>
          <w:color w:val="auto"/>
        </w:rPr>
      </w:pPr>
    </w:p>
    <w:p>
      <w:pPr>
        <w:jc w:val="both"/>
        <w:ind w:left="-8" w:firstLine="332"/>
        <w:spacing w:after="0" w:line="257" w:lineRule="auto"/>
        <w:tabs>
          <w:tab w:leader="none" w:pos="5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86" w:lineRule="exact"/>
        <w:rPr>
          <w:rFonts w:ascii="Times New Roman" w:cs="Times New Roman" w:eastAsia="Times New Roman" w:hAnsi="Times New Roman"/>
          <w:sz w:val="18"/>
          <w:szCs w:val="18"/>
          <w:color w:val="auto"/>
        </w:rPr>
      </w:pPr>
    </w:p>
    <w:p>
      <w:pPr>
        <w:jc w:val="both"/>
        <w:ind w:left="-8" w:firstLine="332"/>
        <w:spacing w:after="0" w:line="266" w:lineRule="auto"/>
        <w:tabs>
          <w:tab w:leader="none" w:pos="56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54" w:name="page55"/>
    <w:bookmarkEnd w:id="54"/>
    <w:p>
      <w:pPr>
        <w:ind w:left="172" w:hanging="172"/>
        <w:spacing w:after="0"/>
        <w:tabs>
          <w:tab w:leader="none" w:pos="1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Warrant Shares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8" w:firstLine="332"/>
        <w:spacing w:after="0" w:line="252" w:lineRule="auto"/>
        <w:tabs>
          <w:tab w:leader="none" w:pos="5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the number of Trading Days comprising the Standard Settlement Period following the Exercise Date), upon the request of the Holder,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color w:val="auto"/>
        </w:rPr>
        <w:t>Exercise Shares</w:t>
      </w:r>
      <w:r>
        <w:rPr>
          <w:rFonts w:ascii="Times New Roman" w:cs="Times New Roman" w:eastAsia="Times New Roman" w:hAnsi="Times New Roman"/>
          <w:sz w:val="18"/>
          <w:szCs w:val="18"/>
          <w:color w:val="auto"/>
        </w:rPr>
        <w:t>”) to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At Custodian system, or if the Transfer Agent is then a participant in the DTC Fast Automated Securities Transfer Program (the “</w:t>
      </w:r>
      <w:r>
        <w:rPr>
          <w:rFonts w:ascii="Times New Roman" w:cs="Times New Roman" w:eastAsia="Times New Roman" w:hAnsi="Times New Roman"/>
          <w:sz w:val="18"/>
          <w:szCs w:val="18"/>
          <w:b w:val="1"/>
          <w:bCs w:val="1"/>
          <w:color w:val="auto"/>
        </w:rPr>
        <w:t>FAST Program</w:t>
      </w:r>
      <w:r>
        <w:rPr>
          <w:rFonts w:ascii="Times New Roman" w:cs="Times New Roman" w:eastAsia="Times New Roman" w:hAnsi="Times New Roman"/>
          <w:sz w:val="18"/>
          <w:szCs w:val="18"/>
          <w:color w:val="auto"/>
        </w:rPr>
        <w:t>”) and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member of the FAST Program or if (A) and (B) above are not true,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natural person or legal entity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97" w:lineRule="exact"/>
        <w:rPr>
          <w:rFonts w:ascii="Times New Roman" w:cs="Times New Roman" w:eastAsia="Times New Roman" w:hAnsi="Times New Roman"/>
          <w:sz w:val="18"/>
          <w:szCs w:val="18"/>
          <w:color w:val="auto"/>
        </w:rPr>
      </w:pPr>
    </w:p>
    <w:p>
      <w:pPr>
        <w:jc w:val="both"/>
        <w:ind w:left="-8" w:firstLine="332"/>
        <w:spacing w:after="0" w:line="253" w:lineRule="auto"/>
        <w:tabs>
          <w:tab w:leader="none" w:pos="58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fails to deliver to the Holder or its designee Exercise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within the Standard Settlement Period following the Exercise Date (other than a failure caused by incorrect or incomplete information provided by the Holder to the Company) and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but did not receive within the Standard Settlement Period, then the Company shall, within two (2)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194" w:lineRule="exact"/>
        <w:rPr>
          <w:rFonts w:ascii="Times New Roman" w:cs="Times New Roman" w:eastAsia="Times New Roman" w:hAnsi="Times New Roman"/>
          <w:sz w:val="18"/>
          <w:szCs w:val="18"/>
          <w:color w:val="auto"/>
        </w:rPr>
      </w:pPr>
    </w:p>
    <w:p>
      <w:pPr>
        <w:jc w:val="both"/>
        <w:ind w:left="-8" w:firstLine="332"/>
        <w:spacing w:after="0" w:line="253" w:lineRule="auto"/>
        <w:tabs>
          <w:tab w:leader="none" w:pos="5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8" w:firstLine="8"/>
        <w:spacing w:after="0" w:line="257" w:lineRule="auto"/>
        <w:tabs>
          <w:tab w:leader="none" w:pos="1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Charges, Taxes and Expenses</w:t>
      </w:r>
      <w:r>
        <w:rPr>
          <w:rFonts w:ascii="Times New Roman" w:cs="Times New Roman" w:eastAsia="Times New Roman" w:hAnsi="Times New Roman"/>
          <w:sz w:val="18"/>
          <w:szCs w:val="18"/>
          <w:color w:val="auto"/>
        </w:rPr>
        <w:t>. Issuance and delivery for shares of Common Stock upon exercise of this Warrant shall be made without charge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55" w:name="page56"/>
    <w:bookmarkEnd w:id="55"/>
    <w:p>
      <w:pPr>
        <w:jc w:val="both"/>
        <w:ind w:left="-8" w:firstLine="8"/>
        <w:spacing w:after="0" w:line="258" w:lineRule="auto"/>
        <w:tabs>
          <w:tab w:leader="none" w:pos="1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1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 available out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83" w:lineRule="exact"/>
        <w:rPr>
          <w:rFonts w:ascii="Times New Roman" w:cs="Times New Roman" w:eastAsia="Times New Roman" w:hAnsi="Times New Roman"/>
          <w:sz w:val="18"/>
          <w:szCs w:val="18"/>
          <w:color w:val="auto"/>
        </w:rPr>
      </w:pPr>
    </w:p>
    <w:p>
      <w:pPr>
        <w:ind w:left="-8" w:firstLine="8"/>
        <w:spacing w:after="0" w:line="286" w:lineRule="auto"/>
        <w:tabs>
          <w:tab w:leader="none" w:pos="1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(the “</w:t>
      </w:r>
      <w:r>
        <w:rPr>
          <w:rFonts w:ascii="Times New Roman" w:cs="Times New Roman" w:eastAsia="Times New Roman" w:hAnsi="Times New Roman"/>
          <w:sz w:val="18"/>
          <w:szCs w:val="18"/>
          <w:b w:val="1"/>
          <w:bCs w:val="1"/>
          <w:color w:val="auto"/>
        </w:rPr>
        <w:t>Number of Warrant Shares</w:t>
      </w:r>
      <w:r>
        <w:rPr>
          <w:rFonts w:ascii="Times New Roman" w:cs="Times New Roman" w:eastAsia="Times New Roman" w:hAnsi="Times New Roman"/>
          <w:sz w:val="18"/>
          <w:szCs w:val="18"/>
          <w:color w:val="auto"/>
        </w:rPr>
        <w: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adjustment 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8" w:firstLine="332"/>
        <w:spacing w:after="0" w:line="253" w:lineRule="auto"/>
        <w:tabs>
          <w:tab w:leader="none" w:pos="5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189" w:lineRule="exact"/>
        <w:rPr>
          <w:rFonts w:ascii="Times New Roman" w:cs="Times New Roman" w:eastAsia="Times New Roman" w:hAnsi="Times New Roman"/>
          <w:sz w:val="18"/>
          <w:szCs w:val="18"/>
          <w:color w:val="auto"/>
        </w:rPr>
      </w:pPr>
    </w:p>
    <w:p>
      <w:pPr>
        <w:jc w:val="both"/>
        <w:ind w:left="-8" w:firstLine="332"/>
        <w:spacing w:after="0" w:line="252" w:lineRule="auto"/>
        <w:tabs>
          <w:tab w:leader="none" w:pos="5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any distribution of Purchase Rights (as defined below)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426720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56" w:name="page57"/>
    <w:bookmarkEnd w:id="56"/>
    <w:p>
      <w:pPr>
        <w:jc w:val="both"/>
        <w:ind w:left="-8" w:firstLine="332"/>
        <w:spacing w:after="0" w:line="252" w:lineRule="auto"/>
        <w:tabs>
          <w:tab w:leader="none" w:pos="5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w:t>
      </w:r>
    </w:p>
    <w:p>
      <w:pPr>
        <w:spacing w:after="0" w:line="1"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89" w:lineRule="exact"/>
        <w:rPr>
          <w:rFonts w:ascii="Times New Roman" w:cs="Times New Roman" w:eastAsia="Times New Roman" w:hAnsi="Times New Roman"/>
          <w:sz w:val="18"/>
          <w:szCs w:val="18"/>
          <w:color w:val="auto"/>
        </w:rPr>
      </w:pPr>
    </w:p>
    <w:p>
      <w:pPr>
        <w:jc w:val="both"/>
        <w:ind w:left="-8" w:firstLine="332"/>
        <w:spacing w:after="0" w:line="251" w:lineRule="auto"/>
        <w:tabs>
          <w:tab w:leader="none" w:pos="5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8"/>
          <w:szCs w:val="18"/>
          <w:u w:val="single" w:color="auto"/>
          <w:color w:val="auto"/>
        </w:rPr>
        <w:t>Sections 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9(c)</w:t>
      </w:r>
      <w:r>
        <w:rPr>
          <w:rFonts w:ascii="Times New Roman" w:cs="Times New Roman" w:eastAsia="Times New Roman" w:hAnsi="Times New Roman"/>
          <w:sz w:val="18"/>
          <w:szCs w:val="18"/>
          <w:color w:val="auto"/>
        </w:rPr>
        <w:t xml:space="preserve"> above) without regard to any limitations on 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433705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7" w:name="page58"/>
    <w:bookmarkEnd w:id="57"/>
    <w:p>
      <w:pPr>
        <w:jc w:val="both"/>
        <w:ind w:firstLine="332"/>
        <w:spacing w:after="0" w:line="261" w:lineRule="auto"/>
        <w:tabs>
          <w:tab w:leader="none" w:pos="5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7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225" w:lineRule="exact"/>
        <w:rPr>
          <w:rFonts w:ascii="Times New Roman" w:cs="Times New Roman" w:eastAsia="Times New Roman" w:hAnsi="Times New Roman"/>
          <w:sz w:val="18"/>
          <w:szCs w:val="18"/>
          <w:color w:val="auto"/>
        </w:rPr>
      </w:pPr>
    </w:p>
    <w:p>
      <w:pPr>
        <w:jc w:val="both"/>
        <w:ind w:firstLine="332"/>
        <w:spacing w:after="0" w:line="258" w:lineRule="auto"/>
        <w:tabs>
          <w:tab w:leader="none" w:pos="5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83" w:lineRule="exact"/>
        <w:rPr>
          <w:rFonts w:ascii="Times New Roman" w:cs="Times New Roman" w:eastAsia="Times New Roman" w:hAnsi="Times New Roman"/>
          <w:sz w:val="18"/>
          <w:szCs w:val="18"/>
          <w:color w:val="auto"/>
        </w:rPr>
      </w:pPr>
    </w:p>
    <w:p>
      <w:pPr>
        <w:jc w:val="both"/>
        <w:ind w:firstLine="332"/>
        <w:spacing w:after="0" w:line="253" w:lineRule="auto"/>
        <w:tabs>
          <w:tab w:leader="none" w:pos="5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9(c),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w:t>
      </w:r>
    </w:p>
    <w:p>
      <w:pPr>
        <w:spacing w:after="0" w:line="188" w:lineRule="exact"/>
        <w:rPr>
          <w:sz w:val="20"/>
          <w:szCs w:val="20"/>
          <w:color w:val="auto"/>
        </w:rPr>
      </w:pPr>
    </w:p>
    <w:p>
      <w:pPr>
        <w:jc w:val="both"/>
        <w:ind w:firstLine="8"/>
        <w:spacing w:after="0" w:line="267" w:lineRule="auto"/>
        <w:tabs>
          <w:tab w:leader="none" w:pos="28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 obligation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equals the Closing Sale Prices of the shares of Common Stock (as reported by Bloomberg Financial Markets) as of the Trading Day on the date immediately preceding the Exercise Date; and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the Warrant may only be exercised through a cashless exercise,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Except as set forth in Section 5(b) (Buy-In remedy) and Section 12 (payment of cash in lieu of fractional shares), in no event will the exercise of this Warrant be settled in cash.</w:t>
      </w:r>
    </w:p>
    <w:p>
      <w:pPr>
        <w:spacing w:after="0" w:line="187" w:lineRule="exact"/>
        <w:rPr>
          <w:sz w:val="20"/>
          <w:szCs w:val="20"/>
          <w:color w:val="auto"/>
        </w:rPr>
      </w:pPr>
    </w:p>
    <w:p>
      <w:pPr>
        <w:ind w:left="280" w:hanging="272"/>
        <w:spacing w:after="0"/>
        <w:tabs>
          <w:tab w:leader="none" w:pos="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Exercise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332"/>
        <w:spacing w:after="0" w:line="252" w:lineRule="auto"/>
        <w:tabs>
          <w:tab w:leader="none" w:pos="57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w:t>
      </w:r>
    </w:p>
    <w:p>
      <w:pPr>
        <w:spacing w:after="0" w:line="6"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Paragraph 11(a),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Form 10-K, Form 10-Q, Current Report on Form 8-K or other public filing with the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For any reason at any time, upon the written or oral request of the Holder, the Company shall within one</w:t>
      </w:r>
    </w:p>
    <w:p>
      <w:pPr>
        <w:spacing w:after="0" w:line="3"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Trading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notify the Holder in writing of the number of shares of Common Stock then outstanding and, to the extent that such Exercise Notice would otherwise cause the Holder’s, together with the Attribution Parties’, beneficial ownership, as determined pursuant to this Section 11(a),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be deemed null and void and shall be cancelled ab initio, and the Holder and/or the Attribution Parties shall not have the power to vote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provided that any increase in the Maximum Percentage will not be effective until the sixty-first (61st) day after such notice is delivered to the Company and shall not negatively affect any partial exercise effected prior to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left="-8" w:firstLine="332"/>
        <w:spacing w:after="0" w:line="254" w:lineRule="auto"/>
        <w:tabs>
          <w:tab w:leader="none" w:pos="5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Rule 16a-1(a)</w:t>
      </w:r>
    </w:p>
    <w:p>
      <w:pPr>
        <w:spacing w:after="0" w:line="3"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promulgated thereunder.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88" w:lineRule="exact"/>
        <w:rPr>
          <w:sz w:val="20"/>
          <w:szCs w:val="20"/>
          <w:color w:val="auto"/>
        </w:rPr>
      </w:pPr>
    </w:p>
    <w:p>
      <w:pPr>
        <w:jc w:val="both"/>
        <w:ind w:left="-8" w:right="20" w:firstLine="8"/>
        <w:spacing w:after="0" w:line="267" w:lineRule="auto"/>
        <w:tabs>
          <w:tab w:leader="none" w:pos="2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3"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2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 in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82" w:lineRule="exact"/>
        <w:rPr>
          <w:rFonts w:ascii="Times New Roman" w:cs="Times New Roman" w:eastAsia="Times New Roman" w:hAnsi="Times New Roman"/>
          <w:sz w:val="18"/>
          <w:szCs w:val="18"/>
          <w:color w:val="auto"/>
        </w:rPr>
      </w:pPr>
    </w:p>
    <w:p>
      <w:pPr>
        <w:jc w:val="both"/>
        <w:ind w:left="-8" w:firstLine="8"/>
        <w:spacing w:after="0" w:line="257" w:lineRule="auto"/>
        <w:tabs>
          <w:tab w:leader="none" w:pos="2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 Agent</w:t>
      </w:r>
      <w:r>
        <w:rPr>
          <w:rFonts w:ascii="Times New Roman" w:cs="Times New Roman" w:eastAsia="Times New Roman" w:hAnsi="Times New Roman"/>
          <w:sz w:val="18"/>
          <w:szCs w:val="18"/>
          <w:color w:val="auto"/>
        </w:rPr>
        <w:t>. The Company shall initially serve as warrant agent under this Warrant. Upon thirty (30) days’ notice to the Holder, the Company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8" w:firstLine="332"/>
        <w:spacing w:after="0" w:line="254" w:lineRule="auto"/>
        <w:tabs>
          <w:tab w:leader="none" w:pos="5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0" w:name="page61"/>
    <w:bookmarkEnd w:id="60"/>
    <w:p>
      <w:pPr>
        <w:jc w:val="both"/>
        <w:ind w:left="-8" w:firstLine="332"/>
        <w:spacing w:after="0" w:line="254" w:lineRule="auto"/>
        <w:tabs>
          <w:tab w:leader="none" w:pos="5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5" w:lineRule="exact"/>
        <w:rPr>
          <w:rFonts w:ascii="Times New Roman" w:cs="Times New Roman" w:eastAsia="Times New Roman" w:hAnsi="Times New Roman"/>
          <w:sz w:val="18"/>
          <w:szCs w:val="18"/>
          <w:color w:val="auto"/>
        </w:rPr>
      </w:pPr>
    </w:p>
    <w:p>
      <w:pPr>
        <w:jc w:val="both"/>
        <w:ind w:left="-8" w:firstLine="332"/>
        <w:spacing w:after="0" w:line="258" w:lineRule="auto"/>
        <w:tabs>
          <w:tab w:leader="none" w:pos="5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83" w:lineRule="exact"/>
        <w:rPr>
          <w:rFonts w:ascii="Times New Roman" w:cs="Times New Roman" w:eastAsia="Times New Roman" w:hAnsi="Times New Roman"/>
          <w:sz w:val="18"/>
          <w:szCs w:val="18"/>
          <w:color w:val="auto"/>
        </w:rPr>
      </w:pPr>
    </w:p>
    <w:p>
      <w:pPr>
        <w:jc w:val="both"/>
        <w:ind w:left="-8" w:firstLine="332"/>
        <w:spacing w:after="0" w:line="266" w:lineRule="auto"/>
        <w:tabs>
          <w:tab w:leader="none" w:pos="5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ind w:left="572" w:hanging="248"/>
        <w:spacing w:after="0"/>
        <w:tabs>
          <w:tab w:leader="none" w:pos="57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225" w:lineRule="exact"/>
        <w:rPr>
          <w:rFonts w:ascii="Times New Roman" w:cs="Times New Roman" w:eastAsia="Times New Roman" w:hAnsi="Times New Roman"/>
          <w:sz w:val="18"/>
          <w:szCs w:val="18"/>
          <w:color w:val="auto"/>
        </w:rPr>
      </w:pPr>
    </w:p>
    <w:p>
      <w:pPr>
        <w:jc w:val="both"/>
        <w:ind w:left="-8" w:firstLine="332"/>
        <w:spacing w:after="0" w:line="252" w:lineRule="auto"/>
        <w:tabs>
          <w:tab w:leader="none" w:pos="64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427355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1" w:name="page62"/>
    <w:bookmarkEnd w:id="61"/>
    <w:p>
      <w:pPr>
        <w:ind w:left="-20" w:firstLine="332"/>
        <w:spacing w:after="0" w:line="282" w:lineRule="auto"/>
        <w:tabs>
          <w:tab w:leader="none" w:pos="5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left="-20" w:firstLine="332"/>
        <w:spacing w:after="0" w:line="266" w:lineRule="auto"/>
        <w:tabs>
          <w:tab w:leader="none" w:pos="5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duly executed by its authorized officer as of the date first indicated above.</w:t>
      </w:r>
    </w:p>
    <w:p>
      <w:pPr>
        <w:spacing w:after="0" w:line="2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17145</wp:posOffset>
            </wp:positionV>
            <wp:extent cx="32061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443230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660" w:top="904" w:right="7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 w:firstLine="8"/>
        <w:spacing w:after="0" w:line="286" w:lineRule="auto"/>
        <w:tabs>
          <w:tab w:leader="none" w:pos="2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issued by ArriVent BioPharma,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5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1"/>
          <w:numId w:val="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25" w:lineRule="exact"/>
        <w:rPr>
          <w:rFonts w:ascii="MS PGothic" w:cs="MS PGothic" w:eastAsia="MS PGothic" w:hAnsi="MS PGothic"/>
          <w:sz w:val="18"/>
          <w:szCs w:val="18"/>
          <w:color w:val="auto"/>
        </w:rPr>
      </w:pPr>
    </w:p>
    <w:p>
      <w:pPr>
        <w:ind w:left="660" w:hanging="324"/>
        <w:spacing w:after="0"/>
        <w:tabs>
          <w:tab w:leader="none" w:pos="660" w:val="left"/>
        </w:tabs>
        <w:numPr>
          <w:ilvl w:val="1"/>
          <w:numId w:val="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(4) If the Holder has elected a Cash Exercise, the Holder shall pay the sum of $ terms of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immediately available funds to the Company in accordance with the</w:t>
      </w:r>
    </w:p>
    <w:p>
      <w:pPr>
        <w:spacing w:after="0" w:line="441" w:lineRule="exact"/>
        <w:rPr>
          <w:sz w:val="20"/>
          <w:szCs w:val="20"/>
          <w:color w:val="auto"/>
        </w:rPr>
      </w:pPr>
    </w:p>
    <w:p>
      <w:pPr>
        <w:sectPr>
          <w:pgSz w:w="11900" w:h="16838" w:orient="portrait"/>
          <w:cols w:equalWidth="0" w:num="2">
            <w:col w:w="5780" w:space="320"/>
            <w:col w:w="5140"/>
          </w:cols>
          <w:pgMar w:left="320" w:top="900" w:right="339" w:bottom="1440" w:gutter="0" w:footer="0" w:header="0"/>
          <w:type w:val="continuous"/>
        </w:sect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-38735</wp:posOffset>
            </wp:positionV>
            <wp:extent cx="285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17145</wp:posOffset>
            </wp:positionV>
            <wp:extent cx="7029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17145</wp:posOffset>
            </wp:positionV>
            <wp:extent cx="7029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17145</wp:posOffset>
            </wp:positionV>
            <wp:extent cx="7029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17145</wp:posOffset>
            </wp:positionV>
            <wp:extent cx="7029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17145</wp:posOffset>
            </wp:positionV>
            <wp:extent cx="7029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8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-119380</wp:posOffset>
            </wp:positionV>
            <wp:extent cx="900430" cy="11061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00430" cy="1106170"/>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617 542 6000</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Campus Boulevard,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Newtown Square, Pennsylvania 19073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acted as legal counsel to ArriVent BioPharma, Inc., a Delaware corporation (the “Company”), in connection with the preparation and filing with the Securities and Exchange Commission (the “Commission”) of a prospectus supplement, dated July 1, 2025 (the “Prospectus Supplement”) to a prospectus dated February 3, 2025 (the “Base Prospectus” and together with the Prospectus Supplement, the “Prospectus”), filed pursuant to a Registration Statement (File No. 333-284661) on Form S-3ASR (the “Registration Statement”), filed by the Company with the Commission under the Securities Act of 1933, as amended (the “Securities Act”). The Prospectus Supplement relates to the sale of (i) an aggregate of 3,059,615 shares (the “Shares”) of the Company’s common stock, par value $0.0001 per share (the “Common Stock”), which includes 576,923 Shares of the Company’s Common Stock that may be sold pursuant to the exercise of an option to purchase additional shares, and (ii) pre-funded warrants (the “Pre-Funded Warrants”) to purchase up to 1,363,469 shares of Common Stock (the “Pre-Funded Warrant Shares”), pursuant to an underwriting agreement (the “Underwriting Agreement”), dated July 1, 2025, between the Company and Goldman Sachs &amp; Co. LLC, Citigroup Global Markets Inc., and Guggenheim Securities, LLC, as representatives of the several underwriters named therein. The Underwriting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9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In connection with this opinion, we have examined the Company’s Amended and Restated Certificate of Incorporation and Amended and Restated Bylaws, each as currently in effect, the Registration Statement and the exhibits thereto, the Prospectus, the Underwriting Agreement, the form of Pre-Funded Warrant, and such other records of the corporate proceedings of the Company and certificates of the Company’s officers as we have deemed relevant.</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the authenticity of the originals of such copies, and the truth and correctness of any representations and warranties contained therein. With respect to our opinion as to the Pre-Funded Warrant Shares issuable upon exercise of the Pre-Funded Warrants, we have assumed that, at the time of issuance and sale, a sufficient number of shares of Common Stock are authorized and available for issuance under the Company’s Amended and Restated Certificate of Incorporation, as then in effect, and that the exercise price per share of the Pre-Funded Warrants is an amount that is not less than the par value of the Common Stock. We have relied, without independent verification, on certificates of public officials and, as to matters of fact material to the opinions set forth below, on certificates of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BOSTON   LOS ANGELES   MIAMI   NEW YORK   SAN DIEGO   SAN FRANCISCO   TORONTO   WASHINGTON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6597015</wp:posOffset>
            </wp:positionH>
            <wp:positionV relativeFrom="paragraph">
              <wp:posOffset>-119380</wp:posOffset>
            </wp:positionV>
            <wp:extent cx="514350" cy="6261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 cy="62611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opinion expressed herein is limited to the General Corporation Law of the State of Delaware and we express no opinion with respect to the laws of any other jurisdiction. No opinion is expressed herein with respect to (i) the qualification of the Shares, the Pre-Funded Warrants or the Pre-Funded Warrant Shares under the securities or blue sky laws of any state or any foreign jurisdiction, or (ii) the compliance with any federal or state law, rule or regulation relating to securities, or to the sale or issuance thereof.</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Based upon the foregoing, we are of the opinion that (i) the Shares, when issued and delivered in accordance with the terms of the Underwriting Agreement, will be validly issued, fully paid and non-assessable, (ii) the Pre-Funded Warrants, when paid for in accordance with the terms of the Registration Statement and the Underwriting Agreement, will constitute valid and legally binding obligations of the Company, except as may be limited by bankruptcy, insolvency or other similar laws affecting the rights and remedies of creditors in general and the general principles of equity, and (iii) the Pre-Funded Warrant Shares when issued against payment therefor in accordance with the terms and conditions of the Pre-Funded Warrants, will be validly issued, fully paid and non-assessable.</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understand that you wish to file this opinion with the Commission as an exhibit to a Current Report on Form 8-K for incorporation by reference into the Registration Statement in accordance with the requirements of Item 601(b)(5) of Regulation S-K promulgated under the Securities Act and to reference the firm’s name under the caption “Legal Matters” in the Prospectus Supplement,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6" w:name="page67"/>
    <w:bookmarkEnd w:id="66"/>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Announces Pricing of $75 Million Public Offering of Common Stock and Pre-Funded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NEWTOWN SQUARE, PA, July 1, 2025 – ArriVent BioPharma, Inc. (“ArriVent”) (Nasdaq: AVBP), a clinical-stage company dedicated to accelerating the global development of innovative biopharmaceutical therapeutics, today announced the pricing of an underwritten public offering of 2,482,692 shares of its common stock at a price to the public of $19.50 per share and, in lieu of common stock to certain investors, pre-funded warrants to purchase up to 1,363,469 shares of its common stock at a price to the public of $19.4999, which represents the per share public offering price for the shares of common stock less $0.0001 per share exercise price for each pre-funded warrant. The gross proceeds to ArriVent from the offering, before deducting the underwriting discounts and commissions and offering expenses, are expected to be approximately $75 million. In addition, ArriVent has granted the underwriters a 30-day option to purchase up to an additional 576,923 shares of its common stock on the same terms and conditions. All of the securities are being offered by ArriVent.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Goldman Sachs &amp; Co. LLC, Citigroup and Guggenheim Securities are acting as joint book-running managers for the offering. LifeSci Capital and Oppenheimer &amp; Co. are acting as lead managers, and B. Riley Securities, H.C. Wainwright &amp; Co., and Jones are acting as co-managers for the offering. This offering is expected to close on or about July 3, 2025, subject to the satisfaction of customary closing conditions.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ArriVent intends to use the net proceeds from the offering, together with its existing cash resources, to support its activities for firmonertinib and its other pipeline programs and for working capital and other general corporate purposes.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 automatic shelf registration statement on Form S-3ASR relating to the securities being sold in this offering was filed with the Securities and Exchange Commission (the “SEC”) on February 3, 2025 and automatically became effective upon filing. The preliminary prospectus supplement and accompanying base prospectus relating to the offering were filed with the SEC on July 1, 2025. The final prospectus supplement and the accompanying prospectus will be filed with the SEC and will be available on the SEC’s website at www.sec.gov. A copy of the final prospectus supplement and base prospectus related to the offering may be obtained, when available, from: Goldman Sachs &amp; Co. LLC, Attention: Prospectus Department, 200 West Street, New York, NY 10282, via telephone: (866) 471-2526, or via email: </w:t>
      </w:r>
      <w:r>
        <w:rPr>
          <w:rFonts w:ascii="Times New Roman" w:cs="Times New Roman" w:eastAsia="Times New Roman" w:hAnsi="Times New Roman"/>
          <w:sz w:val="18"/>
          <w:szCs w:val="18"/>
          <w:u w:val="single" w:color="auto"/>
          <w:color w:val="auto"/>
        </w:rPr>
        <w:t>prospectus-ny@ny.email.gs.com</w:t>
      </w:r>
      <w:r>
        <w:rPr>
          <w:rFonts w:ascii="Times New Roman" w:cs="Times New Roman" w:eastAsia="Times New Roman" w:hAnsi="Times New Roman"/>
          <w:sz w:val="18"/>
          <w:szCs w:val="18"/>
          <w:color w:val="auto"/>
        </w:rPr>
        <w:t xml:space="preserve">; Citigroup Global Markets Inc., c/o Broadridge Financial Solutions, 1155 Long Island Avenue, Edgewood, NY 11717 or via telephone: (800) 831-9146; or Guggenheim Securities, LLC, Attention: Equity Syndicate Department, 330 Madison Avenue, New York, NY 10017, by telephone at (212) 518-9544, or by email at </w:t>
      </w:r>
      <w:r>
        <w:rPr>
          <w:rFonts w:ascii="Times New Roman" w:cs="Times New Roman" w:eastAsia="Times New Roman" w:hAnsi="Times New Roman"/>
          <w:sz w:val="18"/>
          <w:szCs w:val="18"/>
          <w:u w:val="single" w:color="auto"/>
          <w:color w:val="auto"/>
        </w:rPr>
        <w:t>GSEquityProspectusDelivery@guggenheimpartners.com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these securities, nor will there be any sale of these securities in any state or jurisdiction in which such offer, solicitation or sale would be unlawful prior to the registration or qualification under the securities laws of any such state, province, territory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About ArriVent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ArriVent is a clinical-stage biopharmaceutical company dedicated to the identification, development, and commercialization of differentiated medicines to address the unmet medical needs of patients with cancers. ArriVent seeks to utilize its team’s deep drug development experience to maximize the potential of its lead development candidate, firmonertinib, and advance a pipeline of novel therapeutics, such as next-generation antibody drug conjugates, through approval and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other than statements of historical facts, contained in this press release, including statements regarding ArriVent’s business strategies and plans, the completion of the public offering and the use of proceeds therefrom, are forward-looking statements. In some cases, you can identify forward-looking statements by terminology such as “anticipate,” “believe,” “estimate,” “expect,” “intend,” “may,” “plan,” “predict,” “project,” “target,” “potential,” “will,” “would,” “could,” “should,” “continue” or the negative of these terms or other comparable terminology, which are intended to identify forward-looking statements, although not all forward-looking statements contain these identifying words. Management has based these forward-looking statements on its current expectations, assumptions, estimates and projections. While they believe these expectations, assumptions, estimates and projections are reasonable, such forward-looking statements are only predictions and involve known and unknown risks and uncertainties, many of which are beyond management's control. These statements involve risks and uncertainties that may cause ArriVent’s actual results, performance or achievements to differ materially from any future results, performance or achievements expressed or implied by these forward-looking statements, as discussed in greater detail in its filings with the SEC, including without limitation, risks and uncertainties related to global economic or market conditions, the satisfaction of customary closing conditions related to the public offering, volatility in the share price of its common stock, changes in its operating plans or funding requirements and the risks and uncertainties described in the section entitled “Risk Factors” in its annual report on Form 10-K for the year ended December 31, 2024 that was filed with the SEC on March 3, 2025, its quarterly report on Form 10-Q for the quarter ended March 31, 2025 that was filed with the SEC on May 12, 2025 and its subsequent periodic and current reports filed with the SEC. Forward-looking statements speak only as of the date they are made. Readers are cautioned not to put undue reliance on forward-looking statements, and, except as required by law, ArriVent assumes no obligation and does not intend to update or revise these forward-looking statements, whether as a result of new information, future events,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for Investors &amp; 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Joyce Allaire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jallaire@lifesciadvisors.com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Letter"/>
      <w:start w:val="1"/>
    </w:lvl>
    <w:lvl w:ilvl="1">
      <w:lvlJc w:val="left"/>
      <w:lvlText w:val="·"/>
      <w:numFmt w:val="bullet"/>
      <w:start w:val="1"/>
    </w:lvl>
  </w:abstractNum>
  <w:abstractNum w:abstractNumId="2">
    <w:nsid w:val="333AB105"/>
    <w:multiLevelType w:val="hybridMultilevel"/>
    <w:lvl w:ilvl="0">
      <w:lvlJc w:val="left"/>
      <w:lvlText w:val="(%1)"/>
      <w:numFmt w:val="lowerLetter"/>
      <w:start w:val="2"/>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lowerLetter"/>
      <w:start w:val="3"/>
    </w:lvl>
    <w:lvl w:ilvl="1">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lowerLetter"/>
      <w:start w:val="4"/>
    </w:lvl>
    <w:lvl w:ilvl="1">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2"/>
    </w:lvl>
  </w:abstractNum>
  <w:abstractNum w:abstractNumId="12">
    <w:nsid w:val="189A769B"/>
    <w:multiLevelType w:val="hybridMultilevel"/>
    <w:lvl w:ilvl="0">
      <w:lvlJc w:val="left"/>
      <w:lvlText w:val="%1."/>
      <w:numFmt w:val="decimal"/>
      <w:start w:val="5"/>
    </w:lvl>
  </w:abstractNum>
  <w:abstractNum w:abstractNumId="13">
    <w:nsid w:val="54E49EB4"/>
    <w:multiLevelType w:val="hybridMultilevel"/>
    <w:lvl w:ilvl="0">
      <w:lvlJc w:val="left"/>
      <w:lvlText w:val="%1."/>
      <w:numFmt w:val="decimal"/>
      <w:start w:val="7"/>
    </w:lvl>
  </w:abstractNum>
  <w:abstractNum w:abstractNumId="14">
    <w:nsid w:val="71F32454"/>
    <w:multiLevelType w:val="hybridMultilevel"/>
    <w:lvl w:ilvl="0">
      <w:lvlJc w:val="left"/>
      <w:lvlText w:val="%1."/>
      <w:numFmt w:val="decimal"/>
      <w:start w:val="10"/>
    </w:lvl>
  </w:abstractNum>
  <w:abstractNum w:abstractNumId="15">
    <w:nsid w:val="2CA88611"/>
    <w:multiLevelType w:val="hybridMultilevel"/>
    <w:lvl w:ilvl="0">
      <w:lvlJc w:val="left"/>
      <w:lvlText w:val="%1."/>
      <w:numFmt w:val="decimal"/>
      <w:start w:val="11"/>
    </w:lvl>
  </w:abstractNum>
  <w:abstractNum w:abstractNumId="16">
    <w:nsid w:val="836C40E"/>
    <w:multiLevelType w:val="hybridMultilevel"/>
    <w:lvl w:ilvl="0">
      <w:lvlJc w:val="left"/>
      <w:lvlText w:val="%1."/>
      <w:numFmt w:val="decimal"/>
      <w:start w:val="12"/>
    </w:lvl>
  </w:abstractNum>
  <w:abstractNum w:abstractNumId="17">
    <w:nsid w:val="2901D82"/>
    <w:multiLevelType w:val="hybridMultilevel"/>
    <w:lvl w:ilvl="0">
      <w:lvlJc w:val="left"/>
      <w:lvlText w:val=" "/>
      <w:numFmt w:val="bullet"/>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2"/>
    </w:lvl>
  </w:abstractNum>
  <w:abstractNum w:abstractNumId="20">
    <w:nsid w:val="1E7FF521"/>
    <w:multiLevelType w:val="hybridMultilevel"/>
    <w:lvl w:ilvl="0">
      <w:lvlJc w:val="left"/>
      <w:lvlText w:val="(%1)"/>
      <w:numFmt w:val="lowerLetter"/>
      <w:start w:val="3"/>
    </w:lvl>
  </w:abstractNum>
  <w:abstractNum w:abstractNumId="21">
    <w:nsid w:val="7C3DBD3D"/>
    <w:multiLevelType w:val="hybridMultilevel"/>
    <w:lvl w:ilvl="0">
      <w:lvlJc w:val="left"/>
      <w:lvlText w:val="%1."/>
      <w:numFmt w:val="decimal"/>
      <w:start w:val="1"/>
    </w:lvl>
    <w:lvl w:ilvl="1">
      <w:lvlJc w:val="left"/>
      <w:lvlText w:val="(%2)"/>
      <w:numFmt w:val="lowerLetter"/>
      <w:start w:val="1"/>
    </w:lvl>
  </w:abstractNum>
  <w:abstractNum w:abstractNumId="22">
    <w:nsid w:val="737B8DDC"/>
    <w:multiLevelType w:val="hybridMultilevel"/>
    <w:lvl w:ilvl="0">
      <w:lvlJc w:val="left"/>
      <w:lvlText w:val="(%1)"/>
      <w:numFmt w:val="lowerLetter"/>
      <w:start w:val="6"/>
    </w:lvl>
  </w:abstractNum>
  <w:abstractNum w:abstractNumId="23">
    <w:nsid w:val="6CEAF087"/>
    <w:multiLevelType w:val="hybridMultilevel"/>
    <w:lvl w:ilvl="0">
      <w:lvlJc w:val="left"/>
      <w:lvlText w:val="%1"/>
      <w:numFmt w:val="decimal"/>
      <w:start w:val="1"/>
    </w:lvl>
    <w:lvl w:ilvl="1">
      <w:lvlJc w:val="left"/>
      <w:lvlText w:val="(%2)"/>
      <w:numFmt w:val="lowerLetter"/>
      <w:start w:val="7"/>
    </w:lvl>
  </w:abstractNum>
  <w:abstractNum w:abstractNumId="24">
    <w:nsid w:val="22221A70"/>
    <w:multiLevelType w:val="hybridMultilevel"/>
    <w:lvl w:ilvl="0">
      <w:lvlJc w:val="left"/>
      <w:lvlText w:val="%1."/>
      <w:numFmt w:val="decimal"/>
      <w:start w:val="2"/>
    </w:lvl>
    <w:lvl w:ilvl="1">
      <w:lvlJc w:val="left"/>
      <w:lvlText w:val="(%2)"/>
      <w:numFmt w:val="lowerLetter"/>
      <w:start w:val="1"/>
    </w:lvl>
  </w:abstractNum>
  <w:abstractNum w:abstractNumId="25">
    <w:nsid w:val="4516DDE9"/>
    <w:multiLevelType w:val="hybridMultilevel"/>
    <w:lvl w:ilvl="0">
      <w:lvlJc w:val="left"/>
      <w:lvlText w:val="%1."/>
      <w:numFmt w:val="decimal"/>
      <w:start w:val="5"/>
    </w:lvl>
    <w:lvl w:ilvl="1">
      <w:lvlJc w:val="left"/>
      <w:lvlText w:val="(%2)"/>
      <w:numFmt w:val="lowerLetter"/>
      <w:start w:val="1"/>
    </w:lvl>
  </w:abstractNum>
  <w:abstractNum w:abstractNumId="26">
    <w:nsid w:val="3006C83E"/>
    <w:multiLevelType w:val="hybridMultilevel"/>
    <w:lvl w:ilvl="0">
      <w:lvlJc w:val="left"/>
      <w:lvlText w:val="%1."/>
      <w:numFmt w:val="decimal"/>
      <w:start w:val="7"/>
    </w:lvl>
    <w:lvl w:ilvl="1">
      <w:lvlJc w:val="left"/>
      <w:lvlText w:val="(%2)"/>
      <w:numFmt w:val="lowerLetter"/>
      <w:start w:val="1"/>
    </w:lvl>
  </w:abstractNum>
  <w:abstractNum w:abstractNumId="27">
    <w:nsid w:val="614FD4A1"/>
    <w:multiLevelType w:val="hybridMultilevel"/>
    <w:lvl w:ilvl="0">
      <w:lvlJc w:val="left"/>
      <w:lvlText w:val="%1"/>
      <w:numFmt w:val="decimal"/>
      <w:start w:val="1"/>
    </w:lvl>
    <w:lvl w:ilvl="1">
      <w:lvlJc w:val="left"/>
      <w:lvlText w:val="(%2)"/>
      <w:numFmt w:val="lowerLetter"/>
      <w:start w:val="3"/>
    </w:lvl>
  </w:abstractNum>
  <w:abstractNum w:abstractNumId="28">
    <w:nsid w:val="419AC241"/>
    <w:multiLevelType w:val="hybridMultilevel"/>
    <w:lvl w:ilvl="0">
      <w:lvlJc w:val="left"/>
      <w:lvlText w:val="(%1)"/>
      <w:numFmt w:val="decimal"/>
      <w:start w:val="2"/>
    </w:lvl>
    <w:lvl w:ilvl="1">
      <w:lvlJc w:val="left"/>
      <w:lvlText w:val="(%2)"/>
      <w:numFmt w:val="lowerLetter"/>
      <w:start w:val="4"/>
    </w:lvl>
  </w:abstractNum>
  <w:abstractNum w:abstractNumId="29">
    <w:nsid w:val="5577F8E1"/>
    <w:multiLevelType w:val="hybridMultilevel"/>
    <w:lvl w:ilvl="0">
      <w:lvlJc w:val="left"/>
      <w:lvlText w:val="(%1)"/>
      <w:numFmt w:val="lowerLetter"/>
      <w:start w:val="4"/>
    </w:lvl>
  </w:abstractNum>
  <w:abstractNum w:abstractNumId="30">
    <w:nsid w:val="440BADFC"/>
    <w:multiLevelType w:val="hybridMultilevel"/>
    <w:lvl w:ilvl="0">
      <w:lvlJc w:val="left"/>
      <w:lvlText w:val="%1."/>
      <w:numFmt w:val="decimal"/>
      <w:start w:val="10"/>
    </w:lvl>
  </w:abstractNum>
  <w:abstractNum w:abstractNumId="31">
    <w:nsid w:val="5072367"/>
    <w:multiLevelType w:val="hybridMultilevel"/>
    <w:lvl w:ilvl="0">
      <w:lvlJc w:val="left"/>
      <w:lvlText w:val="%1."/>
      <w:numFmt w:val="decimal"/>
      <w:start w:val="11"/>
    </w:lvl>
    <w:lvl w:ilvl="1">
      <w:lvlJc w:val="left"/>
      <w:lvlText w:val="(%2)"/>
      <w:numFmt w:val="lowerLetter"/>
      <w:start w:val="1"/>
    </w:lvl>
  </w:abstractNum>
  <w:abstractNum w:abstractNumId="32">
    <w:nsid w:val="3804823E"/>
    <w:multiLevelType w:val="hybridMultilevel"/>
    <w:lvl w:ilvl="0">
      <w:lvlJc w:val="left"/>
      <w:lvlText w:val="%1"/>
      <w:numFmt w:val="decimal"/>
      <w:start w:val="1"/>
    </w:lvl>
    <w:lvl w:ilvl="1">
      <w:lvlJc w:val="left"/>
      <w:lvlText w:val="(%2)"/>
      <w:numFmt w:val="lowerLetter"/>
      <w:start w:val="2"/>
    </w:lvl>
  </w:abstractNum>
  <w:abstractNum w:abstractNumId="33">
    <w:nsid w:val="77465F01"/>
    <w:multiLevelType w:val="hybridMultilevel"/>
    <w:lvl w:ilvl="0">
      <w:lvlJc w:val="left"/>
      <w:lvlText w:val="(%1)"/>
      <w:numFmt w:val="decimal"/>
      <w:start w:val="1"/>
    </w:lvl>
    <w:lvl w:ilvl="1">
      <w:lvlJc w:val="left"/>
      <w:lvlText w:val="%2"/>
      <w:numFmt w:val="lowerLetter"/>
      <w:start w:val="1"/>
    </w:lvl>
  </w:abstractNum>
  <w:abstractNum w:abstractNumId="34">
    <w:nsid w:val="7724C67E"/>
    <w:multiLevelType w:val="hybridMultilevel"/>
    <w:lvl w:ilvl="0">
      <w:lvlJc w:val="left"/>
      <w:lvlText w:val="%1."/>
      <w:numFmt w:val="decimal"/>
      <w:start w:val="12"/>
    </w:lvl>
    <w:lvl w:ilvl="1">
      <w:lvlJc w:val="left"/>
      <w:lvlText w:val="(%2)"/>
      <w:numFmt w:val="lowerLetter"/>
      <w:start w:val="1"/>
    </w:lvl>
  </w:abstractNum>
  <w:abstractNum w:abstractNumId="35">
    <w:nsid w:val="5C482A97"/>
    <w:multiLevelType w:val="hybridMultilevel"/>
    <w:lvl w:ilvl="0">
      <w:lvlJc w:val="left"/>
      <w:lvlText w:val="%1"/>
      <w:numFmt w:val="lowerLetter"/>
      <w:start w:val="1"/>
    </w:lvl>
    <w:lvl w:ilvl="1">
      <w:lvlJc w:val="left"/>
      <w:lvlText w:val="(%2)"/>
      <w:numFmt w:val="lowerLetter"/>
      <w:start w:val="2"/>
    </w:lvl>
  </w:abstractNum>
  <w:abstractNum w:abstractNumId="36">
    <w:nsid w:val="2463B9EA"/>
    <w:multiLevelType w:val="hybridMultilevel"/>
    <w:lvl w:ilvl="0">
      <w:lvlJc w:val="left"/>
      <w:lvlText w:val="(%1)"/>
      <w:numFmt w:val="lowerLetter"/>
      <w:start w:val="35"/>
    </w:lvl>
    <w:lvl w:ilvl="1">
      <w:lvlJc w:val="left"/>
      <w:lvlText w:val="(%2)"/>
      <w:numFmt w:val="lowerLetter"/>
      <w:start w:val="3"/>
    </w:lvl>
  </w:abstractNum>
  <w:abstractNum w:abstractNumId="37">
    <w:nsid w:val="5E884ADC"/>
    <w:multiLevelType w:val="hybridMultilevel"/>
    <w:lvl w:ilvl="0">
      <w:lvlJc w:val="left"/>
      <w:lvlText w:val="(%1)"/>
      <w:numFmt w:val="lowerLetter"/>
      <w:start w:val="7"/>
    </w:lvl>
  </w:abstractNum>
  <w:abstractNum w:abstractNumId="38">
    <w:nsid w:val="51EAD36B"/>
    <w:multiLevelType w:val="hybridMultilevel"/>
    <w:lvl w:ilvl="0">
      <w:lvlJc w:val="left"/>
      <w:lvlText w:val="(%1)"/>
      <w:numFmt w:val="decimal"/>
      <w:start w:val="1"/>
    </w:lvl>
    <w:lvl w:ilvl="1">
      <w:lvlJc w:val="left"/>
      <w:lvlText w:val="☐"/>
      <w:numFmt w:val="bullet"/>
      <w:start w:val="1"/>
    </w:lvl>
  </w:abstractNum>
  <w:abstractNum w:abstractNumId="39">
    <w:nsid w:val="2D51779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2025-07-02T16:05:08Z</dcterms:created>
  <dcterms:modified xsi:type="dcterms:W3CDTF">2025-07-02T16:05:08Z</dcterms:modified>
</cp:coreProperties>
</file>