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ind w:right="79"/>
        <w:spacing w:after="0"/>
        <w:rPr>
          <w:sz w:val="20"/>
          <w:szCs w:val="20"/>
          <w:color w:val="auto"/>
        </w:rPr>
      </w:pPr>
      <w:r>
        <w:rPr>
          <w:rFonts w:ascii="Times New Roman" w:cs="Times New Roman" w:eastAsia="Times New Roman" w:hAnsi="Times New Roman"/>
          <w:sz w:val="32"/>
          <w:szCs w:val="32"/>
          <w:b w:val="1"/>
          <w:bCs w:val="1"/>
          <w:color w:val="auto"/>
        </w:rPr>
        <w:t>UNITED STATES</w:t>
      </w:r>
    </w:p>
    <w:p>
      <w:pPr>
        <w:spacing w:after="0" w:line="39"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32"/>
          <w:szCs w:val="32"/>
          <w:b w:val="1"/>
          <w:bCs w:val="1"/>
          <w:color w:val="auto"/>
        </w:rPr>
        <w:t>SECURITIES AND EXCHANGE COMMISSION</w:t>
      </w:r>
    </w:p>
    <w:p>
      <w:pPr>
        <w:spacing w:after="0" w:line="3"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Washington, D.C. 20549</w:t>
      </w:r>
    </w:p>
    <w:p>
      <w:pPr>
        <w:spacing w:after="0" w:line="95"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32"/>
          <w:szCs w:val="32"/>
          <w:b w:val="1"/>
          <w:bCs w:val="1"/>
          <w:color w:val="auto"/>
        </w:rPr>
        <w:t>FORM 8-K</w:t>
      </w:r>
    </w:p>
    <w:p>
      <w:pPr>
        <w:spacing w:after="0" w:line="156" w:lineRule="exact"/>
        <w:rPr>
          <w:sz w:val="24"/>
          <w:szCs w:val="24"/>
          <w:color w:val="auto"/>
        </w:rPr>
      </w:pPr>
    </w:p>
    <w:p>
      <w:pPr>
        <w:jc w:val="center"/>
        <w:ind w:right="59"/>
        <w:spacing w:after="0"/>
        <w:rPr>
          <w:sz w:val="20"/>
          <w:szCs w:val="20"/>
          <w:color w:val="auto"/>
        </w:rPr>
      </w:pPr>
      <w:r>
        <w:rPr>
          <w:rFonts w:ascii="Times New Roman" w:cs="Times New Roman" w:eastAsia="Times New Roman" w:hAnsi="Times New Roman"/>
          <w:sz w:val="18"/>
          <w:szCs w:val="18"/>
          <w:b w:val="1"/>
          <w:bCs w:val="1"/>
          <w:color w:val="auto"/>
        </w:rPr>
        <w:t>CURRENT REPORT</w:t>
      </w:r>
    </w:p>
    <w:p>
      <w:pPr>
        <w:spacing w:after="0" w:line="31" w:lineRule="exact"/>
        <w:rPr>
          <w:sz w:val="24"/>
          <w:szCs w:val="24"/>
          <w:color w:val="auto"/>
        </w:rPr>
      </w:pPr>
    </w:p>
    <w:p>
      <w:pPr>
        <w:ind w:left="3280"/>
        <w:spacing w:after="0"/>
        <w:rPr>
          <w:sz w:val="20"/>
          <w:szCs w:val="20"/>
          <w:color w:val="auto"/>
        </w:rPr>
      </w:pPr>
      <w:r>
        <w:rPr>
          <w:rFonts w:ascii="Times New Roman" w:cs="Times New Roman" w:eastAsia="Times New Roman" w:hAnsi="Times New Roman"/>
          <w:sz w:val="18"/>
          <w:szCs w:val="18"/>
          <w:b w:val="1"/>
          <w:bCs w:val="1"/>
          <w:color w:val="auto"/>
        </w:rPr>
        <w:t>Pursuant to Section 13 or 15(d)</w:t>
      </w:r>
    </w:p>
    <w:p>
      <w:pPr>
        <w:spacing w:after="0" w:line="9" w:lineRule="exact"/>
        <w:rPr>
          <w:sz w:val="24"/>
          <w:szCs w:val="24"/>
          <w:color w:val="auto"/>
        </w:rPr>
      </w:pPr>
    </w:p>
    <w:p>
      <w:pPr>
        <w:ind w:left="3040"/>
        <w:spacing w:after="0"/>
        <w:rPr>
          <w:sz w:val="20"/>
          <w:szCs w:val="20"/>
          <w:color w:val="auto"/>
        </w:rPr>
      </w:pPr>
      <w:r>
        <w:rPr>
          <w:rFonts w:ascii="Times New Roman" w:cs="Times New Roman" w:eastAsia="Times New Roman" w:hAnsi="Times New Roman"/>
          <w:sz w:val="18"/>
          <w:szCs w:val="18"/>
          <w:b w:val="1"/>
          <w:bCs w:val="1"/>
          <w:color w:val="auto"/>
        </w:rPr>
        <w:t>of the Securities Exchange Act of 1934</w:t>
      </w:r>
    </w:p>
    <w:p>
      <w:pPr>
        <w:spacing w:after="0" w:line="122"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color w:val="auto"/>
        </w:rPr>
        <w:t xml:space="preserve">Date of Report (Date of earliest event reported): </w:t>
      </w:r>
      <w:r>
        <w:rPr>
          <w:rFonts w:ascii="Times New Roman" w:cs="Times New Roman" w:eastAsia="Times New Roman" w:hAnsi="Times New Roman"/>
          <w:sz w:val="18"/>
          <w:szCs w:val="18"/>
          <w:b w:val="1"/>
          <w:bCs w:val="1"/>
          <w:color w:val="auto"/>
        </w:rPr>
        <w:t>May 12, 2025</w:t>
      </w:r>
    </w:p>
    <w:p>
      <w:pPr>
        <w:spacing w:after="0" w:line="119"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32"/>
          <w:szCs w:val="32"/>
          <w:b w:val="1"/>
          <w:bCs w:val="1"/>
          <w:color w:val="auto"/>
        </w:rPr>
        <w:t>ARRIVENT BIOPHARMA, INC.</w:t>
      </w:r>
    </w:p>
    <w:p>
      <w:pPr>
        <w:spacing w:after="0" w:line="45"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color w:val="auto"/>
        </w:rPr>
        <w:t>(Exact name of registrant as specified in its charter)</w:t>
      </w:r>
    </w:p>
    <w:p>
      <w:pPr>
        <w:sectPr>
          <w:pgSz w:w="11900" w:h="16838" w:orient="portrait"/>
          <w:cols w:equalWidth="0" w:num="1">
            <w:col w:w="9019"/>
          </w:cols>
          <w:pgMar w:left="1440" w:top="1024" w:right="1440" w:bottom="1440" w:gutter="0" w:footer="0" w:header="0"/>
        </w:sectPr>
      </w:pPr>
    </w:p>
    <w:p>
      <w:pPr>
        <w:spacing w:after="0" w:line="120" w:lineRule="exact"/>
        <w:rPr>
          <w:sz w:val="24"/>
          <w:szCs w:val="24"/>
          <w:color w:val="auto"/>
        </w:rPr>
      </w:pPr>
    </w:p>
    <w:p>
      <w:pPr>
        <w:ind w:left="1120"/>
        <w:spacing w:after="0"/>
        <w:rPr>
          <w:sz w:val="20"/>
          <w:szCs w:val="20"/>
          <w:color w:val="auto"/>
        </w:rPr>
      </w:pPr>
      <w:r>
        <w:rPr>
          <w:rFonts w:ascii="Times New Roman" w:cs="Times New Roman" w:eastAsia="Times New Roman" w:hAnsi="Times New Roman"/>
          <w:sz w:val="18"/>
          <w:szCs w:val="18"/>
          <w:b w:val="1"/>
          <w:bCs w:val="1"/>
          <w:color w:val="auto"/>
        </w:rPr>
        <w:t>Delaware</w:t>
      </w:r>
    </w:p>
    <w:p>
      <w:pPr>
        <w:spacing w:after="0" w:line="31" w:lineRule="exact"/>
        <w:rPr>
          <w:sz w:val="24"/>
          <w:szCs w:val="24"/>
          <w:color w:val="auto"/>
        </w:rPr>
      </w:pPr>
    </w:p>
    <w:p>
      <w:pPr>
        <w:ind w:left="520"/>
        <w:spacing w:after="0"/>
        <w:rPr>
          <w:sz w:val="20"/>
          <w:szCs w:val="20"/>
          <w:color w:val="auto"/>
        </w:rPr>
      </w:pPr>
      <w:r>
        <w:rPr>
          <w:rFonts w:ascii="Times New Roman" w:cs="Times New Roman" w:eastAsia="Times New Roman" w:hAnsi="Times New Roman"/>
          <w:sz w:val="18"/>
          <w:szCs w:val="18"/>
          <w:color w:val="auto"/>
        </w:rPr>
        <w:t>(State or other jurisdiction</w:t>
      </w:r>
    </w:p>
    <w:p>
      <w:pPr>
        <w:spacing w:after="0" w:line="9" w:lineRule="exact"/>
        <w:rPr>
          <w:sz w:val="24"/>
          <w:szCs w:val="24"/>
          <w:color w:val="auto"/>
        </w:rPr>
      </w:pPr>
    </w:p>
    <w:p>
      <w:pPr>
        <w:ind w:left="860"/>
        <w:spacing w:after="0"/>
        <w:rPr>
          <w:sz w:val="20"/>
          <w:szCs w:val="20"/>
          <w:color w:val="auto"/>
        </w:rPr>
      </w:pPr>
      <w:r>
        <w:rPr>
          <w:rFonts w:ascii="Times New Roman" w:cs="Times New Roman" w:eastAsia="Times New Roman" w:hAnsi="Times New Roman"/>
          <w:sz w:val="18"/>
          <w:szCs w:val="18"/>
          <w:color w:val="auto"/>
        </w:rPr>
        <w:t>of incorporation)</w:t>
      </w:r>
    </w:p>
    <w:p>
      <w:pPr>
        <w:spacing w:after="0" w:line="20" w:lineRule="exact"/>
        <w:rPr>
          <w:sz w:val="24"/>
          <w:szCs w:val="24"/>
          <w:color w:val="auto"/>
        </w:rPr>
      </w:pPr>
      <w:r>
        <w:rPr>
          <w:sz w:val="24"/>
          <w:szCs w:val="24"/>
          <w:color w:val="auto"/>
        </w:rPr>
        <w:br w:type="column"/>
      </w:r>
    </w:p>
    <w:p>
      <w:pPr>
        <w:spacing w:after="0" w:line="100" w:lineRule="exact"/>
        <w:rPr>
          <w:sz w:val="24"/>
          <w:szCs w:val="24"/>
          <w:color w:val="auto"/>
        </w:rPr>
      </w:pPr>
    </w:p>
    <w:p>
      <w:pPr>
        <w:jc w:val="center"/>
        <w:ind w:right="640"/>
        <w:spacing w:after="0"/>
        <w:rPr>
          <w:sz w:val="20"/>
          <w:szCs w:val="20"/>
          <w:color w:val="auto"/>
        </w:rPr>
      </w:pPr>
      <w:r>
        <w:rPr>
          <w:rFonts w:ascii="Times New Roman" w:cs="Times New Roman" w:eastAsia="Times New Roman" w:hAnsi="Times New Roman"/>
          <w:sz w:val="18"/>
          <w:szCs w:val="18"/>
          <w:b w:val="1"/>
          <w:bCs w:val="1"/>
          <w:color w:val="auto"/>
        </w:rPr>
        <w:t>001-41929</w:t>
      </w:r>
    </w:p>
    <w:p>
      <w:pPr>
        <w:spacing w:after="0" w:line="31" w:lineRule="exact"/>
        <w:rPr>
          <w:sz w:val="24"/>
          <w:szCs w:val="24"/>
          <w:color w:val="auto"/>
        </w:rPr>
      </w:pPr>
    </w:p>
    <w:p>
      <w:pPr>
        <w:jc w:val="center"/>
        <w:ind w:right="640"/>
        <w:spacing w:after="0"/>
        <w:rPr>
          <w:sz w:val="20"/>
          <w:szCs w:val="20"/>
          <w:color w:val="auto"/>
        </w:rPr>
      </w:pPr>
      <w:r>
        <w:rPr>
          <w:rFonts w:ascii="Times New Roman" w:cs="Times New Roman" w:eastAsia="Times New Roman" w:hAnsi="Times New Roman"/>
          <w:sz w:val="17"/>
          <w:szCs w:val="17"/>
          <w:color w:val="auto"/>
        </w:rPr>
        <w:t>(Commission File Number)</w:t>
      </w:r>
    </w:p>
    <w:p>
      <w:pPr>
        <w:spacing w:after="0" w:line="20" w:lineRule="exact"/>
        <w:rPr>
          <w:sz w:val="24"/>
          <w:szCs w:val="24"/>
          <w:color w:val="auto"/>
        </w:rPr>
      </w:pPr>
      <w:r>
        <w:rPr>
          <w:sz w:val="24"/>
          <w:szCs w:val="24"/>
          <w:color w:val="auto"/>
        </w:rPr>
        <w:br w:type="column"/>
      </w:r>
    </w:p>
    <w:p>
      <w:pPr>
        <w:spacing w:after="0" w:line="100" w:lineRule="exact"/>
        <w:rPr>
          <w:sz w:val="24"/>
          <w:szCs w:val="24"/>
          <w:color w:val="auto"/>
        </w:rPr>
      </w:pPr>
    </w:p>
    <w:p>
      <w:pPr>
        <w:jc w:val="center"/>
        <w:ind w:right="839"/>
        <w:spacing w:after="0"/>
        <w:rPr>
          <w:sz w:val="20"/>
          <w:szCs w:val="20"/>
          <w:color w:val="auto"/>
        </w:rPr>
      </w:pPr>
      <w:r>
        <w:rPr>
          <w:rFonts w:ascii="Times New Roman" w:cs="Times New Roman" w:eastAsia="Times New Roman" w:hAnsi="Times New Roman"/>
          <w:sz w:val="18"/>
          <w:szCs w:val="18"/>
          <w:b w:val="1"/>
          <w:bCs w:val="1"/>
          <w:color w:val="auto"/>
        </w:rPr>
        <w:t>86-3336099</w:t>
      </w:r>
    </w:p>
    <w:p>
      <w:pPr>
        <w:spacing w:after="0" w:line="31" w:lineRule="exact"/>
        <w:rPr>
          <w:sz w:val="24"/>
          <w:szCs w:val="24"/>
          <w:color w:val="auto"/>
        </w:rPr>
      </w:pPr>
    </w:p>
    <w:p>
      <w:pPr>
        <w:jc w:val="center"/>
        <w:ind w:right="839"/>
        <w:spacing w:after="0"/>
        <w:rPr>
          <w:sz w:val="20"/>
          <w:szCs w:val="20"/>
          <w:color w:val="auto"/>
        </w:rPr>
      </w:pPr>
      <w:r>
        <w:rPr>
          <w:rFonts w:ascii="Times New Roman" w:cs="Times New Roman" w:eastAsia="Times New Roman" w:hAnsi="Times New Roman"/>
          <w:sz w:val="18"/>
          <w:szCs w:val="18"/>
          <w:color w:val="auto"/>
        </w:rPr>
        <w:t>(IRS Employer</w:t>
      </w:r>
    </w:p>
    <w:p>
      <w:pPr>
        <w:spacing w:after="0" w:line="9" w:lineRule="exact"/>
        <w:rPr>
          <w:sz w:val="24"/>
          <w:szCs w:val="24"/>
          <w:color w:val="auto"/>
        </w:rPr>
      </w:pPr>
    </w:p>
    <w:p>
      <w:pPr>
        <w:jc w:val="center"/>
        <w:ind w:right="839"/>
        <w:spacing w:after="0"/>
        <w:rPr>
          <w:sz w:val="20"/>
          <w:szCs w:val="20"/>
          <w:color w:val="auto"/>
        </w:rPr>
      </w:pPr>
      <w:r>
        <w:rPr>
          <w:rFonts w:ascii="Times New Roman" w:cs="Times New Roman" w:eastAsia="Times New Roman" w:hAnsi="Times New Roman"/>
          <w:sz w:val="17"/>
          <w:szCs w:val="17"/>
          <w:color w:val="auto"/>
        </w:rPr>
        <w:t>Identification No.)</w:t>
      </w:r>
    </w:p>
    <w:p>
      <w:pPr>
        <w:spacing w:after="0" w:line="146" w:lineRule="exact"/>
        <w:rPr>
          <w:sz w:val="24"/>
          <w:szCs w:val="24"/>
          <w:color w:val="auto"/>
        </w:rPr>
      </w:pPr>
    </w:p>
    <w:p>
      <w:pPr>
        <w:sectPr>
          <w:pgSz w:w="11900" w:h="16838" w:orient="portrait"/>
          <w:cols w:equalWidth="0" w:num="3">
            <w:col w:w="2780" w:space="720"/>
            <w:col w:w="2620" w:space="720"/>
            <w:col w:w="2179"/>
          </w:cols>
          <w:pgMar w:left="1440" w:top="1024" w:right="1440" w:bottom="1440" w:gutter="0" w:footer="0" w:header="0"/>
          <w:type w:val="continuous"/>
        </w:sectPr>
      </w:pPr>
    </w:p>
    <w:p>
      <w:pPr>
        <w:jc w:val="center"/>
        <w:ind w:right="1120"/>
        <w:spacing w:after="0"/>
        <w:rPr>
          <w:sz w:val="20"/>
          <w:szCs w:val="20"/>
          <w:color w:val="auto"/>
        </w:rPr>
      </w:pPr>
      <w:r>
        <w:rPr>
          <w:rFonts w:ascii="Times New Roman" w:cs="Times New Roman" w:eastAsia="Times New Roman" w:hAnsi="Times New Roman"/>
          <w:sz w:val="18"/>
          <w:szCs w:val="18"/>
          <w:b w:val="1"/>
          <w:bCs w:val="1"/>
          <w:color w:val="auto"/>
        </w:rPr>
        <w:t>18 Campus Boulevard, Suite 100</w:t>
      </w:r>
    </w:p>
    <w:p>
      <w:pPr>
        <w:spacing w:after="0" w:line="31" w:lineRule="exact"/>
        <w:rPr>
          <w:sz w:val="24"/>
          <w:szCs w:val="24"/>
          <w:color w:val="auto"/>
        </w:rPr>
      </w:pPr>
    </w:p>
    <w:p>
      <w:pPr>
        <w:jc w:val="center"/>
        <w:ind w:right="1120"/>
        <w:spacing w:after="0"/>
        <w:rPr>
          <w:sz w:val="20"/>
          <w:szCs w:val="20"/>
          <w:color w:val="auto"/>
        </w:rPr>
      </w:pPr>
      <w:r>
        <w:rPr>
          <w:rFonts w:ascii="Times New Roman" w:cs="Times New Roman" w:eastAsia="Times New Roman" w:hAnsi="Times New Roman"/>
          <w:sz w:val="18"/>
          <w:szCs w:val="18"/>
          <w:b w:val="1"/>
          <w:bCs w:val="1"/>
          <w:color w:val="auto"/>
        </w:rPr>
        <w:t>Newtown Square, PA</w:t>
      </w:r>
    </w:p>
    <w:p>
      <w:pPr>
        <w:spacing w:after="0" w:line="9" w:lineRule="exact"/>
        <w:rPr>
          <w:sz w:val="24"/>
          <w:szCs w:val="24"/>
          <w:color w:val="auto"/>
        </w:rPr>
      </w:pPr>
    </w:p>
    <w:p>
      <w:pPr>
        <w:jc w:val="center"/>
        <w:ind w:right="1120"/>
        <w:spacing w:after="0"/>
        <w:rPr>
          <w:sz w:val="20"/>
          <w:szCs w:val="20"/>
          <w:color w:val="auto"/>
        </w:rPr>
      </w:pPr>
      <w:r>
        <w:rPr>
          <w:rFonts w:ascii="Times New Roman" w:cs="Times New Roman" w:eastAsia="Times New Roman" w:hAnsi="Times New Roman"/>
          <w:sz w:val="18"/>
          <w:szCs w:val="18"/>
          <w:color w:val="auto"/>
        </w:rPr>
        <w:t>(Address of principal executive offices)</w:t>
      </w:r>
    </w:p>
    <w:p>
      <w:pPr>
        <w:spacing w:after="0" w:line="20" w:lineRule="exact"/>
        <w:rPr>
          <w:sz w:val="24"/>
          <w:szCs w:val="24"/>
          <w:color w:val="auto"/>
        </w:rPr>
      </w:pPr>
      <w:r>
        <w:rPr>
          <w:sz w:val="24"/>
          <w:szCs w:val="24"/>
          <w:color w:val="auto"/>
        </w:rPr>
        <w:br w:type="column"/>
      </w:r>
    </w:p>
    <w:p>
      <w:pPr>
        <w:spacing w:after="0" w:line="196" w:lineRule="exact"/>
        <w:rPr>
          <w:sz w:val="24"/>
          <w:szCs w:val="24"/>
          <w:color w:val="auto"/>
        </w:rPr>
      </w:pPr>
    </w:p>
    <w:p>
      <w:pPr>
        <w:jc w:val="center"/>
        <w:ind w:right="1879"/>
        <w:spacing w:after="0"/>
        <w:rPr>
          <w:sz w:val="20"/>
          <w:szCs w:val="20"/>
          <w:color w:val="auto"/>
        </w:rPr>
      </w:pPr>
      <w:r>
        <w:rPr>
          <w:rFonts w:ascii="Times New Roman" w:cs="Times New Roman" w:eastAsia="Times New Roman" w:hAnsi="Times New Roman"/>
          <w:sz w:val="18"/>
          <w:szCs w:val="18"/>
          <w:b w:val="1"/>
          <w:bCs w:val="1"/>
          <w:color w:val="auto"/>
        </w:rPr>
        <w:t>19073</w:t>
      </w:r>
    </w:p>
    <w:p>
      <w:pPr>
        <w:spacing w:after="0" w:line="31" w:lineRule="exact"/>
        <w:rPr>
          <w:sz w:val="24"/>
          <w:szCs w:val="24"/>
          <w:color w:val="auto"/>
        </w:rPr>
      </w:pPr>
    </w:p>
    <w:p>
      <w:pPr>
        <w:jc w:val="center"/>
        <w:ind w:right="1879"/>
        <w:spacing w:after="0"/>
        <w:rPr>
          <w:sz w:val="20"/>
          <w:szCs w:val="20"/>
          <w:color w:val="auto"/>
        </w:rPr>
      </w:pPr>
      <w:r>
        <w:rPr>
          <w:rFonts w:ascii="Times New Roman" w:cs="Times New Roman" w:eastAsia="Times New Roman" w:hAnsi="Times New Roman"/>
          <w:sz w:val="17"/>
          <w:szCs w:val="17"/>
          <w:color w:val="auto"/>
        </w:rPr>
        <w:t>(zip code)</w:t>
      </w:r>
    </w:p>
    <w:p>
      <w:pPr>
        <w:spacing w:after="0" w:line="211" w:lineRule="exact"/>
        <w:rPr>
          <w:sz w:val="24"/>
          <w:szCs w:val="24"/>
          <w:color w:val="auto"/>
        </w:rPr>
      </w:pPr>
    </w:p>
    <w:p>
      <w:pPr>
        <w:sectPr>
          <w:pgSz w:w="11900" w:h="16838" w:orient="portrait"/>
          <w:cols w:equalWidth="0" w:num="2">
            <w:col w:w="5700" w:space="720"/>
            <w:col w:w="2599"/>
          </w:cols>
          <w:pgMar w:left="1440" w:top="1024" w:right="1440" w:bottom="1440" w:gutter="0" w:footer="0" w:header="0"/>
          <w:type w:val="continuous"/>
        </w:sectPr>
      </w:pPr>
    </w:p>
    <w:p>
      <w:pPr>
        <w:spacing w:after="0" w:line="30" w:lineRule="exact"/>
        <w:rPr>
          <w:sz w:val="24"/>
          <w:szCs w:val="24"/>
          <w:color w:val="auto"/>
        </w:rPr>
      </w:pPr>
    </w:p>
    <w:p>
      <w:pPr>
        <w:ind w:left="2040"/>
        <w:spacing w:after="0"/>
        <w:rPr>
          <w:sz w:val="20"/>
          <w:szCs w:val="20"/>
          <w:color w:val="auto"/>
        </w:rPr>
      </w:pPr>
      <w:r>
        <w:rPr>
          <w:rFonts w:ascii="Times New Roman" w:cs="Times New Roman" w:eastAsia="Times New Roman" w:hAnsi="Times New Roman"/>
          <w:sz w:val="18"/>
          <w:szCs w:val="18"/>
          <w:color w:val="auto"/>
        </w:rPr>
        <w:t xml:space="preserve">Registrant’s telephone number, including area code: </w:t>
      </w:r>
      <w:r>
        <w:rPr>
          <w:rFonts w:ascii="Times New Roman" w:cs="Times New Roman" w:eastAsia="Times New Roman" w:hAnsi="Times New Roman"/>
          <w:sz w:val="18"/>
          <w:szCs w:val="18"/>
          <w:b w:val="1"/>
          <w:bCs w:val="1"/>
          <w:color w:val="auto"/>
        </w:rPr>
        <w:t>(628) 277-4836</w:t>
      </w:r>
    </w:p>
    <w:p>
      <w:pPr>
        <w:spacing w:after="0" w:line="144" w:lineRule="exact"/>
        <w:rPr>
          <w:sz w:val="24"/>
          <w:szCs w:val="24"/>
          <w:color w:val="auto"/>
        </w:rPr>
      </w:pPr>
    </w:p>
    <w:p>
      <w:pPr>
        <w:ind w:left="4320"/>
        <w:spacing w:after="0"/>
        <w:rPr>
          <w:sz w:val="20"/>
          <w:szCs w:val="20"/>
          <w:color w:val="auto"/>
        </w:rPr>
      </w:pPr>
      <w:r>
        <w:rPr>
          <w:rFonts w:ascii="Times New Roman" w:cs="Times New Roman" w:eastAsia="Times New Roman" w:hAnsi="Times New Roman"/>
          <w:sz w:val="18"/>
          <w:szCs w:val="18"/>
          <w:b w:val="1"/>
          <w:bCs w:val="1"/>
          <w:color w:val="auto"/>
        </w:rPr>
        <w:t>N/A</w:t>
      </w:r>
    </w:p>
    <w:p>
      <w:pPr>
        <w:spacing w:after="0" w:line="31"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(Former name or former address, if changed since last report.)</w:t>
      </w:r>
    </w:p>
    <w:p>
      <w:pPr>
        <w:spacing w:after="0" w:line="126" w:lineRule="exact"/>
        <w:rPr>
          <w:sz w:val="24"/>
          <w:szCs w:val="24"/>
          <w:color w:val="auto"/>
        </w:rPr>
      </w:pPr>
    </w:p>
    <w:p>
      <w:pPr>
        <w:ind w:left="60" w:right="359"/>
        <w:spacing w:after="0" w:line="282" w:lineRule="auto"/>
        <w:rPr>
          <w:sz w:val="20"/>
          <w:szCs w:val="20"/>
          <w:color w:val="auto"/>
        </w:rPr>
      </w:pPr>
      <w:r>
        <w:rPr>
          <w:rFonts w:ascii="Times New Roman" w:cs="Times New Roman" w:eastAsia="Times New Roman" w:hAnsi="Times New Roman"/>
          <w:sz w:val="18"/>
          <w:szCs w:val="18"/>
          <w:color w:val="auto"/>
        </w:rPr>
        <w:t>Check the appropriate box below if the Form 8-K filing is intended to simultaneously satisfy the filing obligation of the registrant under any of the following provisions:</w:t>
      </w:r>
    </w:p>
    <w:p>
      <w:pPr>
        <w:spacing w:after="0" w:line="81" w:lineRule="exact"/>
        <w:rPr>
          <w:sz w:val="24"/>
          <w:szCs w:val="24"/>
          <w:color w:val="auto"/>
        </w:rPr>
      </w:pPr>
    </w:p>
    <w:p>
      <w:pPr>
        <w:ind w:left="460" w:hanging="410"/>
        <w:spacing w:after="0"/>
        <w:tabs>
          <w:tab w:leader="none" w:pos="460" w:val="left"/>
        </w:tabs>
        <w:numPr>
          <w:ilvl w:val="0"/>
          <w:numId w:val="1"/>
        </w:numPr>
        <w:rPr>
          <w:rFonts w:ascii="MS PGothic" w:cs="MS PGothic" w:eastAsia="MS PGothic" w:hAnsi="MS PGothic"/>
          <w:sz w:val="18"/>
          <w:szCs w:val="18"/>
          <w:color w:val="auto"/>
          <w:highlight w:val="black"/>
        </w:rPr>
      </w:pPr>
      <w:r>
        <w:rPr>
          <w:rFonts w:ascii="Times New Roman" w:cs="Times New Roman" w:eastAsia="Times New Roman" w:hAnsi="Times New Roman"/>
          <w:sz w:val="18"/>
          <w:szCs w:val="18"/>
          <w:color w:val="auto"/>
        </w:rPr>
        <w:t>Written communications pursuant to Rule 425 under the Securities Act (17 CFR 230.425)</w:t>
      </w:r>
    </w:p>
    <w:p>
      <w:pPr>
        <w:spacing w:after="0" w:line="157" w:lineRule="exact"/>
        <w:rPr>
          <w:rFonts w:ascii="MS PGothic" w:cs="MS PGothic" w:eastAsia="MS PGothic" w:hAnsi="MS PGothic"/>
          <w:sz w:val="18"/>
          <w:szCs w:val="18"/>
          <w:color w:val="auto"/>
          <w:highlight w:val="black"/>
        </w:rPr>
      </w:pPr>
    </w:p>
    <w:p>
      <w:pPr>
        <w:ind w:left="460" w:hanging="410"/>
        <w:spacing w:after="0"/>
        <w:tabs>
          <w:tab w:leader="none" w:pos="460" w:val="left"/>
        </w:tabs>
        <w:numPr>
          <w:ilvl w:val="0"/>
          <w:numId w:val="1"/>
        </w:numPr>
        <w:rPr>
          <w:rFonts w:ascii="MS PGothic" w:cs="MS PGothic" w:eastAsia="MS PGothic" w:hAnsi="MS PGothic"/>
          <w:sz w:val="18"/>
          <w:szCs w:val="18"/>
          <w:color w:val="auto"/>
          <w:highlight w:val="black"/>
        </w:rPr>
      </w:pPr>
      <w:r>
        <w:rPr>
          <w:rFonts w:ascii="Times New Roman" w:cs="Times New Roman" w:eastAsia="Times New Roman" w:hAnsi="Times New Roman"/>
          <w:sz w:val="18"/>
          <w:szCs w:val="18"/>
          <w:color w:val="auto"/>
        </w:rPr>
        <w:t>Soliciting material pursuant to Rule 14a-12 under the Exchange Act (17 CFR 240.14a-12)</w:t>
      </w:r>
    </w:p>
    <w:p>
      <w:pPr>
        <w:spacing w:after="0" w:line="157" w:lineRule="exact"/>
        <w:rPr>
          <w:rFonts w:ascii="MS PGothic" w:cs="MS PGothic" w:eastAsia="MS PGothic" w:hAnsi="MS PGothic"/>
          <w:sz w:val="18"/>
          <w:szCs w:val="18"/>
          <w:color w:val="auto"/>
          <w:highlight w:val="black"/>
        </w:rPr>
      </w:pPr>
    </w:p>
    <w:p>
      <w:pPr>
        <w:ind w:left="460" w:hanging="410"/>
        <w:spacing w:after="0"/>
        <w:tabs>
          <w:tab w:leader="none" w:pos="460" w:val="left"/>
        </w:tabs>
        <w:numPr>
          <w:ilvl w:val="0"/>
          <w:numId w:val="1"/>
        </w:numPr>
        <w:rPr>
          <w:rFonts w:ascii="MS PGothic" w:cs="MS PGothic" w:eastAsia="MS PGothic" w:hAnsi="MS PGothic"/>
          <w:sz w:val="18"/>
          <w:szCs w:val="18"/>
          <w:color w:val="auto"/>
          <w:highlight w:val="black"/>
        </w:rPr>
      </w:pPr>
      <w:r>
        <w:rPr>
          <w:rFonts w:ascii="Times New Roman" w:cs="Times New Roman" w:eastAsia="Times New Roman" w:hAnsi="Times New Roman"/>
          <w:sz w:val="18"/>
          <w:szCs w:val="18"/>
          <w:color w:val="auto"/>
        </w:rPr>
        <w:t>Pre-commencement communications pursuant to Rule 14d-2(b) under the Exchange Act (17 CFR 240.14d-2(b))</w:t>
      </w:r>
    </w:p>
    <w:p>
      <w:pPr>
        <w:spacing w:after="0" w:line="157" w:lineRule="exact"/>
        <w:rPr>
          <w:rFonts w:ascii="MS PGothic" w:cs="MS PGothic" w:eastAsia="MS PGothic" w:hAnsi="MS PGothic"/>
          <w:sz w:val="18"/>
          <w:szCs w:val="18"/>
          <w:color w:val="auto"/>
          <w:highlight w:val="black"/>
        </w:rPr>
      </w:pPr>
    </w:p>
    <w:p>
      <w:pPr>
        <w:ind w:left="60" w:right="519" w:hanging="10"/>
        <w:spacing w:after="0" w:line="438" w:lineRule="auto"/>
        <w:tabs>
          <w:tab w:leader="none" w:pos="465" w:val="left"/>
        </w:tabs>
        <w:numPr>
          <w:ilvl w:val="0"/>
          <w:numId w:val="1"/>
        </w:numPr>
        <w:rPr>
          <w:rFonts w:ascii="MS PGothic" w:cs="MS PGothic" w:eastAsia="MS PGothic" w:hAnsi="MS PGothic"/>
          <w:sz w:val="18"/>
          <w:szCs w:val="18"/>
          <w:color w:val="auto"/>
          <w:highlight w:val="black"/>
        </w:rPr>
      </w:pPr>
      <w:r>
        <w:rPr>
          <w:rFonts w:ascii="Times New Roman" w:cs="Times New Roman" w:eastAsia="Times New Roman" w:hAnsi="Times New Roman"/>
          <w:sz w:val="18"/>
          <w:szCs w:val="18"/>
          <w:color w:val="auto"/>
        </w:rPr>
        <w:t>Pre-commencement communications pursuant to Rule 13e-4(c) under the Exchange Act (17 CFR 240.13e-4(c)) Securities registered pursuant to Section 12(b) of the Act:</w:t>
      </w:r>
    </w:p>
    <w:p>
      <w:pPr>
        <w:spacing w:after="0" w:line="37" w:lineRule="exact"/>
        <w:rPr>
          <w:sz w:val="24"/>
          <w:szCs w:val="24"/>
          <w:color w:val="auto"/>
        </w:rPr>
      </w:pPr>
    </w:p>
    <w:tbl>
      <w:tblPr>
        <w:tblLayout w:type="fixed"/>
        <w:tblInd w:w="40" w:type="dxa"/>
        <w:tblCellMar>
          <w:top w:w="0" w:type="dxa"/>
          <w:left w:w="0" w:type="dxa"/>
          <w:bottom w:w="0" w:type="dxa"/>
          <w:right w:w="0" w:type="dxa"/>
        </w:tblCellMar>
      </w:tblPr>
      <w:tr>
        <w:trPr>
          <w:trHeight w:val="216"/>
        </w:trPr>
        <w:tc>
          <w:tcPr>
            <w:tcW w:w="33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320" w:type="dxa"/>
            <w:vAlign w:val="bottom"/>
            <w:gridSpan w:val="2"/>
          </w:tcPr>
          <w:p>
            <w:pPr>
              <w:jc w:val="center"/>
              <w:ind w:right="100"/>
              <w:spacing w:after="0"/>
              <w:rPr>
                <w:sz w:val="20"/>
                <w:szCs w:val="20"/>
                <w:color w:val="auto"/>
              </w:rPr>
            </w:pPr>
            <w:r>
              <w:rPr>
                <w:rFonts w:ascii="Times New Roman" w:cs="Times New Roman" w:eastAsia="Times New Roman" w:hAnsi="Times New Roman"/>
                <w:sz w:val="18"/>
                <w:szCs w:val="18"/>
                <w:b w:val="1"/>
                <w:bCs w:val="1"/>
                <w:color w:val="auto"/>
                <w:w w:val="98"/>
              </w:rPr>
              <w:t>Trading</w:t>
            </w:r>
          </w:p>
        </w:tc>
        <w:tc>
          <w:tcPr>
            <w:tcW w:w="3100" w:type="dxa"/>
            <w:vAlign w:val="bottom"/>
          </w:tcPr>
          <w:p>
            <w:pPr>
              <w:jc w:val="center"/>
              <w:spacing w:after="0"/>
              <w:rPr>
                <w:sz w:val="20"/>
                <w:szCs w:val="20"/>
                <w:color w:val="auto"/>
              </w:rPr>
            </w:pPr>
            <w:r>
              <w:rPr>
                <w:rFonts w:ascii="Times New Roman" w:cs="Times New Roman" w:eastAsia="Times New Roman" w:hAnsi="Times New Roman"/>
                <w:sz w:val="18"/>
                <w:szCs w:val="18"/>
                <w:b w:val="1"/>
                <w:bCs w:val="1"/>
                <w:color w:val="auto"/>
              </w:rPr>
              <w:t>Name of each exchange</w:t>
            </w:r>
          </w:p>
        </w:tc>
      </w:tr>
      <w:tr>
        <w:trPr>
          <w:trHeight w:val="238"/>
        </w:trPr>
        <w:tc>
          <w:tcPr>
            <w:tcW w:w="3480" w:type="dxa"/>
            <w:vAlign w:val="bottom"/>
            <w:gridSpan w:val="2"/>
          </w:tcPr>
          <w:p>
            <w:pPr>
              <w:jc w:val="center"/>
              <w:ind w:right="100"/>
              <w:spacing w:after="0"/>
              <w:rPr>
                <w:sz w:val="20"/>
                <w:szCs w:val="20"/>
                <w:color w:val="auto"/>
              </w:rPr>
            </w:pPr>
            <w:r>
              <w:rPr>
                <w:rFonts w:ascii="Times New Roman" w:cs="Times New Roman" w:eastAsia="Times New Roman" w:hAnsi="Times New Roman"/>
                <w:sz w:val="18"/>
                <w:szCs w:val="18"/>
                <w:b w:val="1"/>
                <w:bCs w:val="1"/>
                <w:color w:val="auto"/>
                <w:w w:val="98"/>
              </w:rPr>
              <w:t>Title of each class</w:t>
            </w:r>
          </w:p>
        </w:tc>
        <w:tc>
          <w:tcPr>
            <w:tcW w:w="2320" w:type="dxa"/>
            <w:vAlign w:val="bottom"/>
            <w:gridSpan w:val="2"/>
          </w:tcPr>
          <w:p>
            <w:pPr>
              <w:jc w:val="center"/>
              <w:ind w:right="100"/>
              <w:spacing w:after="0"/>
              <w:rPr>
                <w:sz w:val="20"/>
                <w:szCs w:val="20"/>
                <w:color w:val="auto"/>
              </w:rPr>
            </w:pPr>
            <w:r>
              <w:rPr>
                <w:rFonts w:ascii="Times New Roman" w:cs="Times New Roman" w:eastAsia="Times New Roman" w:hAnsi="Times New Roman"/>
                <w:sz w:val="18"/>
                <w:szCs w:val="18"/>
                <w:b w:val="1"/>
                <w:bCs w:val="1"/>
                <w:color w:val="auto"/>
              </w:rPr>
              <w:t>Symbol(s)</w:t>
            </w:r>
          </w:p>
        </w:tc>
        <w:tc>
          <w:tcPr>
            <w:tcW w:w="3100" w:type="dxa"/>
            <w:vAlign w:val="bottom"/>
          </w:tcPr>
          <w:p>
            <w:pPr>
              <w:jc w:val="center"/>
              <w:spacing w:after="0"/>
              <w:rPr>
                <w:sz w:val="20"/>
                <w:szCs w:val="20"/>
                <w:color w:val="auto"/>
              </w:rPr>
            </w:pPr>
            <w:r>
              <w:rPr>
                <w:rFonts w:ascii="Times New Roman" w:cs="Times New Roman" w:eastAsia="Times New Roman" w:hAnsi="Times New Roman"/>
                <w:sz w:val="18"/>
                <w:szCs w:val="18"/>
                <w:b w:val="1"/>
                <w:bCs w:val="1"/>
                <w:color w:val="auto"/>
                <w:w w:val="99"/>
              </w:rPr>
              <w:t>on which registered</w:t>
            </w:r>
          </w:p>
        </w:tc>
      </w:tr>
      <w:tr>
        <w:trPr>
          <w:trHeight w:val="27"/>
        </w:trPr>
        <w:tc>
          <w:tcPr>
            <w:tcW w:w="338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222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3100" w:type="dxa"/>
            <w:vAlign w:val="bottom"/>
            <w:tcBorders>
              <w:bottom w:val="single" w:sz="8" w:color="auto"/>
            </w:tcBorders>
          </w:tcPr>
          <w:p>
            <w:pPr>
              <w:spacing w:after="0"/>
              <w:rPr>
                <w:sz w:val="2"/>
                <w:szCs w:val="2"/>
                <w:color w:val="auto"/>
              </w:rPr>
            </w:pPr>
          </w:p>
        </w:tc>
      </w:tr>
      <w:tr>
        <w:trPr>
          <w:trHeight w:val="214"/>
        </w:trPr>
        <w:tc>
          <w:tcPr>
            <w:tcW w:w="3480" w:type="dxa"/>
            <w:vAlign w:val="bottom"/>
            <w:gridSpan w:val="2"/>
          </w:tcPr>
          <w:p>
            <w:pPr>
              <w:jc w:val="center"/>
              <w:ind w:right="100"/>
              <w:spacing w:after="0"/>
              <w:rPr>
                <w:sz w:val="20"/>
                <w:szCs w:val="20"/>
                <w:color w:val="auto"/>
              </w:rPr>
            </w:pPr>
            <w:r>
              <w:rPr>
                <w:rFonts w:ascii="Times New Roman" w:cs="Times New Roman" w:eastAsia="Times New Roman" w:hAnsi="Times New Roman"/>
                <w:sz w:val="18"/>
                <w:szCs w:val="18"/>
                <w:b w:val="1"/>
                <w:bCs w:val="1"/>
                <w:color w:val="auto"/>
              </w:rPr>
              <w:t>Common Stock, $0.0001 par value per</w:t>
            </w:r>
          </w:p>
        </w:tc>
        <w:tc>
          <w:tcPr>
            <w:tcW w:w="2320" w:type="dxa"/>
            <w:vAlign w:val="bottom"/>
            <w:gridSpan w:val="2"/>
          </w:tcPr>
          <w:p>
            <w:pPr>
              <w:jc w:val="center"/>
              <w:ind w:right="100"/>
              <w:spacing w:after="0"/>
              <w:rPr>
                <w:sz w:val="20"/>
                <w:szCs w:val="20"/>
                <w:color w:val="auto"/>
              </w:rPr>
            </w:pPr>
            <w:r>
              <w:rPr>
                <w:rFonts w:ascii="Times New Roman" w:cs="Times New Roman" w:eastAsia="Times New Roman" w:hAnsi="Times New Roman"/>
                <w:sz w:val="18"/>
                <w:szCs w:val="18"/>
                <w:b w:val="1"/>
                <w:bCs w:val="1"/>
                <w:color w:val="auto"/>
                <w:w w:val="93"/>
              </w:rPr>
              <w:t>AVBP</w:t>
            </w:r>
          </w:p>
        </w:tc>
        <w:tc>
          <w:tcPr>
            <w:tcW w:w="3100" w:type="dxa"/>
            <w:vAlign w:val="bottom"/>
          </w:tcPr>
          <w:p>
            <w:pPr>
              <w:jc w:val="center"/>
              <w:spacing w:after="0"/>
              <w:rPr>
                <w:sz w:val="20"/>
                <w:szCs w:val="20"/>
                <w:color w:val="auto"/>
              </w:rPr>
            </w:pPr>
            <w:r>
              <w:rPr>
                <w:rFonts w:ascii="Times New Roman" w:cs="Times New Roman" w:eastAsia="Times New Roman" w:hAnsi="Times New Roman"/>
                <w:sz w:val="18"/>
                <w:szCs w:val="18"/>
                <w:b w:val="1"/>
                <w:bCs w:val="1"/>
                <w:color w:val="auto"/>
                <w:w w:val="99"/>
              </w:rPr>
              <w:t>The Nasdaq Stock Market LLC</w:t>
            </w:r>
          </w:p>
        </w:tc>
      </w:tr>
      <w:tr>
        <w:trPr>
          <w:trHeight w:val="238"/>
        </w:trPr>
        <w:tc>
          <w:tcPr>
            <w:tcW w:w="3480" w:type="dxa"/>
            <w:vAlign w:val="bottom"/>
            <w:gridSpan w:val="2"/>
          </w:tcPr>
          <w:p>
            <w:pPr>
              <w:jc w:val="center"/>
              <w:ind w:right="100"/>
              <w:spacing w:after="0"/>
              <w:rPr>
                <w:sz w:val="20"/>
                <w:szCs w:val="20"/>
                <w:color w:val="auto"/>
              </w:rPr>
            </w:pPr>
            <w:r>
              <w:rPr>
                <w:rFonts w:ascii="Times New Roman" w:cs="Times New Roman" w:eastAsia="Times New Roman" w:hAnsi="Times New Roman"/>
                <w:sz w:val="18"/>
                <w:szCs w:val="18"/>
                <w:b w:val="1"/>
                <w:bCs w:val="1"/>
                <w:color w:val="auto"/>
                <w:w w:val="99"/>
              </w:rPr>
              <w:t>share</w:t>
            </w:r>
          </w:p>
        </w:tc>
        <w:tc>
          <w:tcPr>
            <w:tcW w:w="22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3100" w:type="dxa"/>
            <w:vAlign w:val="bottom"/>
          </w:tcPr>
          <w:p>
            <w:pPr>
              <w:spacing w:after="0"/>
              <w:rPr>
                <w:sz w:val="20"/>
                <w:szCs w:val="20"/>
                <w:color w:val="auto"/>
              </w:rPr>
            </w:pPr>
          </w:p>
        </w:tc>
      </w:tr>
    </w:tbl>
    <w:p>
      <w:pPr>
        <w:spacing w:after="0" w:line="144" w:lineRule="exact"/>
        <w:rPr>
          <w:sz w:val="24"/>
          <w:szCs w:val="24"/>
          <w:color w:val="auto"/>
        </w:rPr>
      </w:pPr>
    </w:p>
    <w:p>
      <w:pPr>
        <w:ind w:left="60" w:right="119"/>
        <w:spacing w:after="0" w:line="282" w:lineRule="auto"/>
        <w:rPr>
          <w:sz w:val="20"/>
          <w:szCs w:val="20"/>
          <w:color w:val="auto"/>
        </w:rPr>
      </w:pPr>
      <w:r>
        <w:rPr>
          <w:rFonts w:ascii="Times New Roman" w:cs="Times New Roman" w:eastAsia="Times New Roman" w:hAnsi="Times New Roman"/>
          <w:sz w:val="18"/>
          <w:szCs w:val="18"/>
          <w:color w:val="auto"/>
        </w:rPr>
        <w:t>Indicate by check mark whether the registrant is an emerging growth company as defined in Rule 405 of the Securities Act of 1933 (17 CFR §230.405) or Rule 12b-2 of the Securities Exchange Act of 1934 (17 CFR §240.12b-2).</w:t>
      </w:r>
    </w:p>
    <w:p>
      <w:pPr>
        <w:spacing w:after="0" w:line="40" w:lineRule="exact"/>
        <w:rPr>
          <w:sz w:val="24"/>
          <w:szCs w:val="24"/>
          <w:color w:val="auto"/>
        </w:rPr>
      </w:pPr>
    </w:p>
    <w:p>
      <w:pPr>
        <w:ind w:left="60"/>
        <w:spacing w:after="0" w:line="207" w:lineRule="exact"/>
        <w:rPr>
          <w:sz w:val="20"/>
          <w:szCs w:val="20"/>
          <w:color w:val="auto"/>
        </w:rPr>
      </w:pPr>
      <w:r>
        <w:rPr>
          <w:rFonts w:ascii="Times New Roman" w:cs="Times New Roman" w:eastAsia="Times New Roman" w:hAnsi="Times New Roman"/>
          <w:sz w:val="18"/>
          <w:szCs w:val="18"/>
          <w:color w:val="auto"/>
        </w:rPr>
        <w:t xml:space="preserve">Emerging Growth Company </w:t>
      </w:r>
      <w:r>
        <w:rPr>
          <w:rFonts w:ascii="MS PGothic" w:cs="MS PGothic" w:eastAsia="MS PGothic" w:hAnsi="MS PGothic"/>
          <w:sz w:val="18"/>
          <w:szCs w:val="18"/>
          <w:color w:val="auto"/>
        </w:rPr>
        <w:t>☒</w:t>
      </w:r>
    </w:p>
    <w:p>
      <w:pPr>
        <w:spacing w:after="0" w:line="185" w:lineRule="exact"/>
        <w:rPr>
          <w:sz w:val="24"/>
          <w:szCs w:val="24"/>
          <w:color w:val="auto"/>
        </w:rPr>
      </w:pPr>
    </w:p>
    <w:p>
      <w:pPr>
        <w:ind w:left="60" w:right="439"/>
        <w:spacing w:after="0" w:line="276" w:lineRule="auto"/>
        <w:rPr>
          <w:sz w:val="20"/>
          <w:szCs w:val="20"/>
          <w:color w:val="auto"/>
        </w:rPr>
      </w:pPr>
      <w:r>
        <w:rPr>
          <w:rFonts w:ascii="Times New Roman" w:cs="Times New Roman" w:eastAsia="Times New Roman" w:hAnsi="Times New Roman"/>
          <w:sz w:val="17"/>
          <w:szCs w:val="17"/>
          <w:color w:val="auto"/>
        </w:rPr>
        <w:t>If an emerging growth company, indicate by check mark if the registrant has elected not to use the extended transition period for complying with any new or revised financial accounting standards provided pursuant to Section 13(a) of the</w:t>
      </w:r>
    </w:p>
    <w:p>
      <w:pPr>
        <w:spacing w:after="0" w:line="1" w:lineRule="exact"/>
        <w:rPr>
          <w:sz w:val="24"/>
          <w:szCs w:val="24"/>
          <w:color w:val="auto"/>
        </w:rPr>
      </w:pPr>
    </w:p>
    <w:p>
      <w:pPr>
        <w:ind w:left="60"/>
        <w:spacing w:after="0" w:line="207" w:lineRule="exact"/>
        <w:rPr>
          <w:sz w:val="20"/>
          <w:szCs w:val="20"/>
          <w:color w:val="auto"/>
        </w:rPr>
      </w:pPr>
      <w:r>
        <w:rPr>
          <w:rFonts w:ascii="Times New Roman" w:cs="Times New Roman" w:eastAsia="Times New Roman" w:hAnsi="Times New Roman"/>
          <w:sz w:val="18"/>
          <w:szCs w:val="18"/>
          <w:color w:val="auto"/>
        </w:rPr>
        <w:t xml:space="preserve">Exchange Act. </w:t>
      </w:r>
      <w:r>
        <w:rPr>
          <w:rFonts w:ascii="MS PGothic" w:cs="MS PGothic" w:eastAsia="MS PGothic" w:hAnsi="MS PGothic"/>
          <w:sz w:val="18"/>
          <w:szCs w:val="18"/>
          <w:color w:val="auto"/>
        </w:rPr>
        <w:t>☐</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31115</wp:posOffset>
            </wp:positionH>
            <wp:positionV relativeFrom="paragraph">
              <wp:posOffset>622935</wp:posOffset>
            </wp:positionV>
            <wp:extent cx="5657850" cy="2540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5657850" cy="25400"/>
                    </a:xfrm>
                    <a:prstGeom prst="rect">
                      <a:avLst/>
                    </a:prstGeom>
                    <a:noFill/>
                  </pic:spPr>
                </pic:pic>
              </a:graphicData>
            </a:graphic>
          </wp:anchor>
        </w:drawing>
      </w:r>
    </w:p>
    <w:p>
      <w:pPr>
        <w:sectPr>
          <w:pgSz w:w="11900" w:h="16838" w:orient="portrait"/>
          <w:cols w:equalWidth="0" w:num="1">
            <w:col w:w="9019"/>
          </w:cols>
          <w:pgMar w:left="1440" w:top="1024" w:right="1440" w:bottom="1440" w:gutter="0" w:footer="0" w:header="0"/>
          <w:type w:val="continuous"/>
        </w:sectPr>
      </w:pPr>
    </w:p>
    <w:bookmarkStart w:id="1" w:name="page2"/>
    <w:bookmarkEnd w:id="1"/>
    <w:p>
      <w:pPr>
        <w:spacing w:after="0"/>
        <w:tabs>
          <w:tab w:leader="none" w:pos="880" w:val="left"/>
        </w:tabs>
        <w:rPr>
          <w:sz w:val="20"/>
          <w:szCs w:val="20"/>
          <w:color w:val="auto"/>
        </w:rPr>
      </w:pPr>
      <w:r>
        <w:rPr>
          <w:rFonts w:ascii="Times New Roman" w:cs="Times New Roman" w:eastAsia="Times New Roman" w:hAnsi="Times New Roman"/>
          <w:sz w:val="18"/>
          <w:szCs w:val="18"/>
          <w:b w:val="1"/>
          <w:bCs w:val="1"/>
          <w:color w:val="auto"/>
        </w:rPr>
        <w:t>Item</w:t>
      </w:r>
      <w:r>
        <w:rPr>
          <w:rFonts w:ascii="Times New Roman" w:cs="Times New Roman" w:eastAsia="Times New Roman" w:hAnsi="Times New Roman"/>
          <w:sz w:val="18"/>
          <w:szCs w:val="18"/>
          <w:color w:val="auto"/>
        </w:rPr>
        <w:t> </w:t>
      </w:r>
      <w:r>
        <w:rPr>
          <w:rFonts w:ascii="Times New Roman" w:cs="Times New Roman" w:eastAsia="Times New Roman" w:hAnsi="Times New Roman"/>
          <w:sz w:val="18"/>
          <w:szCs w:val="18"/>
          <w:b w:val="1"/>
          <w:bCs w:val="1"/>
          <w:color w:val="auto"/>
        </w:rPr>
        <w:t>2.02</w:t>
      </w:r>
      <w:r>
        <w:rPr>
          <w:sz w:val="20"/>
          <w:szCs w:val="20"/>
          <w:color w:val="auto"/>
        </w:rPr>
        <w:tab/>
      </w:r>
      <w:r>
        <w:rPr>
          <w:rFonts w:ascii="Times New Roman" w:cs="Times New Roman" w:eastAsia="Times New Roman" w:hAnsi="Times New Roman"/>
          <w:sz w:val="18"/>
          <w:szCs w:val="18"/>
          <w:color w:val="auto"/>
        </w:rPr>
        <w:t>Results of Operations and Financial Condition.</w:t>
      </w:r>
    </w:p>
    <w:p>
      <w:pPr>
        <w:spacing w:after="0" w:line="229" w:lineRule="exact"/>
        <w:rPr>
          <w:sz w:val="20"/>
          <w:szCs w:val="20"/>
          <w:color w:val="auto"/>
        </w:rPr>
      </w:pPr>
    </w:p>
    <w:p>
      <w:pPr>
        <w:ind w:right="40"/>
        <w:spacing w:after="0" w:line="282" w:lineRule="auto"/>
        <w:rPr>
          <w:sz w:val="20"/>
          <w:szCs w:val="20"/>
          <w:color w:val="auto"/>
        </w:rPr>
      </w:pPr>
      <w:r>
        <w:rPr>
          <w:rFonts w:ascii="Times New Roman" w:cs="Times New Roman" w:eastAsia="Times New Roman" w:hAnsi="Times New Roman"/>
          <w:sz w:val="18"/>
          <w:szCs w:val="18"/>
          <w:color w:val="auto"/>
        </w:rPr>
        <w:t>On May 12, 2025, ArriVent BioPharma, Inc. (the “Company”) issued a press release announcing its financial results for the first quarter ended March 31, 2025. A copy of the press release is furnished as Exhibit 99.1 hereto.</w:t>
      </w:r>
    </w:p>
    <w:p>
      <w:pPr>
        <w:spacing w:after="0" w:line="162" w:lineRule="exact"/>
        <w:rPr>
          <w:sz w:val="20"/>
          <w:szCs w:val="20"/>
          <w:color w:val="auto"/>
        </w:rPr>
      </w:pPr>
    </w:p>
    <w:p>
      <w:pPr>
        <w:ind w:right="40"/>
        <w:spacing w:after="0" w:line="258" w:lineRule="auto"/>
        <w:rPr>
          <w:sz w:val="20"/>
          <w:szCs w:val="20"/>
          <w:color w:val="auto"/>
        </w:rPr>
      </w:pPr>
      <w:r>
        <w:rPr>
          <w:rFonts w:ascii="Times New Roman" w:cs="Times New Roman" w:eastAsia="Times New Roman" w:hAnsi="Times New Roman"/>
          <w:sz w:val="18"/>
          <w:szCs w:val="18"/>
          <w:color w:val="auto"/>
        </w:rPr>
        <w:t>The information contained in this Item 2.02 and in the press release furnished as Exhibit 99.1 hereto shall not be deemed “filed” for purposes of Section 18 of the Securities Exchange Act of 1934, as amended, or otherwise subject to the liabilities of that Section or Sections 11 and 12(a)(2) of the Securities Act of 1933, as amended, or incorporated by reference in any filing with the U.S. Securities and Exchange Commission made by the Company, whether made before or after the date hereof, regardless of any general incorporation language in such filing.</w:t>
      </w:r>
    </w:p>
    <w:p>
      <w:pPr>
        <w:spacing w:after="0" w:line="395" w:lineRule="exact"/>
        <w:rPr>
          <w:sz w:val="20"/>
          <w:szCs w:val="20"/>
          <w:color w:val="auto"/>
        </w:rPr>
      </w:pPr>
    </w:p>
    <w:p>
      <w:pPr>
        <w:spacing w:after="0"/>
        <w:tabs>
          <w:tab w:leader="none" w:pos="880" w:val="left"/>
        </w:tabs>
        <w:rPr>
          <w:sz w:val="20"/>
          <w:szCs w:val="20"/>
          <w:color w:val="auto"/>
        </w:rPr>
      </w:pPr>
      <w:r>
        <w:rPr>
          <w:rFonts w:ascii="Times New Roman" w:cs="Times New Roman" w:eastAsia="Times New Roman" w:hAnsi="Times New Roman"/>
          <w:sz w:val="18"/>
          <w:szCs w:val="18"/>
          <w:b w:val="1"/>
          <w:bCs w:val="1"/>
          <w:color w:val="auto"/>
        </w:rPr>
        <w:t>Item</w:t>
      </w:r>
      <w:r>
        <w:rPr>
          <w:rFonts w:ascii="Times New Roman" w:cs="Times New Roman" w:eastAsia="Times New Roman" w:hAnsi="Times New Roman"/>
          <w:sz w:val="18"/>
          <w:szCs w:val="18"/>
          <w:color w:val="auto"/>
        </w:rPr>
        <w:t> </w:t>
      </w:r>
      <w:r>
        <w:rPr>
          <w:rFonts w:ascii="Times New Roman" w:cs="Times New Roman" w:eastAsia="Times New Roman" w:hAnsi="Times New Roman"/>
          <w:sz w:val="18"/>
          <w:szCs w:val="18"/>
          <w:b w:val="1"/>
          <w:bCs w:val="1"/>
          <w:color w:val="auto"/>
        </w:rPr>
        <w:t>9.01</w:t>
      </w:r>
      <w:r>
        <w:rPr>
          <w:sz w:val="20"/>
          <w:szCs w:val="20"/>
          <w:color w:val="auto"/>
        </w:rPr>
        <w:tab/>
      </w:r>
      <w:r>
        <w:rPr>
          <w:rFonts w:ascii="Times New Roman" w:cs="Times New Roman" w:eastAsia="Times New Roman" w:hAnsi="Times New Roman"/>
          <w:sz w:val="17"/>
          <w:szCs w:val="17"/>
          <w:color w:val="auto"/>
        </w:rPr>
        <w:t>Financial Statements and Exhibits.</w:t>
      </w:r>
    </w:p>
    <w:p>
      <w:pPr>
        <w:spacing w:after="0" w:line="229"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100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(d) Exhibits.</w:t>
            </w:r>
          </w:p>
        </w:tc>
        <w:tc>
          <w:tcPr>
            <w:tcW w:w="2520" w:type="dxa"/>
            <w:vAlign w:val="bottom"/>
          </w:tcPr>
          <w:p>
            <w:pPr>
              <w:spacing w:after="0"/>
              <w:rPr>
                <w:sz w:val="20"/>
                <w:szCs w:val="20"/>
                <w:color w:val="auto"/>
              </w:rPr>
            </w:pPr>
          </w:p>
        </w:tc>
        <w:tc>
          <w:tcPr>
            <w:tcW w:w="5720" w:type="dxa"/>
            <w:vAlign w:val="bottom"/>
          </w:tcPr>
          <w:p>
            <w:pPr>
              <w:spacing w:after="0"/>
              <w:rPr>
                <w:sz w:val="20"/>
                <w:szCs w:val="20"/>
                <w:color w:val="auto"/>
              </w:rPr>
            </w:pPr>
          </w:p>
        </w:tc>
        <w:tc>
          <w:tcPr>
            <w:tcW w:w="20" w:type="dxa"/>
            <w:vAlign w:val="bottom"/>
          </w:tcPr>
          <w:p>
            <w:pPr>
              <w:spacing w:after="0"/>
              <w:rPr>
                <w:sz w:val="20"/>
                <w:szCs w:val="20"/>
                <w:color w:val="auto"/>
              </w:rPr>
            </w:pPr>
          </w:p>
        </w:tc>
      </w:tr>
      <w:tr>
        <w:trPr>
          <w:trHeight w:val="445"/>
        </w:trPr>
        <w:tc>
          <w:tcPr>
            <w:tcW w:w="1000" w:type="dxa"/>
            <w:vAlign w:val="bottom"/>
            <w:gridSpan w:val="2"/>
          </w:tcPr>
          <w:p>
            <w:pPr>
              <w:spacing w:after="0"/>
              <w:rPr>
                <w:sz w:val="20"/>
                <w:szCs w:val="20"/>
                <w:color w:val="auto"/>
              </w:rPr>
            </w:pPr>
            <w:r>
              <w:rPr>
                <w:rFonts w:ascii="Times New Roman" w:cs="Times New Roman" w:eastAsia="Times New Roman" w:hAnsi="Times New Roman"/>
                <w:sz w:val="18"/>
                <w:szCs w:val="18"/>
                <w:b w:val="1"/>
                <w:bCs w:val="1"/>
                <w:color w:val="auto"/>
              </w:rPr>
              <w:t>Exhibit No.</w:t>
            </w:r>
          </w:p>
        </w:tc>
        <w:tc>
          <w:tcPr>
            <w:tcW w:w="2520" w:type="dxa"/>
            <w:vAlign w:val="bottom"/>
          </w:tcPr>
          <w:p>
            <w:pPr>
              <w:spacing w:after="0"/>
              <w:rPr>
                <w:sz w:val="24"/>
                <w:szCs w:val="24"/>
                <w:color w:val="auto"/>
              </w:rPr>
            </w:pPr>
          </w:p>
        </w:tc>
        <w:tc>
          <w:tcPr>
            <w:tcW w:w="5740" w:type="dxa"/>
            <w:vAlign w:val="bottom"/>
            <w:gridSpan w:val="2"/>
          </w:tcPr>
          <w:p>
            <w:pPr>
              <w:ind w:left="1160"/>
              <w:spacing w:after="0"/>
              <w:rPr>
                <w:sz w:val="20"/>
                <w:szCs w:val="20"/>
                <w:color w:val="auto"/>
              </w:rPr>
            </w:pPr>
            <w:r>
              <w:rPr>
                <w:rFonts w:ascii="Times New Roman" w:cs="Times New Roman" w:eastAsia="Times New Roman" w:hAnsi="Times New Roman"/>
                <w:sz w:val="18"/>
                <w:szCs w:val="18"/>
                <w:b w:val="1"/>
                <w:bCs w:val="1"/>
                <w:color w:val="auto"/>
              </w:rPr>
              <w:t>Description</w:t>
            </w:r>
          </w:p>
        </w:tc>
      </w:tr>
      <w:tr>
        <w:trPr>
          <w:trHeight w:val="169"/>
        </w:trPr>
        <w:tc>
          <w:tcPr>
            <w:tcW w:w="920" w:type="dxa"/>
            <w:vAlign w:val="bottom"/>
            <w:tcBorders>
              <w:top w:val="single" w:sz="8" w:color="auto"/>
            </w:tcBorders>
          </w:tcPr>
          <w:p>
            <w:pPr>
              <w:spacing w:after="0" w:line="169" w:lineRule="exact"/>
              <w:rPr>
                <w:sz w:val="20"/>
                <w:szCs w:val="20"/>
                <w:color w:val="auto"/>
              </w:rPr>
            </w:pPr>
            <w:r>
              <w:rPr>
                <w:rFonts w:ascii="Times New Roman" w:cs="Times New Roman" w:eastAsia="Times New Roman" w:hAnsi="Times New Roman"/>
                <w:sz w:val="18"/>
                <w:szCs w:val="18"/>
                <w:color w:val="auto"/>
              </w:rPr>
              <w:t>99.1</w:t>
            </w:r>
          </w:p>
        </w:tc>
        <w:tc>
          <w:tcPr>
            <w:tcW w:w="80" w:type="dxa"/>
            <w:vAlign w:val="bottom"/>
          </w:tcPr>
          <w:p>
            <w:pPr>
              <w:spacing w:after="0"/>
              <w:rPr>
                <w:sz w:val="14"/>
                <w:szCs w:val="14"/>
                <w:color w:val="auto"/>
              </w:rPr>
            </w:pPr>
          </w:p>
        </w:tc>
        <w:tc>
          <w:tcPr>
            <w:tcW w:w="2520" w:type="dxa"/>
            <w:vAlign w:val="bottom"/>
            <w:tcBorders>
              <w:top w:val="single" w:sz="8" w:color="auto"/>
              <w:bottom w:val="single" w:sz="8" w:color="0000EE"/>
            </w:tcBorders>
          </w:tcPr>
          <w:p>
            <w:pPr>
              <w:spacing w:after="0" w:line="169" w:lineRule="exact"/>
              <w:rPr>
                <w:sz w:val="20"/>
                <w:szCs w:val="20"/>
                <w:color w:val="auto"/>
              </w:rPr>
            </w:pPr>
            <w:r>
              <w:rPr>
                <w:rFonts w:ascii="Times New Roman" w:cs="Times New Roman" w:eastAsia="Times New Roman" w:hAnsi="Times New Roman"/>
                <w:sz w:val="18"/>
                <w:szCs w:val="18"/>
                <w:color w:val="0000EE"/>
                <w:w w:val="99"/>
              </w:rPr>
              <w:t>Press Release dated May 12, 2025.</w:t>
            </w:r>
          </w:p>
        </w:tc>
        <w:tc>
          <w:tcPr>
            <w:tcW w:w="5720" w:type="dxa"/>
            <w:vAlign w:val="bottom"/>
            <w:tcBorders>
              <w:top w:val="single" w:sz="8" w:color="auto"/>
            </w:tcBorders>
          </w:tcPr>
          <w:p>
            <w:pPr>
              <w:spacing w:after="0"/>
              <w:rPr>
                <w:sz w:val="14"/>
                <w:szCs w:val="14"/>
                <w:color w:val="auto"/>
              </w:rPr>
            </w:pPr>
          </w:p>
        </w:tc>
        <w:tc>
          <w:tcPr>
            <w:tcW w:w="20" w:type="dxa"/>
            <w:vAlign w:val="bottom"/>
          </w:tcPr>
          <w:p>
            <w:pPr>
              <w:spacing w:after="0"/>
              <w:rPr>
                <w:sz w:val="14"/>
                <w:szCs w:val="14"/>
                <w:color w:val="auto"/>
              </w:rPr>
            </w:pPr>
          </w:p>
        </w:tc>
      </w:tr>
      <w:tr>
        <w:trPr>
          <w:trHeight w:val="453"/>
        </w:trPr>
        <w:tc>
          <w:tcPr>
            <w:tcW w:w="920" w:type="dxa"/>
            <w:vAlign w:val="bottom"/>
          </w:tcPr>
          <w:p>
            <w:pPr>
              <w:spacing w:after="0"/>
              <w:rPr>
                <w:sz w:val="20"/>
                <w:szCs w:val="20"/>
                <w:color w:val="auto"/>
              </w:rPr>
            </w:pPr>
            <w:r>
              <w:rPr>
                <w:rFonts w:ascii="Times New Roman" w:cs="Times New Roman" w:eastAsia="Times New Roman" w:hAnsi="Times New Roman"/>
                <w:sz w:val="18"/>
                <w:szCs w:val="18"/>
                <w:color w:val="auto"/>
              </w:rPr>
              <w:t>104</w:t>
            </w:r>
          </w:p>
        </w:tc>
        <w:tc>
          <w:tcPr>
            <w:tcW w:w="80" w:type="dxa"/>
            <w:vAlign w:val="bottom"/>
          </w:tcPr>
          <w:p>
            <w:pPr>
              <w:spacing w:after="0"/>
              <w:rPr>
                <w:sz w:val="24"/>
                <w:szCs w:val="24"/>
                <w:color w:val="auto"/>
              </w:rPr>
            </w:pPr>
          </w:p>
        </w:tc>
        <w:tc>
          <w:tcPr>
            <w:tcW w:w="8260" w:type="dxa"/>
            <w:vAlign w:val="bottom"/>
            <w:gridSpan w:val="3"/>
          </w:tcPr>
          <w:p>
            <w:pPr>
              <w:spacing w:after="0"/>
              <w:rPr>
                <w:sz w:val="20"/>
                <w:szCs w:val="20"/>
                <w:color w:val="auto"/>
              </w:rPr>
            </w:pPr>
            <w:r>
              <w:rPr>
                <w:rFonts w:ascii="Times New Roman" w:cs="Times New Roman" w:eastAsia="Times New Roman" w:hAnsi="Times New Roman"/>
                <w:sz w:val="18"/>
                <w:szCs w:val="18"/>
                <w:color w:val="auto"/>
              </w:rPr>
              <w:t>Cover Page Interactive Data File (embedded within the Inline XBRL document).</w:t>
            </w:r>
          </w:p>
        </w:tc>
      </w:tr>
      <w:tr>
        <w:trPr>
          <w:trHeight w:val="1033"/>
        </w:trPr>
        <w:tc>
          <w:tcPr>
            <w:tcW w:w="920" w:type="dxa"/>
            <w:vAlign w:val="bottom"/>
            <w:tcBorders>
              <w:bottom w:val="single" w:sz="8" w:color="auto"/>
            </w:tcBorders>
          </w:tcPr>
          <w:p>
            <w:pPr>
              <w:spacing w:after="0"/>
              <w:rPr>
                <w:sz w:val="24"/>
                <w:szCs w:val="24"/>
                <w:color w:val="auto"/>
              </w:rPr>
            </w:pPr>
          </w:p>
        </w:tc>
        <w:tc>
          <w:tcPr>
            <w:tcW w:w="80" w:type="dxa"/>
            <w:vAlign w:val="bottom"/>
            <w:tcBorders>
              <w:bottom w:val="single" w:sz="8" w:color="auto"/>
            </w:tcBorders>
          </w:tcPr>
          <w:p>
            <w:pPr>
              <w:spacing w:after="0"/>
              <w:rPr>
                <w:sz w:val="24"/>
                <w:szCs w:val="24"/>
                <w:color w:val="auto"/>
              </w:rPr>
            </w:pPr>
          </w:p>
        </w:tc>
        <w:tc>
          <w:tcPr>
            <w:tcW w:w="2520" w:type="dxa"/>
            <w:vAlign w:val="bottom"/>
            <w:tcBorders>
              <w:bottom w:val="single" w:sz="8" w:color="auto"/>
            </w:tcBorders>
          </w:tcPr>
          <w:p>
            <w:pPr>
              <w:spacing w:after="0"/>
              <w:rPr>
                <w:sz w:val="24"/>
                <w:szCs w:val="24"/>
                <w:color w:val="auto"/>
              </w:rPr>
            </w:pPr>
          </w:p>
        </w:tc>
        <w:tc>
          <w:tcPr>
            <w:tcW w:w="5720" w:type="dxa"/>
            <w:vAlign w:val="bottom"/>
            <w:tcBorders>
              <w:bottom w:val="single" w:sz="8" w:color="auto"/>
            </w:tcBorders>
          </w:tcPr>
          <w:p>
            <w:pPr>
              <w:spacing w:after="0"/>
              <w:rPr>
                <w:sz w:val="24"/>
                <w:szCs w:val="24"/>
                <w:color w:val="auto"/>
              </w:rPr>
            </w:pPr>
          </w:p>
        </w:tc>
        <w:tc>
          <w:tcPr>
            <w:tcW w:w="20" w:type="dxa"/>
            <w:vAlign w:val="bottom"/>
            <w:tcBorders>
              <w:bottom w:val="single" w:sz="8" w:color="auto"/>
            </w:tcBorders>
          </w:tcPr>
          <w:p>
            <w:pPr>
              <w:spacing w:after="0"/>
              <w:rPr>
                <w:sz w:val="24"/>
                <w:szCs w:val="24"/>
                <w:color w:val="auto"/>
              </w:rPr>
            </w:pPr>
          </w:p>
        </w:tc>
      </w:tr>
    </w:tbl>
    <w:p>
      <w:pPr>
        <w:sectPr>
          <w:pgSz w:w="11900" w:h="16838" w:orient="portrait"/>
          <w:cols w:equalWidth="0" w:num="1">
            <w:col w:w="9260"/>
          </w:cols>
          <w:pgMar w:left="1320" w:top="900" w:right="1319" w:bottom="1440" w:gutter="0" w:footer="0" w:header="0"/>
        </w:sectPr>
      </w:pPr>
    </w:p>
    <w:bookmarkStart w:id="2" w:name="page3"/>
    <w:bookmarkEnd w:id="2"/>
    <w:p>
      <w:pPr>
        <w:jc w:val="center"/>
        <w:ind w:right="-100"/>
        <w:spacing w:after="0"/>
        <w:rPr>
          <w:sz w:val="20"/>
          <w:szCs w:val="20"/>
          <w:color w:val="auto"/>
        </w:rPr>
      </w:pPr>
      <w:r>
        <w:rPr>
          <w:rFonts w:ascii="Times New Roman" w:cs="Times New Roman" w:eastAsia="Times New Roman" w:hAnsi="Times New Roman"/>
          <w:sz w:val="18"/>
          <w:szCs w:val="18"/>
          <w:b w:val="1"/>
          <w:bCs w:val="1"/>
          <w:color w:val="auto"/>
        </w:rPr>
        <w:t>SIGNATURES</w:t>
      </w:r>
    </w:p>
    <w:p>
      <w:pPr>
        <w:spacing w:after="0" w:line="229" w:lineRule="exact"/>
        <w:rPr>
          <w:sz w:val="20"/>
          <w:szCs w:val="20"/>
          <w:color w:val="auto"/>
        </w:rPr>
      </w:pPr>
    </w:p>
    <w:p>
      <w:pPr>
        <w:ind w:right="99" w:firstLine="648"/>
        <w:spacing w:after="0" w:line="282" w:lineRule="auto"/>
        <w:rPr>
          <w:sz w:val="20"/>
          <w:szCs w:val="20"/>
          <w:color w:val="auto"/>
        </w:rPr>
      </w:pPr>
      <w:r>
        <w:rPr>
          <w:rFonts w:ascii="Times New Roman" w:cs="Times New Roman" w:eastAsia="Times New Roman" w:hAnsi="Times New Roman"/>
          <w:sz w:val="18"/>
          <w:szCs w:val="18"/>
          <w:color w:val="auto"/>
        </w:rPr>
        <w:t>Pursuant to the requirements of the Securities Exchange Act of 1934, the Registrant has duly caused this report to be signed on its behalf by the undersigned thereunto duly authorized.</w:t>
      </w:r>
    </w:p>
    <w:p>
      <w:pPr>
        <w:spacing w:after="0" w:line="171" w:lineRule="exact"/>
        <w:rPr>
          <w:sz w:val="20"/>
          <w:szCs w:val="20"/>
          <w:color w:val="auto"/>
        </w:rPr>
      </w:pPr>
    </w:p>
    <w:p>
      <w:pPr>
        <w:ind w:left="4640"/>
        <w:spacing w:after="0"/>
        <w:rPr>
          <w:sz w:val="20"/>
          <w:szCs w:val="20"/>
          <w:color w:val="auto"/>
        </w:rPr>
      </w:pPr>
      <w:r>
        <w:rPr>
          <w:rFonts w:ascii="Times New Roman" w:cs="Times New Roman" w:eastAsia="Times New Roman" w:hAnsi="Times New Roman"/>
          <w:sz w:val="18"/>
          <w:szCs w:val="18"/>
          <w:b w:val="1"/>
          <w:bCs w:val="1"/>
          <w:color w:val="auto"/>
        </w:rPr>
        <w:t>ARRIVENT BIOPHARMA, INC.</w:t>
      </w:r>
    </w:p>
    <w:p>
      <w:pPr>
        <w:spacing w:after="0" w:line="229" w:lineRule="exact"/>
        <w:rPr>
          <w:sz w:val="20"/>
          <w:szCs w:val="20"/>
          <w:color w:val="auto"/>
        </w:rPr>
      </w:pPr>
    </w:p>
    <w:p>
      <w:pPr>
        <w:ind w:left="4640"/>
        <w:spacing w:after="0"/>
        <w:rPr>
          <w:sz w:val="20"/>
          <w:szCs w:val="20"/>
          <w:color w:val="auto"/>
        </w:rPr>
      </w:pPr>
      <w:r>
        <w:rPr>
          <w:rFonts w:ascii="Times New Roman" w:cs="Times New Roman" w:eastAsia="Times New Roman" w:hAnsi="Times New Roman"/>
          <w:sz w:val="18"/>
          <w:szCs w:val="18"/>
          <w:color w:val="auto"/>
        </w:rPr>
        <w:t>By:/s/ Winston Kung</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3115945</wp:posOffset>
            </wp:positionH>
            <wp:positionV relativeFrom="paragraph">
              <wp:posOffset>17145</wp:posOffset>
            </wp:positionV>
            <wp:extent cx="2751455" cy="825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2751455" cy="8255"/>
                    </a:xfrm>
                    <a:prstGeom prst="rect">
                      <a:avLst/>
                    </a:prstGeom>
                    <a:noFill/>
                  </pic:spPr>
                </pic:pic>
              </a:graphicData>
            </a:graphic>
          </wp:anchor>
        </w:drawing>
      </w:r>
    </w:p>
    <w:p>
      <w:pPr>
        <w:spacing w:after="0" w:line="7" w:lineRule="exact"/>
        <w:rPr>
          <w:sz w:val="20"/>
          <w:szCs w:val="20"/>
          <w:color w:val="auto"/>
        </w:rPr>
      </w:pPr>
    </w:p>
    <w:p>
      <w:pPr>
        <w:ind w:left="4920"/>
        <w:spacing w:after="0"/>
        <w:rPr>
          <w:sz w:val="20"/>
          <w:szCs w:val="20"/>
          <w:color w:val="auto"/>
        </w:rPr>
      </w:pPr>
      <w:r>
        <w:rPr>
          <w:rFonts w:ascii="Times New Roman" w:cs="Times New Roman" w:eastAsia="Times New Roman" w:hAnsi="Times New Roman"/>
          <w:sz w:val="18"/>
          <w:szCs w:val="18"/>
          <w:color w:val="auto"/>
        </w:rPr>
        <w:t>Winston Kung</w:t>
      </w:r>
    </w:p>
    <w:p>
      <w:pPr>
        <w:spacing w:after="0" w:line="23" w:lineRule="exact"/>
        <w:rPr>
          <w:sz w:val="20"/>
          <w:szCs w:val="20"/>
          <w:color w:val="auto"/>
        </w:rPr>
      </w:pPr>
    </w:p>
    <w:p>
      <w:pPr>
        <w:ind w:left="4920"/>
        <w:spacing w:after="0"/>
        <w:rPr>
          <w:sz w:val="20"/>
          <w:szCs w:val="20"/>
          <w:color w:val="auto"/>
        </w:rPr>
      </w:pPr>
      <w:r>
        <w:rPr>
          <w:rFonts w:ascii="Times New Roman" w:cs="Times New Roman" w:eastAsia="Times New Roman" w:hAnsi="Times New Roman"/>
          <w:sz w:val="18"/>
          <w:szCs w:val="18"/>
          <w:color w:val="auto"/>
        </w:rPr>
        <w:t>Chief Financial Officer and Treasurer</w:t>
      </w:r>
    </w:p>
    <w:p>
      <w:pPr>
        <w:spacing w:after="0" w:line="200" w:lineRule="exact"/>
        <w:rPr>
          <w:sz w:val="20"/>
          <w:szCs w:val="20"/>
          <w:color w:val="auto"/>
        </w:rPr>
      </w:pPr>
    </w:p>
    <w:p>
      <w:pPr>
        <w:spacing w:after="0" w:line="200" w:lineRule="exact"/>
        <w:rPr>
          <w:sz w:val="20"/>
          <w:szCs w:val="20"/>
          <w:color w:val="auto"/>
        </w:rPr>
      </w:pPr>
    </w:p>
    <w:p>
      <w:pPr>
        <w:spacing w:after="0" w:line="30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Date: May 12, 2025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-3810</wp:posOffset>
            </wp:positionH>
            <wp:positionV relativeFrom="paragraph">
              <wp:posOffset>925830</wp:posOffset>
            </wp:positionV>
            <wp:extent cx="5880735" cy="2603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5880735" cy="26035"/>
                    </a:xfrm>
                    <a:prstGeom prst="rect">
                      <a:avLst/>
                    </a:prstGeom>
                    <a:noFill/>
                  </pic:spPr>
                </pic:pic>
              </a:graphicData>
            </a:graphic>
          </wp:anchor>
        </w:drawing>
      </w:r>
    </w:p>
    <w:p>
      <w:pPr>
        <w:sectPr>
          <w:pgSz w:w="11900" w:h="16838" w:orient="portrait"/>
          <w:cols w:equalWidth="0" w:num="1">
            <w:col w:w="9139"/>
          </w:cols>
          <w:pgMar w:left="1320" w:top="900" w:right="1440" w:bottom="1440" w:gutter="0" w:footer="0" w:header="0"/>
        </w:sectPr>
      </w:pPr>
    </w:p>
    <w:bookmarkStart w:id="3" w:name="page4"/>
    <w:bookmarkEnd w:id="3"/>
    <w:p>
      <w:pPr>
        <w:ind w:left="7740"/>
        <w:spacing w:after="0"/>
        <w:rPr>
          <w:sz w:val="20"/>
          <w:szCs w:val="20"/>
          <w:color w:val="auto"/>
        </w:rPr>
      </w:pPr>
      <w:r>
        <w:rPr>
          <w:rFonts w:ascii="Times New Roman" w:cs="Times New Roman" w:eastAsia="Times New Roman" w:hAnsi="Times New Roman"/>
          <w:sz w:val="21"/>
          <w:szCs w:val="21"/>
          <w:color w:val="auto"/>
        </w:rPr>
        <w:drawing>
          <wp:anchor simplePos="0" relativeHeight="251657728" behindDoc="1" locked="0" layoutInCell="0" allowOverlap="1">
            <wp:simplePos x="0" y="0"/>
            <wp:positionH relativeFrom="page">
              <wp:posOffset>4828540</wp:posOffset>
            </wp:positionH>
            <wp:positionV relativeFrom="page">
              <wp:posOffset>88900</wp:posOffset>
            </wp:positionV>
            <wp:extent cx="1645920" cy="29146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clrChange>
                        <a:clrFrom>
                          <a:srgbClr val="FFFFFF"/>
                        </a:clrFrom>
                        <a:clrTo>
                          <a:srgbClr val="FFFFFF">
                            <a:alpha val="0"/>
                          </a:srgbClr>
                        </a:clrTo>
                      </a:clrChange>
                      <a:extLst>
                        <a:ext uri="{28A0092B-C50C-407E-A947-70E740481C1C}"/>
                      </a:extLst>
                    </a:blip>
                    <a:srcRect/>
                    <a:stretch>
                      <a:fillRect/>
                    </a:stretch>
                  </pic:blipFill>
                  <pic:spPr bwMode="auto">
                    <a:xfrm>
                      <a:off x="0" y="0"/>
                      <a:ext cx="1645920" cy="291465"/>
                    </a:xfrm>
                    <a:prstGeom prst="rect">
                      <a:avLst/>
                    </a:prstGeom>
                    <a:noFill/>
                  </pic:spPr>
                </pic:pic>
              </a:graphicData>
            </a:graphic>
          </wp:anchor>
        </w:drawing>
        <w:t>Exhibit 99.1</w:t>
      </w:r>
    </w:p>
    <w:p>
      <w:pPr>
        <w:spacing w:after="0" w:line="41" w:lineRule="exact"/>
        <w:rPr>
          <w:sz w:val="20"/>
          <w:szCs w:val="20"/>
          <w:color w:val="auto"/>
        </w:rPr>
      </w:pPr>
    </w:p>
    <w:p>
      <w:pPr>
        <w:jc w:val="center"/>
        <w:ind w:right="19"/>
        <w:spacing w:after="0"/>
        <w:rPr>
          <w:sz w:val="20"/>
          <w:szCs w:val="20"/>
          <w:color w:val="auto"/>
        </w:rPr>
      </w:pPr>
      <w:r>
        <w:rPr>
          <w:rFonts w:ascii="Arial" w:cs="Arial" w:eastAsia="Arial" w:hAnsi="Arial"/>
          <w:sz w:val="20"/>
          <w:szCs w:val="20"/>
          <w:b w:val="1"/>
          <w:bCs w:val="1"/>
          <w:color w:val="auto"/>
        </w:rPr>
        <w:t>ArriVent BioPharma Reports First Quarter 2025 Financial Results</w:t>
      </w:r>
    </w:p>
    <w:p>
      <w:pPr>
        <w:spacing w:after="0" w:line="182" w:lineRule="exact"/>
        <w:rPr>
          <w:sz w:val="20"/>
          <w:szCs w:val="20"/>
          <w:color w:val="auto"/>
        </w:rPr>
      </w:pPr>
    </w:p>
    <w:p>
      <w:pPr>
        <w:ind w:left="540" w:right="219" w:hanging="331"/>
        <w:spacing w:after="0" w:line="280" w:lineRule="auto"/>
        <w:tabs>
          <w:tab w:leader="none" w:pos="540" w:val="left"/>
        </w:tabs>
        <w:numPr>
          <w:ilvl w:val="0"/>
          <w:numId w:val="2"/>
        </w:numPr>
        <w:rPr>
          <w:rFonts w:ascii="Times New Roman" w:cs="Times New Roman" w:eastAsia="Times New Roman" w:hAnsi="Times New Roman"/>
          <w:sz w:val="20"/>
          <w:szCs w:val="20"/>
          <w:color w:val="auto"/>
        </w:rPr>
      </w:pPr>
      <w:r>
        <w:rPr>
          <w:rFonts w:ascii="Arial" w:cs="Arial" w:eastAsia="Arial" w:hAnsi="Arial"/>
          <w:sz w:val="20"/>
          <w:szCs w:val="20"/>
          <w:i w:val="1"/>
          <w:iCs w:val="1"/>
          <w:color w:val="auto"/>
        </w:rPr>
        <w:t>Completed enrollment in global pivotal Phase 3 study for firmonertinib monotherapy in first-line NSCLC harboring EGFR exon 20 insertion mutations</w:t>
      </w:r>
    </w:p>
    <w:p>
      <w:pPr>
        <w:spacing w:after="0" w:line="2" w:lineRule="exact"/>
        <w:rPr>
          <w:rFonts w:ascii="Times New Roman" w:cs="Times New Roman" w:eastAsia="Times New Roman" w:hAnsi="Times New Roman"/>
          <w:sz w:val="20"/>
          <w:szCs w:val="20"/>
          <w:color w:val="auto"/>
        </w:rPr>
      </w:pPr>
    </w:p>
    <w:p>
      <w:pPr>
        <w:ind w:left="540" w:right="559" w:hanging="331"/>
        <w:spacing w:after="0" w:line="280" w:lineRule="auto"/>
        <w:tabs>
          <w:tab w:leader="none" w:pos="540" w:val="left"/>
        </w:tabs>
        <w:numPr>
          <w:ilvl w:val="0"/>
          <w:numId w:val="2"/>
        </w:numPr>
        <w:rPr>
          <w:rFonts w:ascii="Times New Roman" w:cs="Times New Roman" w:eastAsia="Times New Roman" w:hAnsi="Times New Roman"/>
          <w:sz w:val="20"/>
          <w:szCs w:val="20"/>
          <w:color w:val="auto"/>
        </w:rPr>
      </w:pPr>
      <w:r>
        <w:rPr>
          <w:rFonts w:ascii="Arial" w:cs="Arial" w:eastAsia="Arial" w:hAnsi="Arial"/>
          <w:sz w:val="20"/>
          <w:szCs w:val="20"/>
          <w:i w:val="1"/>
          <w:iCs w:val="1"/>
          <w:color w:val="auto"/>
        </w:rPr>
        <w:t>Planned update for development of firmonertinib in first-line NSCLC PACC mutations in Q2 2025</w:t>
      </w:r>
    </w:p>
    <w:p>
      <w:pPr>
        <w:spacing w:after="0" w:line="2" w:lineRule="exact"/>
        <w:rPr>
          <w:rFonts w:ascii="Times New Roman" w:cs="Times New Roman" w:eastAsia="Times New Roman" w:hAnsi="Times New Roman"/>
          <w:sz w:val="20"/>
          <w:szCs w:val="20"/>
          <w:color w:val="auto"/>
        </w:rPr>
      </w:pPr>
    </w:p>
    <w:p>
      <w:pPr>
        <w:ind w:left="540" w:right="879" w:hanging="331"/>
        <w:spacing w:after="0" w:line="280" w:lineRule="auto"/>
        <w:tabs>
          <w:tab w:leader="none" w:pos="540" w:val="left"/>
        </w:tabs>
        <w:numPr>
          <w:ilvl w:val="0"/>
          <w:numId w:val="2"/>
        </w:numPr>
        <w:rPr>
          <w:rFonts w:ascii="Times New Roman" w:cs="Times New Roman" w:eastAsia="Times New Roman" w:hAnsi="Times New Roman"/>
          <w:sz w:val="20"/>
          <w:szCs w:val="20"/>
          <w:color w:val="auto"/>
        </w:rPr>
      </w:pPr>
      <w:r>
        <w:rPr>
          <w:rFonts w:ascii="Arial" w:cs="Arial" w:eastAsia="Arial" w:hAnsi="Arial"/>
          <w:sz w:val="20"/>
          <w:szCs w:val="20"/>
          <w:i w:val="1"/>
          <w:iCs w:val="1"/>
          <w:color w:val="auto"/>
        </w:rPr>
        <w:t>First IND for ARR-217 (MRG007), an antibody drug conjugate (ADC) targeting CDH17, submitted in China</w:t>
      </w:r>
    </w:p>
    <w:p>
      <w:pPr>
        <w:spacing w:after="0" w:line="2" w:lineRule="exact"/>
        <w:rPr>
          <w:rFonts w:ascii="Times New Roman" w:cs="Times New Roman" w:eastAsia="Times New Roman" w:hAnsi="Times New Roman"/>
          <w:sz w:val="20"/>
          <w:szCs w:val="20"/>
          <w:color w:val="auto"/>
        </w:rPr>
      </w:pPr>
    </w:p>
    <w:p>
      <w:pPr>
        <w:ind w:left="540" w:hanging="331"/>
        <w:spacing w:after="0"/>
        <w:tabs>
          <w:tab w:leader="none" w:pos="540" w:val="left"/>
        </w:tabs>
        <w:numPr>
          <w:ilvl w:val="0"/>
          <w:numId w:val="2"/>
        </w:numPr>
        <w:rPr>
          <w:rFonts w:ascii="Times New Roman" w:cs="Times New Roman" w:eastAsia="Times New Roman" w:hAnsi="Times New Roman"/>
          <w:sz w:val="20"/>
          <w:szCs w:val="20"/>
          <w:color w:val="auto"/>
        </w:rPr>
      </w:pPr>
      <w:r>
        <w:rPr>
          <w:rFonts w:ascii="Arial" w:cs="Arial" w:eastAsia="Arial" w:hAnsi="Arial"/>
          <w:sz w:val="20"/>
          <w:szCs w:val="20"/>
          <w:i w:val="1"/>
          <w:iCs w:val="1"/>
          <w:color w:val="auto"/>
        </w:rPr>
        <w:t>Cash, cash equivalents and marketable securities of $205.5 million as of March 31, 2025</w:t>
      </w:r>
    </w:p>
    <w:p>
      <w:pPr>
        <w:spacing w:after="0" w:line="188" w:lineRule="exact"/>
        <w:rPr>
          <w:sz w:val="20"/>
          <w:szCs w:val="20"/>
          <w:color w:val="auto"/>
        </w:rPr>
      </w:pPr>
    </w:p>
    <w:p>
      <w:pPr>
        <w:jc w:val="both"/>
        <w:ind w:left="200" w:right="219"/>
        <w:spacing w:after="0" w:line="292" w:lineRule="auto"/>
        <w:rPr>
          <w:sz w:val="20"/>
          <w:szCs w:val="20"/>
          <w:color w:val="auto"/>
        </w:rPr>
      </w:pPr>
      <w:r>
        <w:rPr>
          <w:rFonts w:ascii="Arial" w:cs="Arial" w:eastAsia="Arial" w:hAnsi="Arial"/>
          <w:sz w:val="20"/>
          <w:szCs w:val="20"/>
          <w:color w:val="auto"/>
        </w:rPr>
        <w:t>NEWTOWN SQUARE, PA, May 12, 2025 (GLOBE NEWSWIRE) -- ArriVent BioPharma, Inc. (Company or ArriVent) (Nasdaq: AVBP), a clinical-stage company dedicated to accelerating the global development of innovative biopharmaceutical therapeutics, today reported financial results for the first quarter ended March 31, 2025, and highlighted recent Company progress.</w:t>
      </w:r>
    </w:p>
    <w:p>
      <w:pPr>
        <w:spacing w:after="0" w:line="109" w:lineRule="exact"/>
        <w:rPr>
          <w:sz w:val="20"/>
          <w:szCs w:val="20"/>
          <w:color w:val="auto"/>
        </w:rPr>
      </w:pPr>
    </w:p>
    <w:p>
      <w:pPr>
        <w:jc w:val="both"/>
        <w:ind w:left="200" w:right="219"/>
        <w:spacing w:after="0" w:line="289" w:lineRule="auto"/>
        <w:rPr>
          <w:sz w:val="20"/>
          <w:szCs w:val="20"/>
          <w:color w:val="auto"/>
        </w:rPr>
      </w:pPr>
      <w:r>
        <w:rPr>
          <w:rFonts w:ascii="Arial" w:cs="Arial" w:eastAsia="Arial" w:hAnsi="Arial"/>
          <w:sz w:val="20"/>
          <w:szCs w:val="20"/>
          <w:color w:val="auto"/>
        </w:rPr>
        <w:t>“We continued our strong execution across our oncology-focused pipeline and are preparing for several near-term milestones. Importantly, our late-stage firmonertinib program continues to show differentiated potential to address unmet needs across EGFR-mutant non-small cell lung cancer (NSCLC),” said Bing Yao, Chairman and Chief Executive Officer of ArriVent. “ARR-217 (MRG007), our recently acquired antibody drug conjugate (ADC) targeting the gastrointestinal marker CDH17 with best-in-class potential, is expected to be the first ADC from our pipeline to enter the clinic.”</w:t>
      </w:r>
    </w:p>
    <w:p>
      <w:pPr>
        <w:spacing w:after="0" w:line="113" w:lineRule="exact"/>
        <w:rPr>
          <w:sz w:val="20"/>
          <w:szCs w:val="20"/>
          <w:color w:val="auto"/>
        </w:rPr>
      </w:pPr>
    </w:p>
    <w:p>
      <w:pPr>
        <w:jc w:val="both"/>
        <w:ind w:left="200" w:right="219"/>
        <w:spacing w:after="0" w:line="293" w:lineRule="auto"/>
        <w:rPr>
          <w:sz w:val="20"/>
          <w:szCs w:val="20"/>
          <w:color w:val="auto"/>
        </w:rPr>
      </w:pPr>
      <w:r>
        <w:rPr>
          <w:rFonts w:ascii="Arial" w:cs="Arial" w:eastAsia="Arial" w:hAnsi="Arial"/>
          <w:sz w:val="20"/>
          <w:szCs w:val="20"/>
          <w:color w:val="auto"/>
        </w:rPr>
        <w:t>Dr. Yao continued, “In the year ahead, we plan to present updated data for firmonertinib in first line EGFR PACC mutant NSCLC, including Progression Free Survival (PFS) and duration of response, and provide our clinical development plan on the PACC program in the second quarter of 2025. We expect topline data in 2025 in our event-driven global pivotal Phase 3 study for firmonertinib monotherapy in first-line NSCLC harboring EGFR exon 20 insertion mutations.”</w:t>
      </w:r>
    </w:p>
    <w:p>
      <w:pPr>
        <w:spacing w:after="0" w:line="106" w:lineRule="exact"/>
        <w:rPr>
          <w:sz w:val="20"/>
          <w:szCs w:val="20"/>
          <w:color w:val="auto"/>
        </w:rPr>
      </w:pPr>
    </w:p>
    <w:p>
      <w:pPr>
        <w:ind w:left="200"/>
        <w:spacing w:after="0"/>
        <w:rPr>
          <w:sz w:val="20"/>
          <w:szCs w:val="20"/>
          <w:color w:val="auto"/>
        </w:rPr>
      </w:pPr>
      <w:r>
        <w:rPr>
          <w:rFonts w:ascii="Arial" w:cs="Arial" w:eastAsia="Arial" w:hAnsi="Arial"/>
          <w:sz w:val="20"/>
          <w:szCs w:val="20"/>
          <w:b w:val="1"/>
          <w:bCs w:val="1"/>
          <w:color w:val="auto"/>
        </w:rPr>
        <w:t>First Quarter 2025 and Recent Highlights</w:t>
      </w:r>
    </w:p>
    <w:p>
      <w:pPr>
        <w:spacing w:after="0" w:line="189" w:lineRule="exact"/>
        <w:rPr>
          <w:sz w:val="20"/>
          <w:szCs w:val="20"/>
          <w:color w:val="auto"/>
        </w:rPr>
      </w:pPr>
    </w:p>
    <w:p>
      <w:pPr>
        <w:ind w:left="200"/>
        <w:spacing w:after="0"/>
        <w:rPr>
          <w:sz w:val="20"/>
          <w:szCs w:val="20"/>
          <w:color w:val="auto"/>
        </w:rPr>
      </w:pPr>
      <w:r>
        <w:rPr>
          <w:rFonts w:ascii="Arial" w:cs="Arial" w:eastAsia="Arial" w:hAnsi="Arial"/>
          <w:sz w:val="20"/>
          <w:szCs w:val="20"/>
          <w:b w:val="1"/>
          <w:bCs w:val="1"/>
          <w:color w:val="auto"/>
        </w:rPr>
        <w:t>Firmonertinib</w:t>
      </w:r>
    </w:p>
    <w:p>
      <w:pPr>
        <w:spacing w:after="0" w:line="189" w:lineRule="exact"/>
        <w:rPr>
          <w:sz w:val="20"/>
          <w:szCs w:val="20"/>
          <w:color w:val="auto"/>
        </w:rPr>
      </w:pPr>
    </w:p>
    <w:p>
      <w:pPr>
        <w:jc w:val="both"/>
        <w:ind w:left="860" w:right="219" w:hanging="327"/>
        <w:spacing w:after="0" w:line="306" w:lineRule="auto"/>
        <w:tabs>
          <w:tab w:leader="none" w:pos="860" w:val="left"/>
        </w:tabs>
        <w:numPr>
          <w:ilvl w:val="0"/>
          <w:numId w:val="3"/>
        </w:numPr>
        <w:rPr>
          <w:rFonts w:ascii="Times New Roman" w:cs="Times New Roman" w:eastAsia="Times New Roman" w:hAnsi="Times New Roman"/>
          <w:sz w:val="19"/>
          <w:szCs w:val="19"/>
          <w:color w:val="auto"/>
        </w:rPr>
      </w:pPr>
      <w:r>
        <w:rPr>
          <w:rFonts w:ascii="Arial" w:cs="Arial" w:eastAsia="Arial" w:hAnsi="Arial"/>
          <w:sz w:val="19"/>
          <w:szCs w:val="19"/>
          <w:b w:val="1"/>
          <w:bCs w:val="1"/>
          <w:color w:val="auto"/>
        </w:rPr>
        <w:t xml:space="preserve">Completed enrollment for pivotal trial. </w:t>
      </w:r>
      <w:r>
        <w:rPr>
          <w:rFonts w:ascii="Arial" w:cs="Arial" w:eastAsia="Arial" w:hAnsi="Arial"/>
          <w:sz w:val="19"/>
          <w:szCs w:val="19"/>
          <w:color w:val="auto"/>
        </w:rPr>
        <w:t>During the first quarter of 2025, we completed</w:t>
      </w:r>
      <w:r>
        <w:rPr>
          <w:rFonts w:ascii="Arial" w:cs="Arial" w:eastAsia="Arial" w:hAnsi="Arial"/>
          <w:sz w:val="19"/>
          <w:szCs w:val="19"/>
          <w:b w:val="1"/>
          <w:bCs w:val="1"/>
          <w:color w:val="auto"/>
        </w:rPr>
        <w:t xml:space="preserve"> </w:t>
      </w:r>
      <w:r>
        <w:rPr>
          <w:rFonts w:ascii="Arial" w:cs="Arial" w:eastAsia="Arial" w:hAnsi="Arial"/>
          <w:sz w:val="19"/>
          <w:szCs w:val="19"/>
          <w:color w:val="auto"/>
        </w:rPr>
        <w:t>enrollment in the the global pivotal Phase 3 FURVENT study of firmonertinib monotherapy in first-line NSCLC EGFR exon 20 insertion mutations (NCT05607550). Firmonertinib, an</w:t>
      </w:r>
    </w:p>
    <w:p>
      <w:pPr>
        <w:spacing w:after="0" w:line="2" w:lineRule="exact"/>
        <w:rPr>
          <w:rFonts w:ascii="Times New Roman" w:cs="Times New Roman" w:eastAsia="Times New Roman" w:hAnsi="Times New Roman"/>
          <w:sz w:val="19"/>
          <w:szCs w:val="19"/>
          <w:color w:val="auto"/>
        </w:rPr>
      </w:pPr>
    </w:p>
    <w:p>
      <w:pPr>
        <w:jc w:val="both"/>
        <w:ind w:left="860" w:right="219"/>
        <w:spacing w:after="0" w:line="298" w:lineRule="auto"/>
        <w:rPr>
          <w:rFonts w:ascii="Times New Roman" w:cs="Times New Roman" w:eastAsia="Times New Roman" w:hAnsi="Times New Roman"/>
          <w:sz w:val="19"/>
          <w:szCs w:val="19"/>
          <w:color w:val="auto"/>
        </w:rPr>
      </w:pPr>
      <w:r>
        <w:rPr>
          <w:rFonts w:ascii="Arial" w:cs="Arial" w:eastAsia="Arial" w:hAnsi="Arial"/>
          <w:sz w:val="20"/>
          <w:szCs w:val="20"/>
          <w:color w:val="auto"/>
        </w:rPr>
        <w:t>oral, highly brain-penetrant, and broadly active mutation-selective epidermal growth factor receptor (EGFR) inhibitor, received FDA Breakthrough Therapy Designation in this patient population.</w:t>
      </w:r>
    </w:p>
    <w:p>
      <w:pPr>
        <w:spacing w:after="0" w:line="86" w:lineRule="exact"/>
        <w:rPr>
          <w:sz w:val="20"/>
          <w:szCs w:val="20"/>
          <w:color w:val="auto"/>
        </w:rPr>
      </w:pPr>
    </w:p>
    <w:p>
      <w:pPr>
        <w:ind w:left="200"/>
        <w:spacing w:after="0"/>
        <w:rPr>
          <w:sz w:val="20"/>
          <w:szCs w:val="20"/>
          <w:color w:val="auto"/>
        </w:rPr>
      </w:pPr>
      <w:r>
        <w:rPr>
          <w:rFonts w:ascii="Arial" w:cs="Arial" w:eastAsia="Arial" w:hAnsi="Arial"/>
          <w:sz w:val="20"/>
          <w:szCs w:val="20"/>
          <w:b w:val="1"/>
          <w:bCs w:val="1"/>
          <w:color w:val="auto"/>
        </w:rPr>
        <w:t>Pipeline</w:t>
      </w:r>
    </w:p>
    <w:p>
      <w:pPr>
        <w:spacing w:after="0" w:line="189" w:lineRule="exact"/>
        <w:rPr>
          <w:sz w:val="20"/>
          <w:szCs w:val="20"/>
          <w:color w:val="auto"/>
        </w:rPr>
      </w:pPr>
    </w:p>
    <w:p>
      <w:pPr>
        <w:jc w:val="both"/>
        <w:ind w:left="860" w:right="239" w:hanging="327"/>
        <w:spacing w:after="0" w:line="287" w:lineRule="auto"/>
        <w:tabs>
          <w:tab w:leader="none" w:pos="860" w:val="left"/>
        </w:tabs>
        <w:numPr>
          <w:ilvl w:val="0"/>
          <w:numId w:val="4"/>
        </w:numPr>
        <w:rPr>
          <w:rFonts w:ascii="Times New Roman" w:cs="Times New Roman" w:eastAsia="Times New Roman" w:hAnsi="Times New Roman"/>
          <w:sz w:val="18"/>
          <w:szCs w:val="18"/>
          <w:color w:val="auto"/>
        </w:rPr>
      </w:pPr>
      <w:r>
        <w:rPr>
          <w:rFonts w:ascii="Arial" w:cs="Arial" w:eastAsia="Arial" w:hAnsi="Arial"/>
          <w:sz w:val="20"/>
          <w:szCs w:val="20"/>
          <w:b w:val="1"/>
          <w:bCs w:val="1"/>
          <w:color w:val="auto"/>
        </w:rPr>
        <w:t xml:space="preserve">Expanded our pipeline to include ARR-217 (MRG007). </w:t>
      </w:r>
      <w:r>
        <w:rPr>
          <w:rFonts w:ascii="Arial" w:cs="Arial" w:eastAsia="Arial" w:hAnsi="Arial"/>
          <w:sz w:val="20"/>
          <w:szCs w:val="20"/>
          <w:color w:val="auto"/>
        </w:rPr>
        <w:t>In January 2025, ArriVent</w:t>
      </w:r>
      <w:r>
        <w:rPr>
          <w:rFonts w:ascii="Arial" w:cs="Arial" w:eastAsia="Arial" w:hAnsi="Arial"/>
          <w:sz w:val="20"/>
          <w:szCs w:val="20"/>
          <w:b w:val="1"/>
          <w:bCs w:val="1"/>
          <w:color w:val="auto"/>
        </w:rPr>
        <w:t xml:space="preserve"> </w:t>
      </w:r>
      <w:r>
        <w:rPr>
          <w:rFonts w:ascii="Arial" w:cs="Arial" w:eastAsia="Arial" w:hAnsi="Arial"/>
          <w:sz w:val="20"/>
          <w:szCs w:val="20"/>
          <w:color w:val="auto"/>
        </w:rPr>
        <w:t>entered into a collaboration agreement with Lepu Biopharma for ARR-217, a CDH17-targeted ADC with the potential to treat gastrointestinal cancers. Under the agreement,</w:t>
      </w:r>
    </w:p>
    <w:p>
      <w:pPr>
        <w:jc w:val="both"/>
        <w:ind w:left="860" w:right="219"/>
        <w:spacing w:after="0" w:line="292" w:lineRule="auto"/>
        <w:rPr>
          <w:rFonts w:ascii="Times New Roman" w:cs="Times New Roman" w:eastAsia="Times New Roman" w:hAnsi="Times New Roman"/>
          <w:sz w:val="18"/>
          <w:szCs w:val="18"/>
          <w:color w:val="auto"/>
        </w:rPr>
      </w:pPr>
      <w:r>
        <w:rPr>
          <w:rFonts w:ascii="Arial" w:cs="Arial" w:eastAsia="Arial" w:hAnsi="Arial"/>
          <w:sz w:val="20"/>
          <w:szCs w:val="20"/>
          <w:color w:val="auto"/>
        </w:rPr>
        <w:t>ArriVent obtained the exclusive rights to develop and commercialize ARR-217 worldwide outside of greater China. In March 2025, our first IND was submitted in China with an initial clinical development focus in colorectal, pancreatic and other GI cancers. Pre-clinical data presented recently at the American Association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133985</wp:posOffset>
            </wp:positionH>
            <wp:positionV relativeFrom="paragraph">
              <wp:posOffset>314325</wp:posOffset>
            </wp:positionV>
            <wp:extent cx="5452110" cy="2603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5452110" cy="26035"/>
                    </a:xfrm>
                    <a:prstGeom prst="rect">
                      <a:avLst/>
                    </a:prstGeom>
                    <a:noFill/>
                  </pic:spPr>
                </pic:pic>
              </a:graphicData>
            </a:graphic>
          </wp:anchor>
        </w:drawing>
      </w:r>
    </w:p>
    <w:p>
      <w:pPr>
        <w:sectPr>
          <w:pgSz w:w="11900" w:h="16838" w:orient="portrait"/>
          <w:cols w:equalWidth="0" w:num="1">
            <w:col w:w="9019"/>
          </w:cols>
          <w:pgMar w:left="1440" w:top="585" w:right="1440" w:bottom="1440" w:gutter="0" w:footer="0" w:header="0"/>
        </w:sectPr>
      </w:pPr>
    </w:p>
    <w:bookmarkStart w:id="4" w:name="page5"/>
    <w:bookmarkEnd w:id="4"/>
    <w:p>
      <w:pPr>
        <w:ind w:left="860" w:right="239"/>
        <w:spacing w:after="0" w:line="314" w:lineRule="auto"/>
        <w:rPr>
          <w:sz w:val="20"/>
          <w:szCs w:val="20"/>
          <w:color w:val="auto"/>
        </w:rPr>
      </w:pPr>
      <w:r>
        <w:rPr>
          <w:rFonts w:ascii="Arial" w:cs="Arial" w:eastAsia="Arial" w:hAnsi="Arial"/>
          <w:sz w:val="20"/>
          <w:szCs w:val="20"/>
          <w:color w:val="auto"/>
        </w:rPr>
        <w:t>of Cancer Research (AACR) annual meeting in April 2025 demonstrated compelling antitumor activity in multiple GI cancer models and a favorable safety profile.</w:t>
      </w:r>
    </w:p>
    <w:p>
      <w:pPr>
        <w:spacing w:after="0" w:line="85" w:lineRule="exact"/>
        <w:rPr>
          <w:sz w:val="20"/>
          <w:szCs w:val="20"/>
          <w:color w:val="auto"/>
        </w:rPr>
      </w:pPr>
    </w:p>
    <w:p>
      <w:pPr>
        <w:ind w:left="200"/>
        <w:spacing w:after="0"/>
        <w:rPr>
          <w:sz w:val="20"/>
          <w:szCs w:val="20"/>
          <w:color w:val="auto"/>
        </w:rPr>
      </w:pPr>
      <w:r>
        <w:rPr>
          <w:rFonts w:ascii="Arial" w:cs="Arial" w:eastAsia="Arial" w:hAnsi="Arial"/>
          <w:sz w:val="20"/>
          <w:szCs w:val="20"/>
          <w:b w:val="1"/>
          <w:bCs w:val="1"/>
          <w:color w:val="auto"/>
        </w:rPr>
        <w:t>Upcoming Milestones</w:t>
      </w:r>
    </w:p>
    <w:p>
      <w:pPr>
        <w:spacing w:after="0" w:line="256" w:lineRule="exact"/>
        <w:rPr>
          <w:sz w:val="20"/>
          <w:szCs w:val="20"/>
          <w:color w:val="auto"/>
        </w:rPr>
      </w:pPr>
    </w:p>
    <w:p>
      <w:pPr>
        <w:jc w:val="both"/>
        <w:ind w:left="860" w:right="219" w:hanging="327"/>
        <w:spacing w:after="0" w:line="281" w:lineRule="auto"/>
        <w:tabs>
          <w:tab w:leader="none" w:pos="860" w:val="left"/>
        </w:tabs>
        <w:numPr>
          <w:ilvl w:val="0"/>
          <w:numId w:val="5"/>
        </w:numPr>
        <w:rPr>
          <w:rFonts w:ascii="Times New Roman" w:cs="Times New Roman" w:eastAsia="Times New Roman" w:hAnsi="Times New Roman"/>
          <w:sz w:val="20"/>
          <w:szCs w:val="20"/>
          <w:color w:val="auto"/>
        </w:rPr>
      </w:pPr>
      <w:r>
        <w:rPr>
          <w:rFonts w:ascii="Arial" w:cs="Arial" w:eastAsia="Arial" w:hAnsi="Arial"/>
          <w:sz w:val="20"/>
          <w:szCs w:val="20"/>
          <w:b w:val="1"/>
          <w:bCs w:val="1"/>
          <w:color w:val="auto"/>
        </w:rPr>
        <w:t xml:space="preserve">EGFR PACC plans. </w:t>
      </w:r>
      <w:r>
        <w:rPr>
          <w:rFonts w:ascii="Arial" w:cs="Arial" w:eastAsia="Arial" w:hAnsi="Arial"/>
          <w:sz w:val="20"/>
          <w:szCs w:val="20"/>
          <w:color w:val="auto"/>
        </w:rPr>
        <w:t>Data from the FURTHER Phase 1b (NCT05364043) trial continues to</w:t>
      </w:r>
      <w:r>
        <w:rPr>
          <w:rFonts w:ascii="Arial" w:cs="Arial" w:eastAsia="Arial" w:hAnsi="Arial"/>
          <w:sz w:val="20"/>
          <w:szCs w:val="20"/>
          <w:b w:val="1"/>
          <w:bCs w:val="1"/>
          <w:color w:val="auto"/>
        </w:rPr>
        <w:t xml:space="preserve"> </w:t>
      </w:r>
      <w:r>
        <w:rPr>
          <w:rFonts w:ascii="Arial" w:cs="Arial" w:eastAsia="Arial" w:hAnsi="Arial"/>
          <w:sz w:val="20"/>
          <w:szCs w:val="20"/>
          <w:color w:val="auto"/>
        </w:rPr>
        <w:t>mature for first-line firmonertinib monotherapy in NSCLC patients with EGFR PACC mutations. ArriVent expects to provide an update on our plans to develop firmonertinib in EGFR PACC mutant NSCLC in Q2 2025.</w:t>
      </w:r>
    </w:p>
    <w:p>
      <w:pPr>
        <w:spacing w:after="0" w:line="1" w:lineRule="exact"/>
        <w:rPr>
          <w:rFonts w:ascii="Times New Roman" w:cs="Times New Roman" w:eastAsia="Times New Roman" w:hAnsi="Times New Roman"/>
          <w:sz w:val="20"/>
          <w:szCs w:val="20"/>
          <w:color w:val="auto"/>
        </w:rPr>
      </w:pPr>
    </w:p>
    <w:p>
      <w:pPr>
        <w:jc w:val="both"/>
        <w:ind w:left="860" w:right="219" w:hanging="327"/>
        <w:spacing w:after="0" w:line="292" w:lineRule="auto"/>
        <w:tabs>
          <w:tab w:leader="none" w:pos="860" w:val="left"/>
        </w:tabs>
        <w:numPr>
          <w:ilvl w:val="0"/>
          <w:numId w:val="5"/>
        </w:numPr>
        <w:rPr>
          <w:rFonts w:ascii="Times New Roman" w:cs="Times New Roman" w:eastAsia="Times New Roman" w:hAnsi="Times New Roman"/>
          <w:sz w:val="20"/>
          <w:szCs w:val="20"/>
          <w:color w:val="auto"/>
        </w:rPr>
      </w:pPr>
      <w:r>
        <w:rPr>
          <w:rFonts w:ascii="Arial" w:cs="Arial" w:eastAsia="Arial" w:hAnsi="Arial"/>
          <w:sz w:val="20"/>
          <w:szCs w:val="20"/>
          <w:b w:val="1"/>
          <w:bCs w:val="1"/>
          <w:color w:val="auto"/>
        </w:rPr>
        <w:t xml:space="preserve">Topline pivotal Phase 3 firmonertinib data. </w:t>
      </w:r>
      <w:r>
        <w:rPr>
          <w:rFonts w:ascii="Arial" w:cs="Arial" w:eastAsia="Arial" w:hAnsi="Arial"/>
          <w:sz w:val="20"/>
          <w:szCs w:val="20"/>
          <w:color w:val="auto"/>
        </w:rPr>
        <w:t>ArriVent anticipates having topline</w:t>
      </w:r>
      <w:r>
        <w:rPr>
          <w:rFonts w:ascii="Arial" w:cs="Arial" w:eastAsia="Arial" w:hAnsi="Arial"/>
          <w:sz w:val="20"/>
          <w:szCs w:val="20"/>
          <w:b w:val="1"/>
          <w:bCs w:val="1"/>
          <w:color w:val="auto"/>
        </w:rPr>
        <w:t xml:space="preserve"> </w:t>
      </w:r>
      <w:r>
        <w:rPr>
          <w:rFonts w:ascii="Arial" w:cs="Arial" w:eastAsia="Arial" w:hAnsi="Arial"/>
          <w:sz w:val="20"/>
          <w:szCs w:val="20"/>
          <w:color w:val="auto"/>
        </w:rPr>
        <w:t>firmonertinib monotherapy data from the event-driven global pivotal FURVENT Phase 3 (NCT05607550) study in 2025 and expects to provide an update on timing of the topline Phase 3 data release in Q2 2025.</w:t>
      </w:r>
    </w:p>
    <w:p>
      <w:pPr>
        <w:spacing w:after="0" w:line="108" w:lineRule="exact"/>
        <w:rPr>
          <w:sz w:val="20"/>
          <w:szCs w:val="20"/>
          <w:color w:val="auto"/>
        </w:rPr>
      </w:pPr>
    </w:p>
    <w:p>
      <w:pPr>
        <w:ind w:left="200"/>
        <w:spacing w:after="0"/>
        <w:rPr>
          <w:sz w:val="20"/>
          <w:szCs w:val="20"/>
          <w:color w:val="auto"/>
        </w:rPr>
      </w:pPr>
      <w:r>
        <w:rPr>
          <w:rFonts w:ascii="Arial" w:cs="Arial" w:eastAsia="Arial" w:hAnsi="Arial"/>
          <w:sz w:val="20"/>
          <w:szCs w:val="20"/>
          <w:b w:val="1"/>
          <w:bCs w:val="1"/>
          <w:color w:val="auto"/>
        </w:rPr>
        <w:t>Corporate Updates</w:t>
      </w:r>
    </w:p>
    <w:p>
      <w:pPr>
        <w:spacing w:after="0" w:line="175" w:lineRule="exact"/>
        <w:rPr>
          <w:sz w:val="20"/>
          <w:szCs w:val="20"/>
          <w:color w:val="auto"/>
        </w:rPr>
      </w:pPr>
    </w:p>
    <w:p>
      <w:pPr>
        <w:jc w:val="both"/>
        <w:ind w:left="860" w:right="219" w:hanging="327"/>
        <w:spacing w:after="0" w:line="289" w:lineRule="auto"/>
        <w:tabs>
          <w:tab w:leader="none" w:pos="860" w:val="left"/>
        </w:tabs>
        <w:numPr>
          <w:ilvl w:val="0"/>
          <w:numId w:val="6"/>
        </w:numPr>
        <w:rPr>
          <w:rFonts w:ascii="Times New Roman" w:cs="Times New Roman" w:eastAsia="Times New Roman" w:hAnsi="Times New Roman"/>
          <w:sz w:val="18"/>
          <w:szCs w:val="18"/>
          <w:color w:val="auto"/>
        </w:rPr>
      </w:pPr>
      <w:r>
        <w:rPr>
          <w:rFonts w:ascii="Arial" w:cs="Arial" w:eastAsia="Arial" w:hAnsi="Arial"/>
          <w:sz w:val="20"/>
          <w:szCs w:val="20"/>
          <w:b w:val="1"/>
          <w:bCs w:val="1"/>
          <w:color w:val="auto"/>
        </w:rPr>
        <w:t xml:space="preserve">Appointed Merdad Parsey, M.D., Ph.D., to the Board of Directors. </w:t>
      </w:r>
      <w:r>
        <w:rPr>
          <w:rFonts w:ascii="Arial" w:cs="Arial" w:eastAsia="Arial" w:hAnsi="Arial"/>
          <w:sz w:val="20"/>
          <w:szCs w:val="20"/>
          <w:color w:val="auto"/>
        </w:rPr>
        <w:t>In April 2025,</w:t>
      </w:r>
      <w:r>
        <w:rPr>
          <w:rFonts w:ascii="Arial" w:cs="Arial" w:eastAsia="Arial" w:hAnsi="Arial"/>
          <w:sz w:val="20"/>
          <w:szCs w:val="20"/>
          <w:b w:val="1"/>
          <w:bCs w:val="1"/>
          <w:color w:val="auto"/>
        </w:rPr>
        <w:t xml:space="preserve"> </w:t>
      </w:r>
      <w:r>
        <w:rPr>
          <w:rFonts w:ascii="Arial" w:cs="Arial" w:eastAsia="Arial" w:hAnsi="Arial"/>
          <w:sz w:val="20"/>
          <w:szCs w:val="20"/>
          <w:color w:val="auto"/>
        </w:rPr>
        <w:t>ArriVent announced the appointment of Merdad Parsey to the ArriVent Board of Directors. Dr. Parsey brings decades of executive experience leading global clinical development in the biopharmaceutical industry, most recently serving as Chief Medical Officer and Executive Vice President of Gilead Sciences, Inc. He currently serves on the Board of Directors of Sagimet Biosciences, Inc., formerly 3-V Biosciences, Inc. following his tenure as President and Chief Executive Officer.</w:t>
      </w:r>
    </w:p>
    <w:p>
      <w:pPr>
        <w:spacing w:after="0" w:line="113" w:lineRule="exact"/>
        <w:rPr>
          <w:sz w:val="20"/>
          <w:szCs w:val="20"/>
          <w:color w:val="auto"/>
        </w:rPr>
      </w:pPr>
    </w:p>
    <w:p>
      <w:pPr>
        <w:ind w:left="200"/>
        <w:spacing w:after="0"/>
        <w:rPr>
          <w:sz w:val="20"/>
          <w:szCs w:val="20"/>
          <w:color w:val="auto"/>
        </w:rPr>
      </w:pPr>
      <w:r>
        <w:rPr>
          <w:rFonts w:ascii="Arial" w:cs="Arial" w:eastAsia="Arial" w:hAnsi="Arial"/>
          <w:sz w:val="20"/>
          <w:szCs w:val="20"/>
          <w:b w:val="1"/>
          <w:bCs w:val="1"/>
          <w:color w:val="auto"/>
        </w:rPr>
        <w:t>2025 Financial Results</w:t>
      </w:r>
    </w:p>
    <w:p>
      <w:pPr>
        <w:spacing w:after="0" w:line="191" w:lineRule="exact"/>
        <w:rPr>
          <w:sz w:val="20"/>
          <w:szCs w:val="20"/>
          <w:color w:val="auto"/>
        </w:rPr>
      </w:pPr>
    </w:p>
    <w:p>
      <w:pPr>
        <w:jc w:val="both"/>
        <w:ind w:left="860" w:right="219" w:hanging="327"/>
        <w:spacing w:after="0" w:line="281" w:lineRule="auto"/>
        <w:tabs>
          <w:tab w:leader="none" w:pos="860" w:val="left"/>
        </w:tabs>
        <w:numPr>
          <w:ilvl w:val="0"/>
          <w:numId w:val="7"/>
        </w:numPr>
        <w:rPr>
          <w:rFonts w:ascii="Times New Roman" w:cs="Times New Roman" w:eastAsia="Times New Roman" w:hAnsi="Times New Roman"/>
          <w:sz w:val="20"/>
          <w:szCs w:val="20"/>
          <w:color w:val="auto"/>
        </w:rPr>
      </w:pPr>
      <w:r>
        <w:rPr>
          <w:rFonts w:ascii="Arial" w:cs="Arial" w:eastAsia="Arial" w:hAnsi="Arial"/>
          <w:sz w:val="20"/>
          <w:szCs w:val="20"/>
          <w:color w:val="auto"/>
        </w:rPr>
        <w:t>As of March 31, 2025, the Company had cash, cash equivalents and marketable securities of $205.5 million, which is expected to fund operations into the second half of 2026. Net cash used in operations was $68.0 million and $18.6 million for the quarters ended March 31, 2025 and 2024, respectively. The increase in net cash used in operations in the first quarter of 2025 was primarily driven by the one-time upfront payment of $40 million made to Lepu Biopharma.</w:t>
      </w:r>
    </w:p>
    <w:p>
      <w:pPr>
        <w:spacing w:after="0" w:line="3" w:lineRule="exact"/>
        <w:rPr>
          <w:rFonts w:ascii="Times New Roman" w:cs="Times New Roman" w:eastAsia="Times New Roman" w:hAnsi="Times New Roman"/>
          <w:sz w:val="20"/>
          <w:szCs w:val="20"/>
          <w:color w:val="auto"/>
        </w:rPr>
      </w:pPr>
    </w:p>
    <w:p>
      <w:pPr>
        <w:jc w:val="both"/>
        <w:ind w:left="860" w:right="219" w:hanging="327"/>
        <w:spacing w:after="0" w:line="281" w:lineRule="auto"/>
        <w:tabs>
          <w:tab w:leader="none" w:pos="860" w:val="left"/>
        </w:tabs>
        <w:numPr>
          <w:ilvl w:val="0"/>
          <w:numId w:val="7"/>
        </w:numPr>
        <w:rPr>
          <w:rFonts w:ascii="Times New Roman" w:cs="Times New Roman" w:eastAsia="Times New Roman" w:hAnsi="Times New Roman"/>
          <w:sz w:val="20"/>
          <w:szCs w:val="20"/>
          <w:color w:val="auto"/>
        </w:rPr>
      </w:pPr>
      <w:r>
        <w:rPr>
          <w:rFonts w:ascii="Arial" w:cs="Arial" w:eastAsia="Arial" w:hAnsi="Arial"/>
          <w:sz w:val="20"/>
          <w:szCs w:val="20"/>
          <w:color w:val="auto"/>
        </w:rPr>
        <w:t>Research and development expenses were $61.3 million and $17.0 million for the quarters ended March 31, 2025 and 2024, respectively. The increase in expense was primarily due to an one-time upfront payment made to Lepu Biopharma for our collaboration that began in January 2025, along with increased headcount and clinical expense related to firmonertinib.</w:t>
      </w:r>
    </w:p>
    <w:p>
      <w:pPr>
        <w:spacing w:after="0" w:line="2" w:lineRule="exact"/>
        <w:rPr>
          <w:rFonts w:ascii="Times New Roman" w:cs="Times New Roman" w:eastAsia="Times New Roman" w:hAnsi="Times New Roman"/>
          <w:sz w:val="20"/>
          <w:szCs w:val="20"/>
          <w:color w:val="auto"/>
        </w:rPr>
      </w:pPr>
    </w:p>
    <w:p>
      <w:pPr>
        <w:jc w:val="both"/>
        <w:ind w:left="860" w:right="239" w:hanging="327"/>
        <w:spacing w:after="0" w:line="281" w:lineRule="auto"/>
        <w:tabs>
          <w:tab w:leader="none" w:pos="860" w:val="left"/>
        </w:tabs>
        <w:numPr>
          <w:ilvl w:val="0"/>
          <w:numId w:val="7"/>
        </w:numPr>
        <w:rPr>
          <w:rFonts w:ascii="Times New Roman" w:cs="Times New Roman" w:eastAsia="Times New Roman" w:hAnsi="Times New Roman"/>
          <w:sz w:val="20"/>
          <w:szCs w:val="20"/>
          <w:color w:val="auto"/>
        </w:rPr>
      </w:pPr>
      <w:r>
        <w:rPr>
          <w:rFonts w:ascii="Arial" w:cs="Arial" w:eastAsia="Arial" w:hAnsi="Arial"/>
          <w:sz w:val="20"/>
          <w:szCs w:val="20"/>
          <w:color w:val="auto"/>
        </w:rPr>
        <w:t>General and administrative expenses were $5.5 million and $3.7 million for the quarters ended March 31, 2025 and 2024, respectively. The increase in expense was primarily due to expenses related to expanding the infrastructure necessary for operating as a public company.</w:t>
      </w:r>
    </w:p>
    <w:p>
      <w:pPr>
        <w:spacing w:after="0" w:line="1" w:lineRule="exact"/>
        <w:rPr>
          <w:rFonts w:ascii="Times New Roman" w:cs="Times New Roman" w:eastAsia="Times New Roman" w:hAnsi="Times New Roman"/>
          <w:sz w:val="20"/>
          <w:szCs w:val="20"/>
          <w:color w:val="auto"/>
        </w:rPr>
      </w:pPr>
    </w:p>
    <w:p>
      <w:pPr>
        <w:ind w:left="860" w:right="239" w:hanging="327"/>
        <w:spacing w:after="0" w:line="313" w:lineRule="auto"/>
        <w:tabs>
          <w:tab w:leader="none" w:pos="860" w:val="left"/>
        </w:tabs>
        <w:numPr>
          <w:ilvl w:val="0"/>
          <w:numId w:val="7"/>
        </w:numPr>
        <w:rPr>
          <w:rFonts w:ascii="Times New Roman" w:cs="Times New Roman" w:eastAsia="Times New Roman" w:hAnsi="Times New Roman"/>
          <w:sz w:val="20"/>
          <w:szCs w:val="20"/>
          <w:color w:val="auto"/>
        </w:rPr>
      </w:pPr>
      <w:r>
        <w:rPr>
          <w:rFonts w:ascii="Arial" w:cs="Arial" w:eastAsia="Arial" w:hAnsi="Arial"/>
          <w:sz w:val="20"/>
          <w:szCs w:val="20"/>
          <w:color w:val="auto"/>
        </w:rPr>
        <w:t>Net loss was $64.4 million and $17.4 million for the quarters ended March 31, 2025 and 2024, respectively.</w:t>
      </w:r>
    </w:p>
    <w:p>
      <w:pPr>
        <w:spacing w:after="0" w:line="355" w:lineRule="exact"/>
        <w:rPr>
          <w:sz w:val="20"/>
          <w:szCs w:val="20"/>
          <w:color w:val="auto"/>
        </w:rPr>
      </w:pPr>
    </w:p>
    <w:p>
      <w:pPr>
        <w:ind w:left="200"/>
        <w:spacing w:after="0"/>
        <w:rPr>
          <w:sz w:val="20"/>
          <w:szCs w:val="20"/>
          <w:color w:val="auto"/>
        </w:rPr>
      </w:pPr>
      <w:r>
        <w:rPr>
          <w:rFonts w:ascii="Arial" w:cs="Arial" w:eastAsia="Arial" w:hAnsi="Arial"/>
          <w:sz w:val="20"/>
          <w:szCs w:val="20"/>
          <w:b w:val="1"/>
          <w:bCs w:val="1"/>
          <w:color w:val="auto"/>
        </w:rPr>
        <w:t>About ArriVent</w:t>
      </w:r>
    </w:p>
    <w:p>
      <w:pPr>
        <w:spacing w:after="0" w:line="43" w:lineRule="exact"/>
        <w:rPr>
          <w:sz w:val="20"/>
          <w:szCs w:val="20"/>
          <w:color w:val="auto"/>
        </w:rPr>
      </w:pPr>
    </w:p>
    <w:p>
      <w:pPr>
        <w:jc w:val="both"/>
        <w:ind w:left="200" w:right="219"/>
        <w:spacing w:after="0" w:line="304" w:lineRule="auto"/>
        <w:rPr>
          <w:sz w:val="20"/>
          <w:szCs w:val="20"/>
          <w:color w:val="auto"/>
        </w:rPr>
      </w:pPr>
      <w:r>
        <w:rPr>
          <w:rFonts w:ascii="Arial" w:cs="Arial" w:eastAsia="Arial" w:hAnsi="Arial"/>
          <w:sz w:val="20"/>
          <w:szCs w:val="20"/>
          <w:color w:val="auto"/>
        </w:rPr>
        <w:t>ArriVent is a clinical-stage biopharmaceutical company dedicated to the identification, development, and commercialization of differentiated medicines to address the unmet medical needs of patients with</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133985</wp:posOffset>
            </wp:positionH>
            <wp:positionV relativeFrom="paragraph">
              <wp:posOffset>306705</wp:posOffset>
            </wp:positionV>
            <wp:extent cx="5452110" cy="1714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5452110" cy="17145"/>
                    </a:xfrm>
                    <a:prstGeom prst="rect">
                      <a:avLst/>
                    </a:prstGeom>
                    <a:noFill/>
                  </pic:spPr>
                </pic:pic>
              </a:graphicData>
            </a:graphic>
          </wp:anchor>
        </w:drawing>
      </w:r>
    </w:p>
    <w:p>
      <w:pPr>
        <w:sectPr>
          <w:pgSz w:w="11900" w:h="16838" w:orient="portrait"/>
          <w:cols w:equalWidth="0" w:num="1">
            <w:col w:w="9019"/>
          </w:cols>
          <w:pgMar w:left="1440" w:top="941" w:right="1440" w:bottom="1440" w:gutter="0" w:footer="0" w:header="0"/>
        </w:sectPr>
      </w:pPr>
    </w:p>
    <w:bookmarkStart w:id="5" w:name="page6"/>
    <w:bookmarkEnd w:id="5"/>
    <w:p>
      <w:pPr>
        <w:jc w:val="both"/>
        <w:ind w:left="200" w:right="219"/>
        <w:spacing w:after="0" w:line="297" w:lineRule="auto"/>
        <w:rPr>
          <w:sz w:val="20"/>
          <w:szCs w:val="20"/>
          <w:color w:val="auto"/>
        </w:rPr>
      </w:pPr>
      <w:r>
        <w:rPr>
          <w:rFonts w:ascii="Arial" w:cs="Arial" w:eastAsia="Arial" w:hAnsi="Arial"/>
          <w:sz w:val="20"/>
          <w:szCs w:val="20"/>
          <w:color w:val="auto"/>
        </w:rPr>
        <w:t>cancers. ArriVent seeks to utilize its team’s deep drug development experience to maximize the potential of its lead development candidate, firmonertinib, and advance a pipeline of novel therapeutics, such as next-generation antibody drug conjugates, through approval and commercialization.</w:t>
      </w:r>
    </w:p>
    <w:p>
      <w:pPr>
        <w:spacing w:after="0" w:line="102" w:lineRule="exact"/>
        <w:rPr>
          <w:sz w:val="20"/>
          <w:szCs w:val="20"/>
          <w:color w:val="auto"/>
        </w:rPr>
      </w:pPr>
    </w:p>
    <w:p>
      <w:pPr>
        <w:ind w:left="200"/>
        <w:spacing w:after="0"/>
        <w:rPr>
          <w:sz w:val="20"/>
          <w:szCs w:val="20"/>
          <w:color w:val="auto"/>
        </w:rPr>
      </w:pPr>
      <w:r>
        <w:rPr>
          <w:rFonts w:ascii="Arial" w:cs="Arial" w:eastAsia="Arial" w:hAnsi="Arial"/>
          <w:sz w:val="20"/>
          <w:szCs w:val="20"/>
          <w:b w:val="1"/>
          <w:bCs w:val="1"/>
          <w:color w:val="auto"/>
        </w:rPr>
        <w:t>About Firmonertinib</w:t>
      </w:r>
    </w:p>
    <w:p>
      <w:pPr>
        <w:spacing w:after="0" w:line="177" w:lineRule="exact"/>
        <w:rPr>
          <w:sz w:val="20"/>
          <w:szCs w:val="20"/>
          <w:color w:val="auto"/>
        </w:rPr>
      </w:pPr>
    </w:p>
    <w:p>
      <w:pPr>
        <w:jc w:val="both"/>
        <w:ind w:left="200" w:right="219"/>
        <w:spacing w:after="0" w:line="293" w:lineRule="auto"/>
        <w:rPr>
          <w:sz w:val="20"/>
          <w:szCs w:val="20"/>
          <w:color w:val="auto"/>
        </w:rPr>
      </w:pPr>
      <w:r>
        <w:rPr>
          <w:rFonts w:ascii="Arial" w:cs="Arial" w:eastAsia="Arial" w:hAnsi="Arial"/>
          <w:sz w:val="20"/>
          <w:szCs w:val="20"/>
          <w:color w:val="auto"/>
        </w:rPr>
        <w:t>Firmonertinib is an oral, highly brain-penetrant, and broadly active mutation-selective epidermal growth factor receptor (EGFR) inhibitor active against both classical and uncommon EGFR mutations, including PACC and exon 20 insertion mutations. In March 2021, firmonertinib was approved in China for first-line advanced non-small-cell lung cancer (NSCLC) with EGFR exon 19 deletion or L858R mutations and for patients with previously treated locally advanced or metastatic NSCLC with EGFR T790M mutation, otherwise known as EGFR classical mutations.</w:t>
      </w:r>
    </w:p>
    <w:p>
      <w:pPr>
        <w:spacing w:after="0" w:line="97" w:lineRule="exact"/>
        <w:rPr>
          <w:sz w:val="20"/>
          <w:szCs w:val="20"/>
          <w:color w:val="auto"/>
        </w:rPr>
      </w:pPr>
    </w:p>
    <w:p>
      <w:pPr>
        <w:jc w:val="both"/>
        <w:ind w:left="200" w:right="219"/>
        <w:spacing w:after="0" w:line="293" w:lineRule="auto"/>
        <w:rPr>
          <w:sz w:val="20"/>
          <w:szCs w:val="20"/>
          <w:color w:val="auto"/>
        </w:rPr>
      </w:pPr>
      <w:r>
        <w:rPr>
          <w:rFonts w:ascii="Arial" w:cs="Arial" w:eastAsia="Arial" w:hAnsi="Arial"/>
          <w:sz w:val="20"/>
          <w:szCs w:val="20"/>
          <w:color w:val="auto"/>
        </w:rPr>
        <w:t>Firmonertinib was granted U.S. Food and Drug Administration (FDA) Breakthrough Therapy Designation for the treatment of patients with previously untreated locally advanced or metastatic non-squamous NSCLC with EGFR exon 20 insertion mutations. Firmonertinib was also granted U.S. FDA Orphan Drug Designation for the treatment of NSCLC with EGFR mutations or human epidermal growth factor receptor 2 (HER2) mutations or HER4 mutations.</w:t>
      </w:r>
    </w:p>
    <w:p>
      <w:pPr>
        <w:spacing w:after="0" w:line="108" w:lineRule="exact"/>
        <w:rPr>
          <w:sz w:val="20"/>
          <w:szCs w:val="20"/>
          <w:color w:val="auto"/>
        </w:rPr>
      </w:pPr>
    </w:p>
    <w:p>
      <w:pPr>
        <w:jc w:val="both"/>
        <w:ind w:left="200" w:right="219"/>
        <w:spacing w:after="0" w:line="291" w:lineRule="auto"/>
        <w:rPr>
          <w:sz w:val="20"/>
          <w:szCs w:val="20"/>
          <w:color w:val="auto"/>
        </w:rPr>
      </w:pPr>
      <w:r>
        <w:rPr>
          <w:rFonts w:ascii="Arial" w:cs="Arial" w:eastAsia="Arial" w:hAnsi="Arial"/>
          <w:sz w:val="20"/>
          <w:szCs w:val="20"/>
          <w:color w:val="auto"/>
        </w:rPr>
        <w:t>Firmonertinib is currently being studied in a global Phase 3 trial for first-line NSCLC patients with EGFR exon 20 insertion mutations (FURVENT; NCT05607550) and in a global Phase 1b study, which includes a cohort evaluating firmonertinib in patients with EGFR PACC mutations (FURTHER; NCT05364043). In addition, firmonertinib is also being studied in a clinical combination study targeting advanced or metastatic NSCLC patients with EGFR classical mutations, in partnership with Beijing InnoCare Pharma Tech Co., Ltd.</w:t>
      </w:r>
    </w:p>
    <w:p>
      <w:pPr>
        <w:spacing w:after="0" w:line="107" w:lineRule="exact"/>
        <w:rPr>
          <w:sz w:val="20"/>
          <w:szCs w:val="20"/>
          <w:color w:val="auto"/>
        </w:rPr>
      </w:pPr>
    </w:p>
    <w:p>
      <w:pPr>
        <w:ind w:left="200"/>
        <w:spacing w:after="0"/>
        <w:rPr>
          <w:sz w:val="20"/>
          <w:szCs w:val="20"/>
          <w:color w:val="auto"/>
        </w:rPr>
      </w:pPr>
      <w:r>
        <w:rPr>
          <w:rFonts w:ascii="Arial" w:cs="Arial" w:eastAsia="Arial" w:hAnsi="Arial"/>
          <w:sz w:val="20"/>
          <w:szCs w:val="20"/>
          <w:b w:val="1"/>
          <w:bCs w:val="1"/>
          <w:color w:val="auto"/>
        </w:rPr>
        <w:t>About EGFR mutant NSCLC</w:t>
      </w:r>
    </w:p>
    <w:p>
      <w:pPr>
        <w:spacing w:after="0" w:line="191" w:lineRule="exact"/>
        <w:rPr>
          <w:sz w:val="20"/>
          <w:szCs w:val="20"/>
          <w:color w:val="auto"/>
        </w:rPr>
      </w:pPr>
    </w:p>
    <w:p>
      <w:pPr>
        <w:jc w:val="both"/>
        <w:ind w:left="200" w:right="219"/>
        <w:spacing w:after="0" w:line="289" w:lineRule="auto"/>
        <w:rPr>
          <w:sz w:val="20"/>
          <w:szCs w:val="20"/>
          <w:color w:val="auto"/>
        </w:rPr>
      </w:pPr>
      <w:r>
        <w:rPr>
          <w:rFonts w:ascii="Arial" w:cs="Arial" w:eastAsia="Arial" w:hAnsi="Arial"/>
          <w:sz w:val="20"/>
          <w:szCs w:val="20"/>
          <w:color w:val="auto"/>
        </w:rPr>
        <w:t>Globally, lung cancer is the leading cause of cancer-related deaths among men and women. NSCLC is the predominant subtype of lung cancer, accounting for approximately 85% of all cases. Mutational activation of the EGFR is a frequent and early event in the development of NSCLC. EGFR mutations are divided into classical and uncommon. EGFR exon 20 insertion mutations are a group of uncommon EGFR mutations and constitute approximately 9% of all EGFR mutations. PACC mutations are another group of uncommon EGFR mutations and represent approximately 12% of all EGFR mutations. Patients with NSCLC whose tumors harbor uncommon EGFR mutations have significantly lower life expectancy with available therapies and represent an area of unmet medical need.</w:t>
      </w:r>
    </w:p>
    <w:p>
      <w:pPr>
        <w:spacing w:after="0" w:line="111" w:lineRule="exact"/>
        <w:rPr>
          <w:sz w:val="20"/>
          <w:szCs w:val="20"/>
          <w:color w:val="auto"/>
        </w:rPr>
      </w:pPr>
    </w:p>
    <w:p>
      <w:pPr>
        <w:ind w:left="200"/>
        <w:spacing w:after="0"/>
        <w:rPr>
          <w:sz w:val="20"/>
          <w:szCs w:val="20"/>
          <w:color w:val="auto"/>
        </w:rPr>
      </w:pPr>
      <w:r>
        <w:rPr>
          <w:rFonts w:ascii="Arial" w:cs="Arial" w:eastAsia="Arial" w:hAnsi="Arial"/>
          <w:sz w:val="20"/>
          <w:szCs w:val="20"/>
          <w:b w:val="1"/>
          <w:bCs w:val="1"/>
          <w:color w:val="auto"/>
        </w:rPr>
        <w:t>About EGFR PACC mutations</w:t>
      </w:r>
    </w:p>
    <w:p>
      <w:pPr>
        <w:spacing w:after="0" w:line="191" w:lineRule="exact"/>
        <w:rPr>
          <w:sz w:val="20"/>
          <w:szCs w:val="20"/>
          <w:color w:val="auto"/>
        </w:rPr>
      </w:pPr>
    </w:p>
    <w:p>
      <w:pPr>
        <w:jc w:val="both"/>
        <w:ind w:left="200" w:right="219"/>
        <w:spacing w:after="0" w:line="291" w:lineRule="auto"/>
        <w:rPr>
          <w:sz w:val="20"/>
          <w:szCs w:val="20"/>
          <w:color w:val="auto"/>
        </w:rPr>
      </w:pPr>
      <w:r>
        <w:rPr>
          <w:rFonts w:ascii="Arial" w:cs="Arial" w:eastAsia="Arial" w:hAnsi="Arial"/>
          <w:sz w:val="20"/>
          <w:szCs w:val="20"/>
          <w:color w:val="auto"/>
        </w:rPr>
        <w:t>P-loop and αC-helix compressing (PACC) EGFR mutations are a distinct set of approximately 70 mostly missense activating mutations within the kinase domain of EGFR. They are similar to Exon 20 insertion mutations in narrowing the drug binding pocket to affect tyrosine kinase inhibitor activity. PACC mutations are diagnosed through commercially available NGS and most PCR tests. Patients with PACC mutations have limited treatment options, and there is no broadly utilized standard of care treatment for first-line PACC mutant patients.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133985</wp:posOffset>
            </wp:positionH>
            <wp:positionV relativeFrom="paragraph">
              <wp:posOffset>314325</wp:posOffset>
            </wp:positionV>
            <wp:extent cx="5452110" cy="1714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5452110" cy="17145"/>
                    </a:xfrm>
                    <a:prstGeom prst="rect">
                      <a:avLst/>
                    </a:prstGeom>
                    <a:noFill/>
                  </pic:spPr>
                </pic:pic>
              </a:graphicData>
            </a:graphic>
          </wp:anchor>
        </w:drawing>
      </w:r>
    </w:p>
    <w:p>
      <w:pPr>
        <w:sectPr>
          <w:pgSz w:w="11900" w:h="16838" w:orient="portrait"/>
          <w:cols w:equalWidth="0" w:num="1">
            <w:col w:w="9019"/>
          </w:cols>
          <w:pgMar w:left="1440" w:top="941" w:right="1440" w:bottom="1440" w:gutter="0" w:footer="0" w:header="0"/>
        </w:sectPr>
      </w:pPr>
    </w:p>
    <w:bookmarkStart w:id="6" w:name="page7"/>
    <w:bookmarkEnd w:id="6"/>
    <w:p>
      <w:pPr>
        <w:ind w:left="200"/>
        <w:spacing w:after="0"/>
        <w:rPr>
          <w:sz w:val="20"/>
          <w:szCs w:val="20"/>
          <w:color w:val="auto"/>
        </w:rPr>
      </w:pPr>
      <w:r>
        <w:rPr>
          <w:rFonts w:ascii="Arial" w:cs="Arial" w:eastAsia="Arial" w:hAnsi="Arial"/>
          <w:sz w:val="20"/>
          <w:szCs w:val="20"/>
          <w:b w:val="1"/>
          <w:bCs w:val="1"/>
          <w:color w:val="auto"/>
        </w:rPr>
        <w:t>Forward-Looking Statements</w:t>
      </w:r>
    </w:p>
    <w:p>
      <w:pPr>
        <w:spacing w:after="0" w:line="43" w:lineRule="exact"/>
        <w:rPr>
          <w:sz w:val="20"/>
          <w:szCs w:val="20"/>
          <w:color w:val="auto"/>
        </w:rPr>
      </w:pPr>
    </w:p>
    <w:p>
      <w:pPr>
        <w:jc w:val="both"/>
        <w:ind w:left="200" w:right="219"/>
        <w:spacing w:after="0" w:line="302" w:lineRule="auto"/>
        <w:rPr>
          <w:sz w:val="20"/>
          <w:szCs w:val="20"/>
          <w:color w:val="auto"/>
        </w:rPr>
      </w:pPr>
      <w:r>
        <w:rPr>
          <w:rFonts w:ascii="Arial" w:cs="Arial" w:eastAsia="Arial" w:hAnsi="Arial"/>
          <w:sz w:val="19"/>
          <w:szCs w:val="19"/>
          <w:color w:val="auto"/>
        </w:rPr>
        <w:t>This press release includes certain disclosures that contain “forward-looking statements” within the meaning of the Private Securities Litigation Reform Act of 1995 about us and our industry that involve substantial risks and uncertainties. All statements other than statements of historical facts contained in this press release, including statements regarding our future results of operations or financial condition, business strategy and plans, cash runway, differentiation of firmonertinib, activity of firmonertinib compared to available therapies, the timing of anticipated near-term clinical milestones, the timing of our planned update of data of firmonertinib in first-line NSCLC PACC mutations and corresponding clinical development plan for a potential pivotal study of firmonertinib in patients with NSCLC EGFR PACC mutations, the timing of top-line pivotal Phase 3 data for firmonertinib in previously untreated NSCLC patients whose tumors contain EGFR exon 20 insertion mutations, the differentiation of ARR-217 compared to other members of the same class, and the timing of ARR-217’s planned entry into the clinic, and objectives of management for future operations, are forward-looking statements. In some cases, you can identify forward-looking statements because they contain words such as “anticipate,” “believe,” “contemplate,” “continue,” “could,” “estimate,” “expect,” “intend,” “may,” “plan,” “potential,” “predict,” “project,” “should,” “target,” “will,” or “would” or the negative of these words or other similar terms or expressions. Forward-looking statements are based on ArriVent’s current expectations and are subject to inherent uncertainties, risks and assumptions that are difficult to predict. Factors that could cause actual results to differ include, but are not limited to, risks and uncertainties that are described more fully in the section titled “Risk Factors” in our annual report on Form 10-K for the fiscal year ended December 31, 2024, to be filed with the Securities and Exchange Commission on March 3, 2025 and our other filings with the Securities and Exchange Commission. Forward-looking statements contained in this press release are made as of this date, and ArriVent undertakes no duty to update such information except as required under applicable law.</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133985</wp:posOffset>
            </wp:positionH>
            <wp:positionV relativeFrom="paragraph">
              <wp:posOffset>661035</wp:posOffset>
            </wp:positionV>
            <wp:extent cx="5452110" cy="1714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5452110" cy="17145"/>
                    </a:xfrm>
                    <a:prstGeom prst="rect">
                      <a:avLst/>
                    </a:prstGeom>
                    <a:noFill/>
                  </pic:spPr>
                </pic:pic>
              </a:graphicData>
            </a:graphic>
          </wp:anchor>
        </w:drawing>
      </w:r>
    </w:p>
    <w:p>
      <w:pPr>
        <w:sectPr>
          <w:pgSz w:w="11900" w:h="16838" w:orient="portrait"/>
          <w:cols w:equalWidth="0" w:num="1">
            <w:col w:w="9019"/>
          </w:cols>
          <w:pgMar w:left="1440" w:top="939" w:right="1440" w:bottom="1440" w:gutter="0" w:footer="0" w:header="0"/>
        </w:sectPr>
      </w:pPr>
    </w:p>
    <w:bookmarkStart w:id="7" w:name="page8"/>
    <w:bookmarkEnd w:id="7"/>
    <w:p>
      <w:pPr>
        <w:jc w:val="center"/>
        <w:ind w:right="19"/>
        <w:spacing w:after="0"/>
        <w:rPr>
          <w:sz w:val="20"/>
          <w:szCs w:val="20"/>
          <w:color w:val="auto"/>
        </w:rPr>
      </w:pPr>
      <w:r>
        <w:rPr>
          <w:rFonts w:ascii="Arial" w:cs="Arial" w:eastAsia="Arial" w:hAnsi="Arial"/>
          <w:sz w:val="18"/>
          <w:szCs w:val="18"/>
          <w:b w:val="1"/>
          <w:bCs w:val="1"/>
          <w:color w:val="auto"/>
        </w:rPr>
        <w:t>ARRIVENT BIOPHARMA, INC.</w:t>
      </w:r>
    </w:p>
    <w:p>
      <w:pPr>
        <w:spacing w:after="0" w:line="225"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CONDENSED BALANCE SHEETS</w:t>
      </w:r>
    </w:p>
    <w:p>
      <w:pPr>
        <w:spacing w:after="0" w:line="27"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(in thousands, except share and per share data)</w:t>
      </w:r>
    </w:p>
    <w:p>
      <w:pPr>
        <w:spacing w:after="0" w:line="9"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(Unaudited)</w:t>
      </w:r>
    </w:p>
    <w:p>
      <w:pPr>
        <w:spacing w:after="0" w:line="200" w:lineRule="exact"/>
        <w:rPr>
          <w:sz w:val="20"/>
          <w:szCs w:val="20"/>
          <w:color w:val="auto"/>
        </w:rPr>
      </w:pPr>
    </w:p>
    <w:p>
      <w:pPr>
        <w:spacing w:after="0" w:line="285" w:lineRule="exact"/>
        <w:rPr>
          <w:sz w:val="20"/>
          <w:szCs w:val="20"/>
          <w:color w:val="auto"/>
        </w:rPr>
      </w:pPr>
    </w:p>
    <w:tbl>
      <w:tblPr>
        <w:tblLayout w:type="fixed"/>
        <w:tblInd w:w="220" w:type="dxa"/>
        <w:tblCellMar>
          <w:top w:w="0" w:type="dxa"/>
          <w:left w:w="0" w:type="dxa"/>
          <w:bottom w:w="0" w:type="dxa"/>
          <w:right w:w="0" w:type="dxa"/>
        </w:tblCellMar>
      </w:tblPr>
      <w:tr>
        <w:trPr>
          <w:trHeight w:val="190"/>
        </w:trPr>
        <w:tc>
          <w:tcPr>
            <w:tcW w:w="602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040" w:type="dxa"/>
            <w:vAlign w:val="bottom"/>
            <w:gridSpan w:val="2"/>
          </w:tcPr>
          <w:p>
            <w:pPr>
              <w:jc w:val="right"/>
              <w:ind w:right="340"/>
              <w:spacing w:after="0"/>
              <w:rPr>
                <w:sz w:val="20"/>
                <w:szCs w:val="20"/>
                <w:color w:val="auto"/>
              </w:rPr>
            </w:pPr>
            <w:r>
              <w:rPr>
                <w:rFonts w:ascii="Times New Roman" w:cs="Times New Roman" w:eastAsia="Times New Roman" w:hAnsi="Times New Roman"/>
                <w:sz w:val="14"/>
                <w:szCs w:val="14"/>
                <w:b w:val="1"/>
                <w:bCs w:val="1"/>
                <w:color w:val="auto"/>
              </w:rPr>
              <w:t>March 31,</w:t>
            </w:r>
          </w:p>
        </w:tc>
        <w:tc>
          <w:tcPr>
            <w:tcW w:w="1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180" w:type="dxa"/>
            <w:vAlign w:val="bottom"/>
            <w:gridSpan w:val="2"/>
          </w:tcPr>
          <w:p>
            <w:pPr>
              <w:jc w:val="right"/>
              <w:ind w:right="340"/>
              <w:spacing w:after="0"/>
              <w:rPr>
                <w:sz w:val="20"/>
                <w:szCs w:val="20"/>
                <w:color w:val="auto"/>
              </w:rPr>
            </w:pPr>
            <w:r>
              <w:rPr>
                <w:rFonts w:ascii="Times New Roman" w:cs="Times New Roman" w:eastAsia="Times New Roman" w:hAnsi="Times New Roman"/>
                <w:sz w:val="14"/>
                <w:szCs w:val="14"/>
                <w:b w:val="1"/>
                <w:bCs w:val="1"/>
                <w:color w:val="auto"/>
              </w:rPr>
              <w:t>December 31,</w:t>
            </w:r>
          </w:p>
        </w:tc>
        <w:tc>
          <w:tcPr>
            <w:tcW w:w="0" w:type="dxa"/>
            <w:vAlign w:val="bottom"/>
          </w:tcPr>
          <w:p>
            <w:pPr>
              <w:spacing w:after="0"/>
              <w:rPr>
                <w:sz w:val="1"/>
                <w:szCs w:val="1"/>
                <w:color w:val="auto"/>
              </w:rPr>
            </w:pPr>
          </w:p>
        </w:tc>
      </w:tr>
      <w:tr>
        <w:trPr>
          <w:trHeight w:val="208"/>
        </w:trPr>
        <w:tc>
          <w:tcPr>
            <w:tcW w:w="6020" w:type="dxa"/>
            <w:vAlign w:val="bottom"/>
            <w:tcBorders>
              <w:bottom w:val="single" w:sz="8" w:color="CCEEFF"/>
            </w:tcBorders>
          </w:tcPr>
          <w:p>
            <w:pPr>
              <w:spacing w:after="0"/>
              <w:rPr>
                <w:sz w:val="18"/>
                <w:szCs w:val="18"/>
                <w:color w:val="auto"/>
              </w:rPr>
            </w:pPr>
          </w:p>
        </w:tc>
        <w:tc>
          <w:tcPr>
            <w:tcW w:w="140" w:type="dxa"/>
            <w:vAlign w:val="bottom"/>
            <w:tcBorders>
              <w:bottom w:val="single" w:sz="8" w:color="auto"/>
            </w:tcBorders>
          </w:tcPr>
          <w:p>
            <w:pPr>
              <w:spacing w:after="0"/>
              <w:rPr>
                <w:sz w:val="18"/>
                <w:szCs w:val="18"/>
                <w:color w:val="auto"/>
              </w:rPr>
            </w:pPr>
          </w:p>
        </w:tc>
        <w:tc>
          <w:tcPr>
            <w:tcW w:w="940" w:type="dxa"/>
            <w:vAlign w:val="bottom"/>
            <w:tcBorders>
              <w:bottom w:val="single" w:sz="8" w:color="auto"/>
            </w:tcBorders>
          </w:tcPr>
          <w:p>
            <w:pPr>
              <w:jc w:val="right"/>
              <w:ind w:right="312"/>
              <w:spacing w:after="0"/>
              <w:rPr>
                <w:sz w:val="20"/>
                <w:szCs w:val="20"/>
                <w:color w:val="auto"/>
              </w:rPr>
            </w:pPr>
            <w:r>
              <w:rPr>
                <w:rFonts w:ascii="Times New Roman" w:cs="Times New Roman" w:eastAsia="Times New Roman" w:hAnsi="Times New Roman"/>
                <w:sz w:val="14"/>
                <w:szCs w:val="14"/>
                <w:b w:val="1"/>
                <w:bCs w:val="1"/>
                <w:color w:val="auto"/>
              </w:rPr>
              <w:t>2025</w:t>
            </w:r>
          </w:p>
        </w:tc>
        <w:tc>
          <w:tcPr>
            <w:tcW w:w="100" w:type="dxa"/>
            <w:vAlign w:val="bottom"/>
            <w:tcBorders>
              <w:bottom w:val="single" w:sz="8" w:color="CCEEFF"/>
            </w:tcBorders>
          </w:tcPr>
          <w:p>
            <w:pPr>
              <w:spacing w:after="0"/>
              <w:rPr>
                <w:sz w:val="18"/>
                <w:szCs w:val="18"/>
                <w:color w:val="auto"/>
              </w:rPr>
            </w:pPr>
          </w:p>
        </w:tc>
        <w:tc>
          <w:tcPr>
            <w:tcW w:w="100" w:type="dxa"/>
            <w:vAlign w:val="bottom"/>
            <w:tcBorders>
              <w:bottom w:val="single" w:sz="8" w:color="CCEEFF"/>
            </w:tcBorders>
          </w:tcPr>
          <w:p>
            <w:pPr>
              <w:spacing w:after="0"/>
              <w:rPr>
                <w:sz w:val="18"/>
                <w:szCs w:val="18"/>
                <w:color w:val="auto"/>
              </w:rPr>
            </w:pPr>
          </w:p>
        </w:tc>
        <w:tc>
          <w:tcPr>
            <w:tcW w:w="100" w:type="dxa"/>
            <w:vAlign w:val="bottom"/>
            <w:tcBorders>
              <w:bottom w:val="single" w:sz="8" w:color="auto"/>
            </w:tcBorders>
          </w:tcPr>
          <w:p>
            <w:pPr>
              <w:spacing w:after="0"/>
              <w:rPr>
                <w:sz w:val="18"/>
                <w:szCs w:val="18"/>
                <w:color w:val="auto"/>
              </w:rPr>
            </w:pPr>
          </w:p>
        </w:tc>
        <w:tc>
          <w:tcPr>
            <w:tcW w:w="980" w:type="dxa"/>
            <w:vAlign w:val="bottom"/>
            <w:tcBorders>
              <w:bottom w:val="single" w:sz="8" w:color="auto"/>
            </w:tcBorders>
          </w:tcPr>
          <w:p>
            <w:pPr>
              <w:jc w:val="right"/>
              <w:ind w:right="312"/>
              <w:spacing w:after="0"/>
              <w:rPr>
                <w:sz w:val="20"/>
                <w:szCs w:val="20"/>
                <w:color w:val="auto"/>
              </w:rPr>
            </w:pPr>
            <w:r>
              <w:rPr>
                <w:rFonts w:ascii="Times New Roman" w:cs="Times New Roman" w:eastAsia="Times New Roman" w:hAnsi="Times New Roman"/>
                <w:sz w:val="14"/>
                <w:szCs w:val="14"/>
                <w:b w:val="1"/>
                <w:bCs w:val="1"/>
                <w:color w:val="auto"/>
              </w:rPr>
              <w:t>2024</w:t>
            </w:r>
          </w:p>
        </w:tc>
        <w:tc>
          <w:tcPr>
            <w:tcW w:w="200" w:type="dxa"/>
            <w:vAlign w:val="bottom"/>
            <w:tcBorders>
              <w:bottom w:val="single" w:sz="8" w:color="CCEEFF"/>
            </w:tcBorders>
          </w:tcPr>
          <w:p>
            <w:pPr>
              <w:spacing w:after="0"/>
              <w:rPr>
                <w:sz w:val="18"/>
                <w:szCs w:val="18"/>
                <w:color w:val="auto"/>
              </w:rPr>
            </w:pPr>
          </w:p>
        </w:tc>
        <w:tc>
          <w:tcPr>
            <w:tcW w:w="0" w:type="dxa"/>
            <w:vAlign w:val="bottom"/>
          </w:tcPr>
          <w:p>
            <w:pPr>
              <w:spacing w:after="0"/>
              <w:rPr>
                <w:sz w:val="1"/>
                <w:szCs w:val="1"/>
                <w:color w:val="auto"/>
              </w:rPr>
            </w:pPr>
          </w:p>
        </w:tc>
      </w:tr>
      <w:tr>
        <w:trPr>
          <w:trHeight w:val="242"/>
        </w:trPr>
        <w:tc>
          <w:tcPr>
            <w:tcW w:w="60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Assets</w:t>
            </w:r>
          </w:p>
        </w:tc>
        <w:tc>
          <w:tcPr>
            <w:tcW w:w="140" w:type="dxa"/>
            <w:vAlign w:val="bottom"/>
            <w:shd w:val="clear" w:color="auto" w:fill="CCEEFF"/>
          </w:tcPr>
          <w:p>
            <w:pPr>
              <w:spacing w:after="0"/>
              <w:rPr>
                <w:sz w:val="21"/>
                <w:szCs w:val="21"/>
                <w:color w:val="auto"/>
              </w:rPr>
            </w:pPr>
          </w:p>
        </w:tc>
        <w:tc>
          <w:tcPr>
            <w:tcW w:w="940" w:type="dxa"/>
            <w:vAlign w:val="bottom"/>
            <w:shd w:val="clear" w:color="auto" w:fill="CCEEFF"/>
          </w:tcPr>
          <w:p>
            <w:pPr>
              <w:spacing w:after="0"/>
              <w:rPr>
                <w:sz w:val="21"/>
                <w:szCs w:val="21"/>
                <w:color w:val="auto"/>
              </w:rPr>
            </w:pPr>
          </w:p>
        </w:tc>
        <w:tc>
          <w:tcPr>
            <w:tcW w:w="100" w:type="dxa"/>
            <w:vAlign w:val="bottom"/>
            <w:shd w:val="clear" w:color="auto" w:fill="CCEEFF"/>
          </w:tcPr>
          <w:p>
            <w:pPr>
              <w:spacing w:after="0"/>
              <w:rPr>
                <w:sz w:val="21"/>
                <w:szCs w:val="21"/>
                <w:color w:val="auto"/>
              </w:rPr>
            </w:pPr>
          </w:p>
        </w:tc>
        <w:tc>
          <w:tcPr>
            <w:tcW w:w="100" w:type="dxa"/>
            <w:vAlign w:val="bottom"/>
            <w:shd w:val="clear" w:color="auto" w:fill="CCEEFF"/>
          </w:tcPr>
          <w:p>
            <w:pPr>
              <w:spacing w:after="0"/>
              <w:rPr>
                <w:sz w:val="21"/>
                <w:szCs w:val="21"/>
                <w:color w:val="auto"/>
              </w:rPr>
            </w:pPr>
          </w:p>
        </w:tc>
        <w:tc>
          <w:tcPr>
            <w:tcW w:w="100" w:type="dxa"/>
            <w:vAlign w:val="bottom"/>
            <w:shd w:val="clear" w:color="auto" w:fill="CCEEFF"/>
          </w:tcPr>
          <w:p>
            <w:pPr>
              <w:spacing w:after="0"/>
              <w:rPr>
                <w:sz w:val="21"/>
                <w:szCs w:val="21"/>
                <w:color w:val="auto"/>
              </w:rPr>
            </w:pPr>
          </w:p>
        </w:tc>
        <w:tc>
          <w:tcPr>
            <w:tcW w:w="980" w:type="dxa"/>
            <w:vAlign w:val="bottom"/>
            <w:shd w:val="clear" w:color="auto" w:fill="CCEEFF"/>
          </w:tcPr>
          <w:p>
            <w:pPr>
              <w:spacing w:after="0"/>
              <w:rPr>
                <w:sz w:val="21"/>
                <w:szCs w:val="21"/>
                <w:color w:val="auto"/>
              </w:rPr>
            </w:pPr>
          </w:p>
        </w:tc>
        <w:tc>
          <w:tcPr>
            <w:tcW w:w="200" w:type="dxa"/>
            <w:vAlign w:val="bottom"/>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39"/>
        </w:trPr>
        <w:tc>
          <w:tcPr>
            <w:tcW w:w="6020" w:type="dxa"/>
            <w:vAlign w:val="bottom"/>
          </w:tcPr>
          <w:p>
            <w:pPr>
              <w:spacing w:after="0"/>
              <w:rPr>
                <w:sz w:val="20"/>
                <w:szCs w:val="20"/>
                <w:color w:val="auto"/>
              </w:rPr>
            </w:pPr>
            <w:r>
              <w:rPr>
                <w:rFonts w:ascii="Times New Roman" w:cs="Times New Roman" w:eastAsia="Times New Roman" w:hAnsi="Times New Roman"/>
                <w:sz w:val="18"/>
                <w:szCs w:val="18"/>
                <w:color w:val="auto"/>
              </w:rPr>
              <w:t>Current assets:</w:t>
            </w:r>
          </w:p>
        </w:tc>
        <w:tc>
          <w:tcPr>
            <w:tcW w:w="140" w:type="dxa"/>
            <w:vAlign w:val="bottom"/>
          </w:tcPr>
          <w:p>
            <w:pPr>
              <w:spacing w:after="0"/>
              <w:rPr>
                <w:sz w:val="20"/>
                <w:szCs w:val="20"/>
                <w:color w:val="auto"/>
              </w:rPr>
            </w:pPr>
          </w:p>
        </w:tc>
        <w:tc>
          <w:tcPr>
            <w:tcW w:w="9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98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47"/>
        </w:trPr>
        <w:tc>
          <w:tcPr>
            <w:tcW w:w="6020" w:type="dxa"/>
            <w:vAlign w:val="bottom"/>
            <w:shd w:val="clear" w:color="auto" w:fill="CCEEFF"/>
          </w:tcPr>
          <w:p>
            <w:pPr>
              <w:ind w:left="100"/>
              <w:spacing w:after="0"/>
              <w:rPr>
                <w:sz w:val="20"/>
                <w:szCs w:val="20"/>
                <w:color w:val="auto"/>
              </w:rPr>
            </w:pPr>
            <w:r>
              <w:rPr>
                <w:rFonts w:ascii="Times New Roman" w:cs="Times New Roman" w:eastAsia="Times New Roman" w:hAnsi="Times New Roman"/>
                <w:sz w:val="18"/>
                <w:szCs w:val="18"/>
                <w:color w:val="auto"/>
              </w:rPr>
              <w:t>Cash and cash equivalents</w:t>
            </w:r>
          </w:p>
        </w:tc>
        <w:tc>
          <w:tcPr>
            <w:tcW w:w="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9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49,865</w:t>
            </w:r>
          </w:p>
        </w:tc>
        <w:tc>
          <w:tcPr>
            <w:tcW w:w="100" w:type="dxa"/>
            <w:vAlign w:val="bottom"/>
            <w:shd w:val="clear" w:color="auto" w:fill="CCEEFF"/>
          </w:tcPr>
          <w:p>
            <w:pPr>
              <w:spacing w:after="0"/>
              <w:rPr>
                <w:sz w:val="21"/>
                <w:szCs w:val="21"/>
                <w:color w:val="auto"/>
              </w:rPr>
            </w:pPr>
          </w:p>
        </w:tc>
        <w:tc>
          <w:tcPr>
            <w:tcW w:w="20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9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74,293</w:t>
            </w:r>
          </w:p>
        </w:tc>
        <w:tc>
          <w:tcPr>
            <w:tcW w:w="200" w:type="dxa"/>
            <w:vAlign w:val="bottom"/>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6020" w:type="dxa"/>
            <w:vAlign w:val="bottom"/>
          </w:tcPr>
          <w:p>
            <w:pPr>
              <w:ind w:left="100"/>
              <w:spacing w:after="0"/>
              <w:rPr>
                <w:sz w:val="20"/>
                <w:szCs w:val="20"/>
                <w:color w:val="auto"/>
              </w:rPr>
            </w:pPr>
            <w:r>
              <w:rPr>
                <w:rFonts w:ascii="Times New Roman" w:cs="Times New Roman" w:eastAsia="Times New Roman" w:hAnsi="Times New Roman"/>
                <w:sz w:val="18"/>
                <w:szCs w:val="18"/>
                <w:color w:val="auto"/>
              </w:rPr>
              <w:t>Short-term investments</w:t>
            </w:r>
          </w:p>
        </w:tc>
        <w:tc>
          <w:tcPr>
            <w:tcW w:w="140" w:type="dxa"/>
            <w:vAlign w:val="bottom"/>
          </w:tcPr>
          <w:p>
            <w:pPr>
              <w:spacing w:after="0"/>
              <w:rPr>
                <w:sz w:val="21"/>
                <w:szCs w:val="21"/>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126,212</w:t>
            </w:r>
          </w:p>
        </w:tc>
        <w:tc>
          <w:tcPr>
            <w:tcW w:w="10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144,570</w:t>
            </w:r>
          </w:p>
        </w:tc>
        <w:tc>
          <w:tcPr>
            <w:tcW w:w="20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6020" w:type="dxa"/>
            <w:vAlign w:val="bottom"/>
            <w:shd w:val="clear" w:color="auto" w:fill="CCEEFF"/>
          </w:tcPr>
          <w:p>
            <w:pPr>
              <w:ind w:left="100"/>
              <w:spacing w:after="0"/>
              <w:rPr>
                <w:sz w:val="20"/>
                <w:szCs w:val="20"/>
                <w:color w:val="auto"/>
              </w:rPr>
            </w:pPr>
            <w:r>
              <w:rPr>
                <w:rFonts w:ascii="Times New Roman" w:cs="Times New Roman" w:eastAsia="Times New Roman" w:hAnsi="Times New Roman"/>
                <w:sz w:val="18"/>
                <w:szCs w:val="18"/>
                <w:color w:val="auto"/>
              </w:rPr>
              <w:t>Prepaid expenses and other current assets</w:t>
            </w:r>
          </w:p>
        </w:tc>
        <w:tc>
          <w:tcPr>
            <w:tcW w:w="140" w:type="dxa"/>
            <w:vAlign w:val="bottom"/>
            <w:tcBorders>
              <w:bottom w:val="single" w:sz="8" w:color="auto"/>
            </w:tcBorders>
            <w:shd w:val="clear" w:color="auto" w:fill="CCEEFF"/>
          </w:tcPr>
          <w:p>
            <w:pPr>
              <w:spacing w:after="0"/>
              <w:rPr>
                <w:sz w:val="21"/>
                <w:szCs w:val="21"/>
                <w:color w:val="auto"/>
              </w:rPr>
            </w:pPr>
          </w:p>
        </w:tc>
        <w:tc>
          <w:tcPr>
            <w:tcW w:w="9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9,708</w:t>
            </w:r>
          </w:p>
        </w:tc>
        <w:tc>
          <w:tcPr>
            <w:tcW w:w="100" w:type="dxa"/>
            <w:vAlign w:val="bottom"/>
            <w:shd w:val="clear" w:color="auto" w:fill="CCEEFF"/>
          </w:tcPr>
          <w:p>
            <w:pPr>
              <w:spacing w:after="0"/>
              <w:rPr>
                <w:sz w:val="21"/>
                <w:szCs w:val="21"/>
                <w:color w:val="auto"/>
              </w:rPr>
            </w:pPr>
          </w:p>
        </w:tc>
        <w:tc>
          <w:tcPr>
            <w:tcW w:w="100" w:type="dxa"/>
            <w:vAlign w:val="bottom"/>
            <w:shd w:val="clear" w:color="auto" w:fill="CCEEFF"/>
          </w:tcPr>
          <w:p>
            <w:pPr>
              <w:spacing w:after="0"/>
              <w:rPr>
                <w:sz w:val="21"/>
                <w:szCs w:val="21"/>
                <w:color w:val="auto"/>
              </w:rPr>
            </w:pPr>
          </w:p>
        </w:tc>
        <w:tc>
          <w:tcPr>
            <w:tcW w:w="100" w:type="dxa"/>
            <w:vAlign w:val="bottom"/>
            <w:tcBorders>
              <w:bottom w:val="single" w:sz="8" w:color="auto"/>
            </w:tcBorders>
            <w:shd w:val="clear" w:color="auto" w:fill="CCEEFF"/>
          </w:tcPr>
          <w:p>
            <w:pPr>
              <w:spacing w:after="0"/>
              <w:rPr>
                <w:sz w:val="21"/>
                <w:szCs w:val="21"/>
                <w:color w:val="auto"/>
              </w:rPr>
            </w:pPr>
          </w:p>
        </w:tc>
        <w:tc>
          <w:tcPr>
            <w:tcW w:w="9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8,116</w:t>
            </w:r>
          </w:p>
        </w:tc>
        <w:tc>
          <w:tcPr>
            <w:tcW w:w="200" w:type="dxa"/>
            <w:vAlign w:val="bottom"/>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23"/>
        </w:trPr>
        <w:tc>
          <w:tcPr>
            <w:tcW w:w="6020" w:type="dxa"/>
            <w:vAlign w:val="bottom"/>
          </w:tcPr>
          <w:p>
            <w:pPr>
              <w:ind w:left="200"/>
              <w:spacing w:after="0"/>
              <w:rPr>
                <w:sz w:val="20"/>
                <w:szCs w:val="20"/>
                <w:color w:val="auto"/>
              </w:rPr>
            </w:pPr>
            <w:r>
              <w:rPr>
                <w:rFonts w:ascii="Times New Roman" w:cs="Times New Roman" w:eastAsia="Times New Roman" w:hAnsi="Times New Roman"/>
                <w:sz w:val="18"/>
                <w:szCs w:val="18"/>
                <w:color w:val="auto"/>
              </w:rPr>
              <w:t>Total current assets</w:t>
            </w:r>
          </w:p>
        </w:tc>
        <w:tc>
          <w:tcPr>
            <w:tcW w:w="140" w:type="dxa"/>
            <w:vAlign w:val="bottom"/>
          </w:tcPr>
          <w:p>
            <w:pPr>
              <w:spacing w:after="0"/>
              <w:rPr>
                <w:sz w:val="19"/>
                <w:szCs w:val="19"/>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185,785</w:t>
            </w:r>
          </w:p>
        </w:tc>
        <w:tc>
          <w:tcPr>
            <w:tcW w:w="1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226,979</w:t>
            </w:r>
          </w:p>
        </w:tc>
        <w:tc>
          <w:tcPr>
            <w:tcW w:w="2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43"/>
        </w:trPr>
        <w:tc>
          <w:tcPr>
            <w:tcW w:w="60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Long-term investments</w:t>
            </w:r>
          </w:p>
        </w:tc>
        <w:tc>
          <w:tcPr>
            <w:tcW w:w="140" w:type="dxa"/>
            <w:vAlign w:val="bottom"/>
            <w:shd w:val="clear" w:color="auto" w:fill="CCEEFF"/>
          </w:tcPr>
          <w:p>
            <w:pPr>
              <w:spacing w:after="0"/>
              <w:rPr>
                <w:sz w:val="21"/>
                <w:szCs w:val="21"/>
                <w:color w:val="auto"/>
              </w:rPr>
            </w:pPr>
          </w:p>
        </w:tc>
        <w:tc>
          <w:tcPr>
            <w:tcW w:w="9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29,414</w:t>
            </w:r>
          </w:p>
        </w:tc>
        <w:tc>
          <w:tcPr>
            <w:tcW w:w="100" w:type="dxa"/>
            <w:vAlign w:val="bottom"/>
            <w:shd w:val="clear" w:color="auto" w:fill="CCEEFF"/>
          </w:tcPr>
          <w:p>
            <w:pPr>
              <w:spacing w:after="0"/>
              <w:rPr>
                <w:sz w:val="21"/>
                <w:szCs w:val="21"/>
                <w:color w:val="auto"/>
              </w:rPr>
            </w:pPr>
          </w:p>
        </w:tc>
        <w:tc>
          <w:tcPr>
            <w:tcW w:w="100" w:type="dxa"/>
            <w:vAlign w:val="bottom"/>
            <w:shd w:val="clear" w:color="auto" w:fill="CCEEFF"/>
          </w:tcPr>
          <w:p>
            <w:pPr>
              <w:spacing w:after="0"/>
              <w:rPr>
                <w:sz w:val="21"/>
                <w:szCs w:val="21"/>
                <w:color w:val="auto"/>
              </w:rPr>
            </w:pPr>
          </w:p>
        </w:tc>
        <w:tc>
          <w:tcPr>
            <w:tcW w:w="100" w:type="dxa"/>
            <w:vAlign w:val="bottom"/>
            <w:shd w:val="clear" w:color="auto" w:fill="CCEEFF"/>
          </w:tcPr>
          <w:p>
            <w:pPr>
              <w:spacing w:after="0"/>
              <w:rPr>
                <w:sz w:val="21"/>
                <w:szCs w:val="21"/>
                <w:color w:val="auto"/>
              </w:rPr>
            </w:pPr>
          </w:p>
        </w:tc>
        <w:tc>
          <w:tcPr>
            <w:tcW w:w="9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47,683</w:t>
            </w:r>
          </w:p>
        </w:tc>
        <w:tc>
          <w:tcPr>
            <w:tcW w:w="200" w:type="dxa"/>
            <w:vAlign w:val="bottom"/>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6020" w:type="dxa"/>
            <w:vAlign w:val="bottom"/>
          </w:tcPr>
          <w:p>
            <w:pPr>
              <w:spacing w:after="0"/>
              <w:rPr>
                <w:sz w:val="20"/>
                <w:szCs w:val="20"/>
                <w:color w:val="auto"/>
              </w:rPr>
            </w:pPr>
            <w:r>
              <w:rPr>
                <w:rFonts w:ascii="Times New Roman" w:cs="Times New Roman" w:eastAsia="Times New Roman" w:hAnsi="Times New Roman"/>
                <w:sz w:val="18"/>
                <w:szCs w:val="18"/>
                <w:color w:val="auto"/>
              </w:rPr>
              <w:t>Right of use assets – operating leases</w:t>
            </w:r>
          </w:p>
        </w:tc>
        <w:tc>
          <w:tcPr>
            <w:tcW w:w="140" w:type="dxa"/>
            <w:vAlign w:val="bottom"/>
          </w:tcPr>
          <w:p>
            <w:pPr>
              <w:spacing w:after="0"/>
              <w:rPr>
                <w:sz w:val="21"/>
                <w:szCs w:val="21"/>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120</w:t>
            </w:r>
          </w:p>
        </w:tc>
        <w:tc>
          <w:tcPr>
            <w:tcW w:w="10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154</w:t>
            </w:r>
          </w:p>
        </w:tc>
        <w:tc>
          <w:tcPr>
            <w:tcW w:w="20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60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Other assets</w:t>
            </w:r>
          </w:p>
        </w:tc>
        <w:tc>
          <w:tcPr>
            <w:tcW w:w="140" w:type="dxa"/>
            <w:vAlign w:val="bottom"/>
            <w:tcBorders>
              <w:bottom w:val="single" w:sz="8" w:color="auto"/>
            </w:tcBorders>
            <w:shd w:val="clear" w:color="auto" w:fill="CCEEFF"/>
          </w:tcPr>
          <w:p>
            <w:pPr>
              <w:spacing w:after="0"/>
              <w:rPr>
                <w:sz w:val="21"/>
                <w:szCs w:val="21"/>
                <w:color w:val="auto"/>
              </w:rPr>
            </w:pPr>
          </w:p>
        </w:tc>
        <w:tc>
          <w:tcPr>
            <w:tcW w:w="9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176</w:t>
            </w:r>
          </w:p>
        </w:tc>
        <w:tc>
          <w:tcPr>
            <w:tcW w:w="100" w:type="dxa"/>
            <w:vAlign w:val="bottom"/>
            <w:shd w:val="clear" w:color="auto" w:fill="CCEEFF"/>
          </w:tcPr>
          <w:p>
            <w:pPr>
              <w:spacing w:after="0"/>
              <w:rPr>
                <w:sz w:val="21"/>
                <w:szCs w:val="21"/>
                <w:color w:val="auto"/>
              </w:rPr>
            </w:pPr>
          </w:p>
        </w:tc>
        <w:tc>
          <w:tcPr>
            <w:tcW w:w="100" w:type="dxa"/>
            <w:vAlign w:val="bottom"/>
            <w:shd w:val="clear" w:color="auto" w:fill="CCEEFF"/>
          </w:tcPr>
          <w:p>
            <w:pPr>
              <w:spacing w:after="0"/>
              <w:rPr>
                <w:sz w:val="21"/>
                <w:szCs w:val="21"/>
                <w:color w:val="auto"/>
              </w:rPr>
            </w:pPr>
          </w:p>
        </w:tc>
        <w:tc>
          <w:tcPr>
            <w:tcW w:w="100" w:type="dxa"/>
            <w:vAlign w:val="bottom"/>
            <w:tcBorders>
              <w:bottom w:val="single" w:sz="8" w:color="auto"/>
            </w:tcBorders>
            <w:shd w:val="clear" w:color="auto" w:fill="CCEEFF"/>
          </w:tcPr>
          <w:p>
            <w:pPr>
              <w:spacing w:after="0"/>
              <w:rPr>
                <w:sz w:val="21"/>
                <w:szCs w:val="21"/>
                <w:color w:val="auto"/>
              </w:rPr>
            </w:pPr>
          </w:p>
        </w:tc>
        <w:tc>
          <w:tcPr>
            <w:tcW w:w="9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126</w:t>
            </w:r>
          </w:p>
        </w:tc>
        <w:tc>
          <w:tcPr>
            <w:tcW w:w="200" w:type="dxa"/>
            <w:vAlign w:val="bottom"/>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50"/>
        </w:trPr>
        <w:tc>
          <w:tcPr>
            <w:tcW w:w="6020" w:type="dxa"/>
            <w:vAlign w:val="bottom"/>
            <w:tcBorders>
              <w:bottom w:val="single" w:sz="8" w:color="CCEEFF"/>
            </w:tcBorders>
          </w:tcPr>
          <w:p>
            <w:pPr>
              <w:ind w:left="200"/>
              <w:spacing w:after="0"/>
              <w:rPr>
                <w:sz w:val="20"/>
                <w:szCs w:val="20"/>
                <w:color w:val="auto"/>
              </w:rPr>
            </w:pPr>
            <w:r>
              <w:rPr>
                <w:rFonts w:ascii="Times New Roman" w:cs="Times New Roman" w:eastAsia="Times New Roman" w:hAnsi="Times New Roman"/>
                <w:sz w:val="18"/>
                <w:szCs w:val="18"/>
                <w:color w:val="auto"/>
              </w:rPr>
              <w:t>Total assets</w:t>
            </w:r>
          </w:p>
        </w:tc>
        <w:tc>
          <w:tcPr>
            <w:tcW w:w="1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9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215,495</w:t>
            </w:r>
          </w:p>
        </w:tc>
        <w:tc>
          <w:tcPr>
            <w:tcW w:w="100" w:type="dxa"/>
            <w:vAlign w:val="bottom"/>
            <w:tcBorders>
              <w:bottom w:val="single" w:sz="8" w:color="CCEEFF"/>
            </w:tcBorders>
          </w:tcPr>
          <w:p>
            <w:pPr>
              <w:spacing w:after="0"/>
              <w:rPr>
                <w:sz w:val="21"/>
                <w:szCs w:val="21"/>
                <w:color w:val="auto"/>
              </w:rPr>
            </w:pPr>
          </w:p>
        </w:tc>
        <w:tc>
          <w:tcPr>
            <w:tcW w:w="100" w:type="dxa"/>
            <w:vAlign w:val="bottom"/>
            <w:tcBorders>
              <w:bottom w:val="single" w:sz="8" w:color="CCEEFF"/>
            </w:tcBorders>
          </w:tcPr>
          <w:p>
            <w:pPr>
              <w:spacing w:after="0"/>
              <w:rPr>
                <w:sz w:val="21"/>
                <w:szCs w:val="21"/>
                <w:color w:val="auto"/>
              </w:rPr>
            </w:pPr>
          </w:p>
        </w:tc>
        <w:tc>
          <w:tcPr>
            <w:tcW w:w="1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9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274,942</w:t>
            </w:r>
          </w:p>
        </w:tc>
        <w:tc>
          <w:tcPr>
            <w:tcW w:w="200" w:type="dxa"/>
            <w:vAlign w:val="bottom"/>
            <w:tcBorders>
              <w:bottom w:val="single" w:sz="8" w:color="CCEEFF"/>
            </w:tcBorders>
          </w:tcPr>
          <w:p>
            <w:pPr>
              <w:spacing w:after="0"/>
              <w:rPr>
                <w:sz w:val="21"/>
                <w:szCs w:val="21"/>
                <w:color w:val="auto"/>
              </w:rPr>
            </w:pPr>
          </w:p>
        </w:tc>
        <w:tc>
          <w:tcPr>
            <w:tcW w:w="0" w:type="dxa"/>
            <w:vAlign w:val="bottom"/>
          </w:tcPr>
          <w:p>
            <w:pPr>
              <w:spacing w:after="0"/>
              <w:rPr>
                <w:sz w:val="1"/>
                <w:szCs w:val="1"/>
                <w:color w:val="auto"/>
              </w:rPr>
            </w:pPr>
          </w:p>
        </w:tc>
      </w:tr>
      <w:tr>
        <w:trPr>
          <w:trHeight w:val="223"/>
        </w:trPr>
        <w:tc>
          <w:tcPr>
            <w:tcW w:w="602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94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98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41"/>
        </w:trPr>
        <w:tc>
          <w:tcPr>
            <w:tcW w:w="602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Liabilities and Stockholders’ Equity</w:t>
            </w:r>
          </w:p>
        </w:tc>
        <w:tc>
          <w:tcPr>
            <w:tcW w:w="140" w:type="dxa"/>
            <w:vAlign w:val="bottom"/>
          </w:tcPr>
          <w:p>
            <w:pPr>
              <w:spacing w:after="0"/>
              <w:rPr>
                <w:sz w:val="20"/>
                <w:szCs w:val="20"/>
                <w:color w:val="auto"/>
              </w:rPr>
            </w:pPr>
          </w:p>
        </w:tc>
        <w:tc>
          <w:tcPr>
            <w:tcW w:w="9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98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45"/>
        </w:trPr>
        <w:tc>
          <w:tcPr>
            <w:tcW w:w="60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Current liabilities:</w:t>
            </w:r>
          </w:p>
        </w:tc>
        <w:tc>
          <w:tcPr>
            <w:tcW w:w="140" w:type="dxa"/>
            <w:vAlign w:val="bottom"/>
            <w:shd w:val="clear" w:color="auto" w:fill="CCEEFF"/>
          </w:tcPr>
          <w:p>
            <w:pPr>
              <w:spacing w:after="0"/>
              <w:rPr>
                <w:sz w:val="21"/>
                <w:szCs w:val="21"/>
                <w:color w:val="auto"/>
              </w:rPr>
            </w:pPr>
          </w:p>
        </w:tc>
        <w:tc>
          <w:tcPr>
            <w:tcW w:w="940" w:type="dxa"/>
            <w:vAlign w:val="bottom"/>
            <w:shd w:val="clear" w:color="auto" w:fill="CCEEFF"/>
          </w:tcPr>
          <w:p>
            <w:pPr>
              <w:spacing w:after="0"/>
              <w:rPr>
                <w:sz w:val="21"/>
                <w:szCs w:val="21"/>
                <w:color w:val="auto"/>
              </w:rPr>
            </w:pPr>
          </w:p>
        </w:tc>
        <w:tc>
          <w:tcPr>
            <w:tcW w:w="100" w:type="dxa"/>
            <w:vAlign w:val="bottom"/>
            <w:shd w:val="clear" w:color="auto" w:fill="CCEEFF"/>
          </w:tcPr>
          <w:p>
            <w:pPr>
              <w:spacing w:after="0"/>
              <w:rPr>
                <w:sz w:val="21"/>
                <w:szCs w:val="21"/>
                <w:color w:val="auto"/>
              </w:rPr>
            </w:pPr>
          </w:p>
        </w:tc>
        <w:tc>
          <w:tcPr>
            <w:tcW w:w="100" w:type="dxa"/>
            <w:vAlign w:val="bottom"/>
            <w:shd w:val="clear" w:color="auto" w:fill="CCEEFF"/>
          </w:tcPr>
          <w:p>
            <w:pPr>
              <w:spacing w:after="0"/>
              <w:rPr>
                <w:sz w:val="21"/>
                <w:szCs w:val="21"/>
                <w:color w:val="auto"/>
              </w:rPr>
            </w:pPr>
          </w:p>
        </w:tc>
        <w:tc>
          <w:tcPr>
            <w:tcW w:w="100" w:type="dxa"/>
            <w:vAlign w:val="bottom"/>
            <w:shd w:val="clear" w:color="auto" w:fill="CCEEFF"/>
          </w:tcPr>
          <w:p>
            <w:pPr>
              <w:spacing w:after="0"/>
              <w:rPr>
                <w:sz w:val="21"/>
                <w:szCs w:val="21"/>
                <w:color w:val="auto"/>
              </w:rPr>
            </w:pPr>
          </w:p>
        </w:tc>
        <w:tc>
          <w:tcPr>
            <w:tcW w:w="980" w:type="dxa"/>
            <w:vAlign w:val="bottom"/>
            <w:shd w:val="clear" w:color="auto" w:fill="CCEEFF"/>
          </w:tcPr>
          <w:p>
            <w:pPr>
              <w:spacing w:after="0"/>
              <w:rPr>
                <w:sz w:val="21"/>
                <w:szCs w:val="21"/>
                <w:color w:val="auto"/>
              </w:rPr>
            </w:pPr>
          </w:p>
        </w:tc>
        <w:tc>
          <w:tcPr>
            <w:tcW w:w="200" w:type="dxa"/>
            <w:vAlign w:val="bottom"/>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6020" w:type="dxa"/>
            <w:vAlign w:val="bottom"/>
          </w:tcPr>
          <w:p>
            <w:pPr>
              <w:ind w:left="100"/>
              <w:spacing w:after="0"/>
              <w:rPr>
                <w:sz w:val="20"/>
                <w:szCs w:val="20"/>
                <w:color w:val="auto"/>
              </w:rPr>
            </w:pPr>
            <w:r>
              <w:rPr>
                <w:rFonts w:ascii="Times New Roman" w:cs="Times New Roman" w:eastAsia="Times New Roman" w:hAnsi="Times New Roman"/>
                <w:sz w:val="18"/>
                <w:szCs w:val="18"/>
                <w:color w:val="auto"/>
              </w:rPr>
              <w:t>Accounts payable</w:t>
            </w:r>
          </w:p>
        </w:tc>
        <w:tc>
          <w:tcPr>
            <w:tcW w:w="140" w:type="dxa"/>
            <w:vAlign w:val="bottom"/>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9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4,364</w:t>
            </w:r>
          </w:p>
        </w:tc>
        <w:tc>
          <w:tcPr>
            <w:tcW w:w="100" w:type="dxa"/>
            <w:vAlign w:val="bottom"/>
          </w:tcPr>
          <w:p>
            <w:pPr>
              <w:spacing w:after="0"/>
              <w:rPr>
                <w:sz w:val="21"/>
                <w:szCs w:val="21"/>
                <w:color w:val="auto"/>
              </w:rPr>
            </w:pPr>
          </w:p>
        </w:tc>
        <w:tc>
          <w:tcPr>
            <w:tcW w:w="20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9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3,782</w:t>
            </w:r>
          </w:p>
        </w:tc>
        <w:tc>
          <w:tcPr>
            <w:tcW w:w="20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6020" w:type="dxa"/>
            <w:vAlign w:val="bottom"/>
            <w:shd w:val="clear" w:color="auto" w:fill="CCEEFF"/>
          </w:tcPr>
          <w:p>
            <w:pPr>
              <w:ind w:left="100"/>
              <w:spacing w:after="0"/>
              <w:rPr>
                <w:sz w:val="20"/>
                <w:szCs w:val="20"/>
                <w:color w:val="auto"/>
              </w:rPr>
            </w:pPr>
            <w:r>
              <w:rPr>
                <w:rFonts w:ascii="Times New Roman" w:cs="Times New Roman" w:eastAsia="Times New Roman" w:hAnsi="Times New Roman"/>
                <w:sz w:val="18"/>
                <w:szCs w:val="18"/>
                <w:color w:val="auto"/>
              </w:rPr>
              <w:t>Accrued expenses</w:t>
            </w:r>
          </w:p>
        </w:tc>
        <w:tc>
          <w:tcPr>
            <w:tcW w:w="140" w:type="dxa"/>
            <w:vAlign w:val="bottom"/>
            <w:shd w:val="clear" w:color="auto" w:fill="CCEEFF"/>
          </w:tcPr>
          <w:p>
            <w:pPr>
              <w:spacing w:after="0"/>
              <w:rPr>
                <w:sz w:val="21"/>
                <w:szCs w:val="21"/>
                <w:color w:val="auto"/>
              </w:rPr>
            </w:pPr>
          </w:p>
        </w:tc>
        <w:tc>
          <w:tcPr>
            <w:tcW w:w="9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8,451</w:t>
            </w:r>
          </w:p>
        </w:tc>
        <w:tc>
          <w:tcPr>
            <w:tcW w:w="100" w:type="dxa"/>
            <w:vAlign w:val="bottom"/>
            <w:shd w:val="clear" w:color="auto" w:fill="CCEEFF"/>
          </w:tcPr>
          <w:p>
            <w:pPr>
              <w:spacing w:after="0"/>
              <w:rPr>
                <w:sz w:val="21"/>
                <w:szCs w:val="21"/>
                <w:color w:val="auto"/>
              </w:rPr>
            </w:pPr>
          </w:p>
        </w:tc>
        <w:tc>
          <w:tcPr>
            <w:tcW w:w="100" w:type="dxa"/>
            <w:vAlign w:val="bottom"/>
            <w:shd w:val="clear" w:color="auto" w:fill="CCEEFF"/>
          </w:tcPr>
          <w:p>
            <w:pPr>
              <w:spacing w:after="0"/>
              <w:rPr>
                <w:sz w:val="21"/>
                <w:szCs w:val="21"/>
                <w:color w:val="auto"/>
              </w:rPr>
            </w:pPr>
          </w:p>
        </w:tc>
        <w:tc>
          <w:tcPr>
            <w:tcW w:w="100" w:type="dxa"/>
            <w:vAlign w:val="bottom"/>
            <w:shd w:val="clear" w:color="auto" w:fill="CCEEFF"/>
          </w:tcPr>
          <w:p>
            <w:pPr>
              <w:spacing w:after="0"/>
              <w:rPr>
                <w:sz w:val="21"/>
                <w:szCs w:val="21"/>
                <w:color w:val="auto"/>
              </w:rPr>
            </w:pPr>
          </w:p>
        </w:tc>
        <w:tc>
          <w:tcPr>
            <w:tcW w:w="9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13,330</w:t>
            </w:r>
          </w:p>
        </w:tc>
        <w:tc>
          <w:tcPr>
            <w:tcW w:w="200" w:type="dxa"/>
            <w:vAlign w:val="bottom"/>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6020" w:type="dxa"/>
            <w:vAlign w:val="bottom"/>
            <w:tcBorders>
              <w:bottom w:val="single" w:sz="8" w:color="CCEEFF"/>
            </w:tcBorders>
          </w:tcPr>
          <w:p>
            <w:pPr>
              <w:ind w:left="100"/>
              <w:spacing w:after="0"/>
              <w:rPr>
                <w:sz w:val="20"/>
                <w:szCs w:val="20"/>
                <w:color w:val="auto"/>
              </w:rPr>
            </w:pPr>
            <w:r>
              <w:rPr>
                <w:rFonts w:ascii="Times New Roman" w:cs="Times New Roman" w:eastAsia="Times New Roman" w:hAnsi="Times New Roman"/>
                <w:sz w:val="18"/>
                <w:szCs w:val="18"/>
                <w:color w:val="auto"/>
              </w:rPr>
              <w:t>Operating lease liabilities</w:t>
            </w:r>
          </w:p>
        </w:tc>
        <w:tc>
          <w:tcPr>
            <w:tcW w:w="140" w:type="dxa"/>
            <w:vAlign w:val="bottom"/>
            <w:tcBorders>
              <w:bottom w:val="single" w:sz="8" w:color="auto"/>
            </w:tcBorders>
          </w:tcPr>
          <w:p>
            <w:pPr>
              <w:spacing w:after="0"/>
              <w:rPr>
                <w:sz w:val="21"/>
                <w:szCs w:val="21"/>
                <w:color w:val="auto"/>
              </w:rPr>
            </w:pPr>
          </w:p>
        </w:tc>
        <w:tc>
          <w:tcPr>
            <w:tcW w:w="9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138</w:t>
            </w:r>
          </w:p>
        </w:tc>
        <w:tc>
          <w:tcPr>
            <w:tcW w:w="100" w:type="dxa"/>
            <w:vAlign w:val="bottom"/>
            <w:tcBorders>
              <w:bottom w:val="single" w:sz="8" w:color="CCEEFF"/>
            </w:tcBorders>
          </w:tcPr>
          <w:p>
            <w:pPr>
              <w:spacing w:after="0"/>
              <w:rPr>
                <w:sz w:val="21"/>
                <w:szCs w:val="21"/>
                <w:color w:val="auto"/>
              </w:rPr>
            </w:pPr>
          </w:p>
        </w:tc>
        <w:tc>
          <w:tcPr>
            <w:tcW w:w="100" w:type="dxa"/>
            <w:vAlign w:val="bottom"/>
            <w:tcBorders>
              <w:bottom w:val="single" w:sz="8" w:color="CCEEFF"/>
            </w:tcBorders>
          </w:tcPr>
          <w:p>
            <w:pPr>
              <w:spacing w:after="0"/>
              <w:rPr>
                <w:sz w:val="21"/>
                <w:szCs w:val="21"/>
                <w:color w:val="auto"/>
              </w:rPr>
            </w:pPr>
          </w:p>
        </w:tc>
        <w:tc>
          <w:tcPr>
            <w:tcW w:w="100" w:type="dxa"/>
            <w:vAlign w:val="bottom"/>
            <w:tcBorders>
              <w:bottom w:val="single" w:sz="8" w:color="auto"/>
            </w:tcBorders>
          </w:tcPr>
          <w:p>
            <w:pPr>
              <w:spacing w:after="0"/>
              <w:rPr>
                <w:sz w:val="21"/>
                <w:szCs w:val="21"/>
                <w:color w:val="auto"/>
              </w:rPr>
            </w:pPr>
          </w:p>
        </w:tc>
        <w:tc>
          <w:tcPr>
            <w:tcW w:w="9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162</w:t>
            </w:r>
          </w:p>
        </w:tc>
        <w:tc>
          <w:tcPr>
            <w:tcW w:w="200" w:type="dxa"/>
            <w:vAlign w:val="bottom"/>
            <w:tcBorders>
              <w:bottom w:val="single" w:sz="8" w:color="CCEEFF"/>
            </w:tcBorders>
          </w:tcPr>
          <w:p>
            <w:pPr>
              <w:spacing w:after="0"/>
              <w:rPr>
                <w:sz w:val="21"/>
                <w:szCs w:val="21"/>
                <w:color w:val="auto"/>
              </w:rPr>
            </w:pPr>
          </w:p>
        </w:tc>
        <w:tc>
          <w:tcPr>
            <w:tcW w:w="0" w:type="dxa"/>
            <w:vAlign w:val="bottom"/>
          </w:tcPr>
          <w:p>
            <w:pPr>
              <w:spacing w:after="0"/>
              <w:rPr>
                <w:sz w:val="1"/>
                <w:szCs w:val="1"/>
                <w:color w:val="auto"/>
              </w:rPr>
            </w:pPr>
          </w:p>
        </w:tc>
      </w:tr>
      <w:tr>
        <w:trPr>
          <w:trHeight w:val="223"/>
        </w:trPr>
        <w:tc>
          <w:tcPr>
            <w:tcW w:w="6020" w:type="dxa"/>
            <w:vAlign w:val="bottom"/>
            <w:shd w:val="clear" w:color="auto" w:fill="CCEEFF"/>
          </w:tcPr>
          <w:p>
            <w:pPr>
              <w:ind w:left="200"/>
              <w:spacing w:after="0"/>
              <w:rPr>
                <w:sz w:val="20"/>
                <w:szCs w:val="20"/>
                <w:color w:val="auto"/>
              </w:rPr>
            </w:pPr>
            <w:r>
              <w:rPr>
                <w:rFonts w:ascii="Times New Roman" w:cs="Times New Roman" w:eastAsia="Times New Roman" w:hAnsi="Times New Roman"/>
                <w:sz w:val="18"/>
                <w:szCs w:val="18"/>
                <w:color w:val="auto"/>
              </w:rPr>
              <w:t>Total current liabilities</w:t>
            </w:r>
          </w:p>
        </w:tc>
        <w:tc>
          <w:tcPr>
            <w:tcW w:w="140" w:type="dxa"/>
            <w:vAlign w:val="bottom"/>
            <w:shd w:val="clear" w:color="auto" w:fill="CCEEFF"/>
          </w:tcPr>
          <w:p>
            <w:pPr>
              <w:spacing w:after="0"/>
              <w:rPr>
                <w:sz w:val="19"/>
                <w:szCs w:val="19"/>
                <w:color w:val="auto"/>
              </w:rPr>
            </w:pPr>
          </w:p>
        </w:tc>
        <w:tc>
          <w:tcPr>
            <w:tcW w:w="9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12,953</w:t>
            </w:r>
          </w:p>
        </w:tc>
        <w:tc>
          <w:tcPr>
            <w:tcW w:w="10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9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17,274</w:t>
            </w:r>
          </w:p>
        </w:tc>
        <w:tc>
          <w:tcPr>
            <w:tcW w:w="20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43"/>
        </w:trPr>
        <w:tc>
          <w:tcPr>
            <w:tcW w:w="6020" w:type="dxa"/>
            <w:vAlign w:val="bottom"/>
          </w:tcPr>
          <w:p>
            <w:pPr>
              <w:spacing w:after="0"/>
              <w:rPr>
                <w:sz w:val="20"/>
                <w:szCs w:val="20"/>
                <w:color w:val="auto"/>
              </w:rPr>
            </w:pPr>
            <w:r>
              <w:rPr>
                <w:rFonts w:ascii="Times New Roman" w:cs="Times New Roman" w:eastAsia="Times New Roman" w:hAnsi="Times New Roman"/>
                <w:sz w:val="18"/>
                <w:szCs w:val="18"/>
                <w:color w:val="auto"/>
              </w:rPr>
              <w:t>Operating lease liabilities, net of current amount</w:t>
            </w:r>
          </w:p>
        </w:tc>
        <w:tc>
          <w:tcPr>
            <w:tcW w:w="140" w:type="dxa"/>
            <w:vAlign w:val="bottom"/>
          </w:tcPr>
          <w:p>
            <w:pPr>
              <w:spacing w:after="0"/>
              <w:rPr>
                <w:sz w:val="21"/>
                <w:szCs w:val="21"/>
                <w:color w:val="auto"/>
              </w:rPr>
            </w:pPr>
          </w:p>
        </w:tc>
        <w:tc>
          <w:tcPr>
            <w:tcW w:w="104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14</w:t>
            </w:r>
          </w:p>
        </w:tc>
        <w:tc>
          <w:tcPr>
            <w:tcW w:w="20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23"/>
        </w:trPr>
        <w:tc>
          <w:tcPr>
            <w:tcW w:w="6020" w:type="dxa"/>
            <w:vAlign w:val="bottom"/>
            <w:tcBorders>
              <w:top w:val="single" w:sz="8" w:color="CCEEFF"/>
            </w:tcBorders>
            <w:shd w:val="clear" w:color="auto" w:fill="CCEEFF"/>
          </w:tcPr>
          <w:p>
            <w:pPr>
              <w:ind w:left="200"/>
              <w:spacing w:after="0"/>
              <w:rPr>
                <w:sz w:val="20"/>
                <w:szCs w:val="20"/>
                <w:color w:val="auto"/>
              </w:rPr>
            </w:pPr>
            <w:r>
              <w:rPr>
                <w:rFonts w:ascii="Times New Roman" w:cs="Times New Roman" w:eastAsia="Times New Roman" w:hAnsi="Times New Roman"/>
                <w:sz w:val="18"/>
                <w:szCs w:val="18"/>
                <w:color w:val="auto"/>
              </w:rPr>
              <w:t>Total liabilities</w:t>
            </w:r>
          </w:p>
        </w:tc>
        <w:tc>
          <w:tcPr>
            <w:tcW w:w="140" w:type="dxa"/>
            <w:vAlign w:val="bottom"/>
            <w:tcBorders>
              <w:top w:val="single" w:sz="8" w:color="auto"/>
              <w:bottom w:val="single" w:sz="8" w:color="auto"/>
            </w:tcBorders>
            <w:shd w:val="clear" w:color="auto" w:fill="CCEEFF"/>
          </w:tcPr>
          <w:p>
            <w:pPr>
              <w:spacing w:after="0"/>
              <w:rPr>
                <w:sz w:val="19"/>
                <w:szCs w:val="19"/>
                <w:color w:val="auto"/>
              </w:rPr>
            </w:pPr>
          </w:p>
        </w:tc>
        <w:tc>
          <w:tcPr>
            <w:tcW w:w="9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12,953</w:t>
            </w:r>
          </w:p>
        </w:tc>
        <w:tc>
          <w:tcPr>
            <w:tcW w:w="100" w:type="dxa"/>
            <w:vAlign w:val="bottom"/>
            <w:tcBorders>
              <w:top w:val="single" w:sz="8" w:color="CCEEFF"/>
            </w:tcBorders>
            <w:shd w:val="clear" w:color="auto" w:fill="CCEEFF"/>
          </w:tcPr>
          <w:p>
            <w:pPr>
              <w:spacing w:after="0"/>
              <w:rPr>
                <w:sz w:val="19"/>
                <w:szCs w:val="19"/>
                <w:color w:val="auto"/>
              </w:rPr>
            </w:pPr>
          </w:p>
        </w:tc>
        <w:tc>
          <w:tcPr>
            <w:tcW w:w="100" w:type="dxa"/>
            <w:vAlign w:val="bottom"/>
            <w:tcBorders>
              <w:top w:val="single" w:sz="8" w:color="CCEEFF"/>
            </w:tcBorders>
            <w:shd w:val="clear" w:color="auto" w:fill="CCEEFF"/>
          </w:tcPr>
          <w:p>
            <w:pPr>
              <w:spacing w:after="0"/>
              <w:rPr>
                <w:sz w:val="19"/>
                <w:szCs w:val="19"/>
                <w:color w:val="auto"/>
              </w:rPr>
            </w:pPr>
          </w:p>
        </w:tc>
        <w:tc>
          <w:tcPr>
            <w:tcW w:w="100" w:type="dxa"/>
            <w:vAlign w:val="bottom"/>
            <w:tcBorders>
              <w:top w:val="single" w:sz="8" w:color="auto"/>
              <w:bottom w:val="single" w:sz="8" w:color="auto"/>
            </w:tcBorders>
            <w:shd w:val="clear" w:color="auto" w:fill="CCEEFF"/>
          </w:tcPr>
          <w:p>
            <w:pPr>
              <w:spacing w:after="0"/>
              <w:rPr>
                <w:sz w:val="19"/>
                <w:szCs w:val="19"/>
                <w:color w:val="auto"/>
              </w:rPr>
            </w:pPr>
          </w:p>
        </w:tc>
        <w:tc>
          <w:tcPr>
            <w:tcW w:w="9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17,288</w:t>
            </w:r>
          </w:p>
        </w:tc>
        <w:tc>
          <w:tcPr>
            <w:tcW w:w="200" w:type="dxa"/>
            <w:vAlign w:val="bottom"/>
            <w:tcBorders>
              <w:top w:val="single" w:sz="8" w:color="CCEEFF"/>
            </w:tcBorders>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37"/>
        </w:trPr>
        <w:tc>
          <w:tcPr>
            <w:tcW w:w="602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9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98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43"/>
        </w:trPr>
        <w:tc>
          <w:tcPr>
            <w:tcW w:w="60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Stockholders’ equity:</w:t>
            </w:r>
          </w:p>
        </w:tc>
        <w:tc>
          <w:tcPr>
            <w:tcW w:w="140" w:type="dxa"/>
            <w:vAlign w:val="bottom"/>
            <w:shd w:val="clear" w:color="auto" w:fill="CCEEFF"/>
          </w:tcPr>
          <w:p>
            <w:pPr>
              <w:spacing w:after="0"/>
              <w:rPr>
                <w:sz w:val="21"/>
                <w:szCs w:val="21"/>
                <w:color w:val="auto"/>
              </w:rPr>
            </w:pPr>
          </w:p>
        </w:tc>
        <w:tc>
          <w:tcPr>
            <w:tcW w:w="940" w:type="dxa"/>
            <w:vAlign w:val="bottom"/>
            <w:shd w:val="clear" w:color="auto" w:fill="CCEEFF"/>
          </w:tcPr>
          <w:p>
            <w:pPr>
              <w:spacing w:after="0"/>
              <w:rPr>
                <w:sz w:val="21"/>
                <w:szCs w:val="21"/>
                <w:color w:val="auto"/>
              </w:rPr>
            </w:pPr>
          </w:p>
        </w:tc>
        <w:tc>
          <w:tcPr>
            <w:tcW w:w="100" w:type="dxa"/>
            <w:vAlign w:val="bottom"/>
            <w:shd w:val="clear" w:color="auto" w:fill="CCEEFF"/>
          </w:tcPr>
          <w:p>
            <w:pPr>
              <w:spacing w:after="0"/>
              <w:rPr>
                <w:sz w:val="21"/>
                <w:szCs w:val="21"/>
                <w:color w:val="auto"/>
              </w:rPr>
            </w:pPr>
          </w:p>
        </w:tc>
        <w:tc>
          <w:tcPr>
            <w:tcW w:w="100" w:type="dxa"/>
            <w:vAlign w:val="bottom"/>
            <w:shd w:val="clear" w:color="auto" w:fill="CCEEFF"/>
          </w:tcPr>
          <w:p>
            <w:pPr>
              <w:spacing w:after="0"/>
              <w:rPr>
                <w:sz w:val="21"/>
                <w:szCs w:val="21"/>
                <w:color w:val="auto"/>
              </w:rPr>
            </w:pPr>
          </w:p>
        </w:tc>
        <w:tc>
          <w:tcPr>
            <w:tcW w:w="100" w:type="dxa"/>
            <w:vAlign w:val="bottom"/>
            <w:shd w:val="clear" w:color="auto" w:fill="CCEEFF"/>
          </w:tcPr>
          <w:p>
            <w:pPr>
              <w:spacing w:after="0"/>
              <w:rPr>
                <w:sz w:val="21"/>
                <w:szCs w:val="21"/>
                <w:color w:val="auto"/>
              </w:rPr>
            </w:pPr>
          </w:p>
        </w:tc>
        <w:tc>
          <w:tcPr>
            <w:tcW w:w="980" w:type="dxa"/>
            <w:vAlign w:val="bottom"/>
            <w:shd w:val="clear" w:color="auto" w:fill="CCEEFF"/>
          </w:tcPr>
          <w:p>
            <w:pPr>
              <w:spacing w:after="0"/>
              <w:rPr>
                <w:sz w:val="21"/>
                <w:szCs w:val="21"/>
                <w:color w:val="auto"/>
              </w:rPr>
            </w:pPr>
          </w:p>
        </w:tc>
        <w:tc>
          <w:tcPr>
            <w:tcW w:w="200" w:type="dxa"/>
            <w:vAlign w:val="bottom"/>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198"/>
        </w:trPr>
        <w:tc>
          <w:tcPr>
            <w:tcW w:w="6020" w:type="dxa"/>
            <w:vAlign w:val="bottom"/>
          </w:tcPr>
          <w:p>
            <w:pPr>
              <w:ind w:left="100"/>
              <w:spacing w:after="0" w:line="198" w:lineRule="exact"/>
              <w:rPr>
                <w:sz w:val="20"/>
                <w:szCs w:val="20"/>
                <w:color w:val="auto"/>
              </w:rPr>
            </w:pPr>
            <w:r>
              <w:rPr>
                <w:rFonts w:ascii="Times New Roman" w:cs="Times New Roman" w:eastAsia="Times New Roman" w:hAnsi="Times New Roman"/>
                <w:sz w:val="18"/>
                <w:szCs w:val="18"/>
                <w:color w:val="auto"/>
              </w:rPr>
              <w:t>Preferred stock $0.0001 par value, 10,000,000 shares authorized; no shares</w:t>
            </w:r>
          </w:p>
        </w:tc>
        <w:tc>
          <w:tcPr>
            <w:tcW w:w="140" w:type="dxa"/>
            <w:vAlign w:val="bottom"/>
          </w:tcPr>
          <w:p>
            <w:pPr>
              <w:spacing w:after="0"/>
              <w:rPr>
                <w:sz w:val="17"/>
                <w:szCs w:val="17"/>
                <w:color w:val="auto"/>
              </w:rPr>
            </w:pPr>
          </w:p>
        </w:tc>
        <w:tc>
          <w:tcPr>
            <w:tcW w:w="9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98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34"/>
        </w:trPr>
        <w:tc>
          <w:tcPr>
            <w:tcW w:w="6020" w:type="dxa"/>
            <w:vAlign w:val="bottom"/>
          </w:tcPr>
          <w:p>
            <w:pPr>
              <w:ind w:left="100"/>
              <w:spacing w:after="0"/>
              <w:rPr>
                <w:sz w:val="20"/>
                <w:szCs w:val="20"/>
                <w:color w:val="auto"/>
              </w:rPr>
            </w:pPr>
            <w:r>
              <w:rPr>
                <w:rFonts w:ascii="Times New Roman" w:cs="Times New Roman" w:eastAsia="Times New Roman" w:hAnsi="Times New Roman"/>
                <w:sz w:val="18"/>
                <w:szCs w:val="18"/>
                <w:color w:val="auto"/>
              </w:rPr>
              <w:t>issued and outstanding</w:t>
            </w:r>
          </w:p>
        </w:tc>
        <w:tc>
          <w:tcPr>
            <w:tcW w:w="140" w:type="dxa"/>
            <w:vAlign w:val="bottom"/>
          </w:tcPr>
          <w:p>
            <w:pPr>
              <w:spacing w:after="0"/>
              <w:rPr>
                <w:sz w:val="20"/>
                <w:szCs w:val="20"/>
                <w:color w:val="auto"/>
              </w:rPr>
            </w:pPr>
          </w:p>
        </w:tc>
        <w:tc>
          <w:tcPr>
            <w:tcW w:w="104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180" w:type="dxa"/>
            <w:vAlign w:val="bottom"/>
            <w:gridSpan w:val="2"/>
          </w:tcPr>
          <w:p>
            <w:pPr>
              <w:jc w:val="right"/>
              <w:ind w:right="260"/>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198"/>
        </w:trPr>
        <w:tc>
          <w:tcPr>
            <w:tcW w:w="6020" w:type="dxa"/>
            <w:vAlign w:val="bottom"/>
            <w:shd w:val="clear" w:color="auto" w:fill="CCEEFF"/>
          </w:tcPr>
          <w:p>
            <w:pPr>
              <w:ind w:left="100"/>
              <w:spacing w:after="0" w:line="198" w:lineRule="exact"/>
              <w:rPr>
                <w:sz w:val="20"/>
                <w:szCs w:val="20"/>
                <w:color w:val="auto"/>
              </w:rPr>
            </w:pPr>
            <w:r>
              <w:rPr>
                <w:rFonts w:ascii="Times New Roman" w:cs="Times New Roman" w:eastAsia="Times New Roman" w:hAnsi="Times New Roman"/>
                <w:sz w:val="18"/>
                <w:szCs w:val="18"/>
                <w:color w:val="auto"/>
              </w:rPr>
              <w:t>Common stock $0.0001 par value, 200,000,000 shares authorized; 34,040,996</w:t>
            </w:r>
          </w:p>
        </w:tc>
        <w:tc>
          <w:tcPr>
            <w:tcW w:w="140" w:type="dxa"/>
            <w:vAlign w:val="bottom"/>
            <w:shd w:val="clear" w:color="auto" w:fill="CCEEFF"/>
          </w:tcPr>
          <w:p>
            <w:pPr>
              <w:spacing w:after="0"/>
              <w:rPr>
                <w:sz w:val="17"/>
                <w:szCs w:val="17"/>
                <w:color w:val="auto"/>
              </w:rPr>
            </w:pPr>
          </w:p>
        </w:tc>
        <w:tc>
          <w:tcPr>
            <w:tcW w:w="94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98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6020" w:type="dxa"/>
            <w:vAlign w:val="bottom"/>
            <w:shd w:val="clear" w:color="auto" w:fill="CCEEFF"/>
          </w:tcPr>
          <w:p>
            <w:pPr>
              <w:ind w:left="100"/>
              <w:spacing w:after="0"/>
              <w:rPr>
                <w:sz w:val="20"/>
                <w:szCs w:val="20"/>
                <w:color w:val="auto"/>
              </w:rPr>
            </w:pPr>
            <w:r>
              <w:rPr>
                <w:rFonts w:ascii="Times New Roman" w:cs="Times New Roman" w:eastAsia="Times New Roman" w:hAnsi="Times New Roman"/>
                <w:sz w:val="18"/>
                <w:szCs w:val="18"/>
                <w:color w:val="auto"/>
              </w:rPr>
              <w:t>and 33,706,765 shares issued and outstanding at March 31, 2025 and</w:t>
            </w:r>
          </w:p>
        </w:tc>
        <w:tc>
          <w:tcPr>
            <w:tcW w:w="140" w:type="dxa"/>
            <w:vAlign w:val="bottom"/>
            <w:shd w:val="clear" w:color="auto" w:fill="CCEEFF"/>
          </w:tcPr>
          <w:p>
            <w:pPr>
              <w:spacing w:after="0"/>
              <w:rPr>
                <w:sz w:val="18"/>
                <w:szCs w:val="18"/>
                <w:color w:val="auto"/>
              </w:rPr>
            </w:pPr>
          </w:p>
        </w:tc>
        <w:tc>
          <w:tcPr>
            <w:tcW w:w="9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8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34"/>
        </w:trPr>
        <w:tc>
          <w:tcPr>
            <w:tcW w:w="6020" w:type="dxa"/>
            <w:vAlign w:val="bottom"/>
            <w:shd w:val="clear" w:color="auto" w:fill="CCEEFF"/>
          </w:tcPr>
          <w:p>
            <w:pPr>
              <w:ind w:left="100"/>
              <w:spacing w:after="0"/>
              <w:rPr>
                <w:sz w:val="20"/>
                <w:szCs w:val="20"/>
                <w:color w:val="auto"/>
              </w:rPr>
            </w:pPr>
            <w:r>
              <w:rPr>
                <w:rFonts w:ascii="Times New Roman" w:cs="Times New Roman" w:eastAsia="Times New Roman" w:hAnsi="Times New Roman"/>
                <w:sz w:val="18"/>
                <w:szCs w:val="18"/>
                <w:color w:val="auto"/>
              </w:rPr>
              <w:t>December 31, 2024, respectively</w:t>
            </w:r>
          </w:p>
        </w:tc>
        <w:tc>
          <w:tcPr>
            <w:tcW w:w="140" w:type="dxa"/>
            <w:vAlign w:val="bottom"/>
            <w:shd w:val="clear" w:color="auto" w:fill="CCEEFF"/>
          </w:tcPr>
          <w:p>
            <w:pPr>
              <w:spacing w:after="0"/>
              <w:rPr>
                <w:sz w:val="20"/>
                <w:szCs w:val="20"/>
                <w:color w:val="auto"/>
              </w:rPr>
            </w:pPr>
          </w:p>
        </w:tc>
        <w:tc>
          <w:tcPr>
            <w:tcW w:w="9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w:t>
            </w:r>
          </w:p>
        </w:tc>
        <w:tc>
          <w:tcPr>
            <w:tcW w:w="10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9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w:t>
            </w:r>
          </w:p>
        </w:tc>
        <w:tc>
          <w:tcPr>
            <w:tcW w:w="200" w:type="dxa"/>
            <w:vAlign w:val="bottom"/>
            <w:shd w:val="clear" w:color="auto" w:fill="CCEEFF"/>
          </w:tcPr>
          <w:p>
            <w:pPr>
              <w:spacing w:after="0"/>
              <w:rPr>
                <w:sz w:val="20"/>
                <w:szCs w:val="20"/>
                <w:color w:val="auto"/>
              </w:rPr>
            </w:pPr>
          </w:p>
        </w:tc>
        <w:tc>
          <w:tcPr>
            <w:tcW w:w="0" w:type="dxa"/>
            <w:vAlign w:val="bottom"/>
          </w:tcPr>
          <w:p>
            <w:pPr>
              <w:spacing w:after="0"/>
              <w:rPr>
                <w:sz w:val="1"/>
                <w:szCs w:val="1"/>
                <w:color w:val="auto"/>
              </w:rPr>
            </w:pPr>
          </w:p>
        </w:tc>
      </w:tr>
      <w:tr>
        <w:trPr>
          <w:trHeight w:val="243"/>
        </w:trPr>
        <w:tc>
          <w:tcPr>
            <w:tcW w:w="6020" w:type="dxa"/>
            <w:vAlign w:val="bottom"/>
          </w:tcPr>
          <w:p>
            <w:pPr>
              <w:ind w:left="100"/>
              <w:spacing w:after="0"/>
              <w:rPr>
                <w:sz w:val="20"/>
                <w:szCs w:val="20"/>
                <w:color w:val="auto"/>
              </w:rPr>
            </w:pPr>
            <w:r>
              <w:rPr>
                <w:rFonts w:ascii="Times New Roman" w:cs="Times New Roman" w:eastAsia="Times New Roman" w:hAnsi="Times New Roman"/>
                <w:sz w:val="18"/>
                <w:szCs w:val="18"/>
                <w:color w:val="auto"/>
              </w:rPr>
              <w:t>Additional paid-in capital</w:t>
            </w:r>
          </w:p>
        </w:tc>
        <w:tc>
          <w:tcPr>
            <w:tcW w:w="140" w:type="dxa"/>
            <w:vAlign w:val="bottom"/>
          </w:tcPr>
          <w:p>
            <w:pPr>
              <w:spacing w:after="0"/>
              <w:rPr>
                <w:sz w:val="21"/>
                <w:szCs w:val="21"/>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505,275</w:t>
            </w:r>
          </w:p>
        </w:tc>
        <w:tc>
          <w:tcPr>
            <w:tcW w:w="10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496,195</w:t>
            </w:r>
          </w:p>
        </w:tc>
        <w:tc>
          <w:tcPr>
            <w:tcW w:w="20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6020" w:type="dxa"/>
            <w:vAlign w:val="bottom"/>
            <w:shd w:val="clear" w:color="auto" w:fill="CCEEFF"/>
          </w:tcPr>
          <w:p>
            <w:pPr>
              <w:ind w:left="100"/>
              <w:spacing w:after="0"/>
              <w:rPr>
                <w:sz w:val="20"/>
                <w:szCs w:val="20"/>
                <w:color w:val="auto"/>
              </w:rPr>
            </w:pPr>
            <w:r>
              <w:rPr>
                <w:rFonts w:ascii="Times New Roman" w:cs="Times New Roman" w:eastAsia="Times New Roman" w:hAnsi="Times New Roman"/>
                <w:sz w:val="18"/>
                <w:szCs w:val="18"/>
                <w:color w:val="auto"/>
              </w:rPr>
              <w:t>Accumulated deficit</w:t>
            </w:r>
          </w:p>
        </w:tc>
        <w:tc>
          <w:tcPr>
            <w:tcW w:w="140" w:type="dxa"/>
            <w:vAlign w:val="bottom"/>
            <w:shd w:val="clear" w:color="auto" w:fill="CCEEFF"/>
          </w:tcPr>
          <w:p>
            <w:pPr>
              <w:spacing w:after="0"/>
              <w:rPr>
                <w:sz w:val="21"/>
                <w:szCs w:val="21"/>
                <w:color w:val="auto"/>
              </w:rPr>
            </w:pPr>
          </w:p>
        </w:tc>
        <w:tc>
          <w:tcPr>
            <w:tcW w:w="104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(302,720)</w:t>
            </w:r>
          </w:p>
        </w:tc>
        <w:tc>
          <w:tcPr>
            <w:tcW w:w="100" w:type="dxa"/>
            <w:vAlign w:val="bottom"/>
            <w:shd w:val="clear" w:color="auto" w:fill="CCEEFF"/>
          </w:tcPr>
          <w:p>
            <w:pPr>
              <w:spacing w:after="0"/>
              <w:rPr>
                <w:sz w:val="21"/>
                <w:szCs w:val="21"/>
                <w:color w:val="auto"/>
              </w:rPr>
            </w:pPr>
          </w:p>
        </w:tc>
        <w:tc>
          <w:tcPr>
            <w:tcW w:w="100" w:type="dxa"/>
            <w:vAlign w:val="bottom"/>
            <w:shd w:val="clear" w:color="auto" w:fill="CCEEFF"/>
          </w:tcPr>
          <w:p>
            <w:pPr>
              <w:spacing w:after="0"/>
              <w:rPr>
                <w:sz w:val="21"/>
                <w:szCs w:val="21"/>
                <w:color w:val="auto"/>
              </w:rPr>
            </w:pPr>
          </w:p>
        </w:tc>
        <w:tc>
          <w:tcPr>
            <w:tcW w:w="1180" w:type="dxa"/>
            <w:vAlign w:val="bottom"/>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8"/>
                <w:szCs w:val="18"/>
                <w:color w:val="auto"/>
              </w:rPr>
              <w:t>(238,333)</w:t>
            </w:r>
          </w:p>
        </w:tc>
        <w:tc>
          <w:tcPr>
            <w:tcW w:w="0" w:type="dxa"/>
            <w:vAlign w:val="bottom"/>
          </w:tcPr>
          <w:p>
            <w:pPr>
              <w:spacing w:after="0"/>
              <w:rPr>
                <w:sz w:val="1"/>
                <w:szCs w:val="1"/>
                <w:color w:val="auto"/>
              </w:rPr>
            </w:pPr>
          </w:p>
        </w:tc>
      </w:tr>
      <w:tr>
        <w:trPr>
          <w:trHeight w:val="20"/>
        </w:trPr>
        <w:tc>
          <w:tcPr>
            <w:tcW w:w="6020" w:type="dxa"/>
            <w:vAlign w:val="bottom"/>
            <w:vMerge w:val="restart"/>
          </w:tcPr>
          <w:p>
            <w:pPr>
              <w:ind w:left="100"/>
              <w:spacing w:after="0"/>
              <w:rPr>
                <w:sz w:val="20"/>
                <w:szCs w:val="20"/>
                <w:color w:val="auto"/>
              </w:rPr>
            </w:pPr>
            <w:r>
              <w:rPr>
                <w:rFonts w:ascii="Times New Roman" w:cs="Times New Roman" w:eastAsia="Times New Roman" w:hAnsi="Times New Roman"/>
                <w:sz w:val="18"/>
                <w:szCs w:val="18"/>
                <w:color w:val="auto"/>
              </w:rPr>
              <w:t>Accumulated other comprehensive loss</w:t>
            </w:r>
          </w:p>
        </w:tc>
        <w:tc>
          <w:tcPr>
            <w:tcW w:w="140" w:type="dxa"/>
            <w:vAlign w:val="bottom"/>
            <w:shd w:val="clear" w:color="auto" w:fill="000000"/>
          </w:tcPr>
          <w:p>
            <w:pPr>
              <w:spacing w:after="0" w:line="20" w:lineRule="exact"/>
              <w:rPr>
                <w:sz w:val="1"/>
                <w:szCs w:val="1"/>
                <w:color w:val="auto"/>
              </w:rPr>
            </w:pPr>
          </w:p>
        </w:tc>
        <w:tc>
          <w:tcPr>
            <w:tcW w:w="94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980" w:type="dxa"/>
            <w:vAlign w:val="bottom"/>
            <w:shd w:val="clear" w:color="auto" w:fill="000000"/>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37"/>
        </w:trPr>
        <w:tc>
          <w:tcPr>
            <w:tcW w:w="6020" w:type="dxa"/>
            <w:vAlign w:val="bottom"/>
            <w:vMerge w:val="continue"/>
          </w:tcPr>
          <w:p>
            <w:pPr>
              <w:spacing w:after="0"/>
              <w:rPr>
                <w:sz w:val="20"/>
                <w:szCs w:val="20"/>
                <w:color w:val="auto"/>
              </w:rPr>
            </w:pPr>
          </w:p>
        </w:tc>
        <w:tc>
          <w:tcPr>
            <w:tcW w:w="140" w:type="dxa"/>
            <w:vAlign w:val="bottom"/>
          </w:tcPr>
          <w:p>
            <w:pPr>
              <w:spacing w:after="0"/>
              <w:rPr>
                <w:sz w:val="20"/>
                <w:szCs w:val="20"/>
                <w:color w:val="auto"/>
              </w:rPr>
            </w:pPr>
          </w:p>
        </w:tc>
        <w:tc>
          <w:tcPr>
            <w:tcW w:w="104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(17)</w:t>
            </w:r>
          </w:p>
        </w:tc>
        <w:tc>
          <w:tcPr>
            <w:tcW w:w="1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180" w:type="dxa"/>
            <w:vAlign w:val="bottom"/>
            <w:gridSpan w:val="2"/>
          </w:tcPr>
          <w:p>
            <w:pPr>
              <w:jc w:val="right"/>
              <w:ind w:right="200"/>
              <w:spacing w:after="0"/>
              <w:rPr>
                <w:sz w:val="20"/>
                <w:szCs w:val="20"/>
                <w:color w:val="auto"/>
              </w:rPr>
            </w:pPr>
            <w:r>
              <w:rPr>
                <w:rFonts w:ascii="Times New Roman" w:cs="Times New Roman" w:eastAsia="Times New Roman" w:hAnsi="Times New Roman"/>
                <w:sz w:val="18"/>
                <w:szCs w:val="18"/>
                <w:color w:val="auto"/>
              </w:rPr>
              <w:t>(211)</w:t>
            </w:r>
          </w:p>
        </w:tc>
        <w:tc>
          <w:tcPr>
            <w:tcW w:w="0" w:type="dxa"/>
            <w:vAlign w:val="bottom"/>
          </w:tcPr>
          <w:p>
            <w:pPr>
              <w:spacing w:after="0"/>
              <w:rPr>
                <w:sz w:val="1"/>
                <w:szCs w:val="1"/>
                <w:color w:val="auto"/>
              </w:rPr>
            </w:pPr>
          </w:p>
        </w:tc>
      </w:tr>
      <w:tr>
        <w:trPr>
          <w:trHeight w:val="223"/>
        </w:trPr>
        <w:tc>
          <w:tcPr>
            <w:tcW w:w="6020" w:type="dxa"/>
            <w:vAlign w:val="bottom"/>
            <w:tcBorders>
              <w:top w:val="single" w:sz="8" w:color="CCEEFF"/>
            </w:tcBorders>
            <w:shd w:val="clear" w:color="auto" w:fill="CCEEFF"/>
          </w:tcPr>
          <w:p>
            <w:pPr>
              <w:ind w:left="200"/>
              <w:spacing w:after="0"/>
              <w:rPr>
                <w:sz w:val="20"/>
                <w:szCs w:val="20"/>
                <w:color w:val="auto"/>
              </w:rPr>
            </w:pPr>
            <w:r>
              <w:rPr>
                <w:rFonts w:ascii="Times New Roman" w:cs="Times New Roman" w:eastAsia="Times New Roman" w:hAnsi="Times New Roman"/>
                <w:sz w:val="18"/>
                <w:szCs w:val="18"/>
                <w:color w:val="auto"/>
              </w:rPr>
              <w:t>Total stockholders’ equity</w:t>
            </w:r>
          </w:p>
        </w:tc>
        <w:tc>
          <w:tcPr>
            <w:tcW w:w="140" w:type="dxa"/>
            <w:vAlign w:val="bottom"/>
            <w:tcBorders>
              <w:top w:val="single" w:sz="8" w:color="auto"/>
              <w:bottom w:val="single" w:sz="8" w:color="auto"/>
            </w:tcBorders>
            <w:shd w:val="clear" w:color="auto" w:fill="CCEEFF"/>
          </w:tcPr>
          <w:p>
            <w:pPr>
              <w:spacing w:after="0"/>
              <w:rPr>
                <w:sz w:val="19"/>
                <w:szCs w:val="19"/>
                <w:color w:val="auto"/>
              </w:rPr>
            </w:pPr>
          </w:p>
        </w:tc>
        <w:tc>
          <w:tcPr>
            <w:tcW w:w="9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202,542</w:t>
            </w:r>
          </w:p>
        </w:tc>
        <w:tc>
          <w:tcPr>
            <w:tcW w:w="100" w:type="dxa"/>
            <w:vAlign w:val="bottom"/>
            <w:tcBorders>
              <w:top w:val="single" w:sz="8" w:color="CCEEFF"/>
            </w:tcBorders>
            <w:shd w:val="clear" w:color="auto" w:fill="CCEEFF"/>
          </w:tcPr>
          <w:p>
            <w:pPr>
              <w:spacing w:after="0"/>
              <w:rPr>
                <w:sz w:val="19"/>
                <w:szCs w:val="19"/>
                <w:color w:val="auto"/>
              </w:rPr>
            </w:pPr>
          </w:p>
        </w:tc>
        <w:tc>
          <w:tcPr>
            <w:tcW w:w="100" w:type="dxa"/>
            <w:vAlign w:val="bottom"/>
            <w:tcBorders>
              <w:top w:val="single" w:sz="8" w:color="CCEEFF"/>
            </w:tcBorders>
            <w:shd w:val="clear" w:color="auto" w:fill="CCEEFF"/>
          </w:tcPr>
          <w:p>
            <w:pPr>
              <w:spacing w:after="0"/>
              <w:rPr>
                <w:sz w:val="19"/>
                <w:szCs w:val="19"/>
                <w:color w:val="auto"/>
              </w:rPr>
            </w:pPr>
          </w:p>
        </w:tc>
        <w:tc>
          <w:tcPr>
            <w:tcW w:w="100" w:type="dxa"/>
            <w:vAlign w:val="bottom"/>
            <w:tcBorders>
              <w:top w:val="single" w:sz="8" w:color="auto"/>
              <w:bottom w:val="single" w:sz="8" w:color="auto"/>
            </w:tcBorders>
            <w:shd w:val="clear" w:color="auto" w:fill="CCEEFF"/>
          </w:tcPr>
          <w:p>
            <w:pPr>
              <w:spacing w:after="0"/>
              <w:rPr>
                <w:sz w:val="19"/>
                <w:szCs w:val="19"/>
                <w:color w:val="auto"/>
              </w:rPr>
            </w:pPr>
          </w:p>
        </w:tc>
        <w:tc>
          <w:tcPr>
            <w:tcW w:w="9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257,654</w:t>
            </w:r>
          </w:p>
        </w:tc>
        <w:tc>
          <w:tcPr>
            <w:tcW w:w="200" w:type="dxa"/>
            <w:vAlign w:val="bottom"/>
            <w:tcBorders>
              <w:top w:val="single" w:sz="8" w:color="CCEEFF"/>
            </w:tcBorders>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10"/>
        </w:trPr>
        <w:tc>
          <w:tcPr>
            <w:tcW w:w="6020" w:type="dxa"/>
            <w:vAlign w:val="bottom"/>
          </w:tcPr>
          <w:p>
            <w:pPr>
              <w:ind w:left="200"/>
              <w:spacing w:after="0"/>
              <w:rPr>
                <w:sz w:val="20"/>
                <w:szCs w:val="20"/>
                <w:color w:val="auto"/>
              </w:rPr>
            </w:pPr>
            <w:r>
              <w:rPr>
                <w:rFonts w:ascii="Times New Roman" w:cs="Times New Roman" w:eastAsia="Times New Roman" w:hAnsi="Times New Roman"/>
                <w:sz w:val="18"/>
                <w:szCs w:val="18"/>
                <w:color w:val="auto"/>
              </w:rPr>
              <w:t>Total liabilities and stockholders’ equity</w:t>
            </w:r>
          </w:p>
        </w:tc>
        <w:tc>
          <w:tcPr>
            <w:tcW w:w="1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9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215,495</w:t>
            </w: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9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274,942</w:t>
            </w:r>
          </w:p>
        </w:tc>
        <w:tc>
          <w:tcPr>
            <w:tcW w:w="2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602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784"/>
        </w:trPr>
        <w:tc>
          <w:tcPr>
            <w:tcW w:w="6020" w:type="dxa"/>
            <w:vAlign w:val="bottom"/>
            <w:tcBorders>
              <w:bottom w:val="single" w:sz="8" w:color="auto"/>
            </w:tcBorders>
          </w:tcPr>
          <w:p>
            <w:pPr>
              <w:spacing w:after="0"/>
              <w:rPr>
                <w:sz w:val="24"/>
                <w:szCs w:val="24"/>
                <w:color w:val="auto"/>
              </w:rPr>
            </w:pPr>
          </w:p>
        </w:tc>
        <w:tc>
          <w:tcPr>
            <w:tcW w:w="140" w:type="dxa"/>
            <w:vAlign w:val="bottom"/>
            <w:tcBorders>
              <w:bottom w:val="single" w:sz="8" w:color="auto"/>
            </w:tcBorders>
          </w:tcPr>
          <w:p>
            <w:pPr>
              <w:spacing w:after="0"/>
              <w:rPr>
                <w:sz w:val="24"/>
                <w:szCs w:val="24"/>
                <w:color w:val="auto"/>
              </w:rPr>
            </w:pPr>
          </w:p>
        </w:tc>
        <w:tc>
          <w:tcPr>
            <w:tcW w:w="94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980" w:type="dxa"/>
            <w:vAlign w:val="bottom"/>
            <w:tcBorders>
              <w:bottom w:val="single" w:sz="8" w:color="auto"/>
            </w:tcBorders>
          </w:tcPr>
          <w:p>
            <w:pPr>
              <w:spacing w:after="0"/>
              <w:rPr>
                <w:sz w:val="24"/>
                <w:szCs w:val="24"/>
                <w:color w:val="auto"/>
              </w:rPr>
            </w:pPr>
          </w:p>
        </w:tc>
        <w:tc>
          <w:tcPr>
            <w:tcW w:w="200" w:type="dxa"/>
            <w:vAlign w:val="bottom"/>
            <w:tcBorders>
              <w:bottom w:val="single" w:sz="8" w:color="auto"/>
            </w:tcBorders>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9019"/>
          </w:cols>
          <w:pgMar w:left="1440" w:top="917" w:right="1440" w:bottom="1440" w:gutter="0" w:footer="0" w:header="0"/>
        </w:sectPr>
      </w:pPr>
    </w:p>
    <w:bookmarkStart w:id="8" w:name="page9"/>
    <w:bookmarkEnd w:id="8"/>
    <w:p>
      <w:pPr>
        <w:jc w:val="center"/>
        <w:ind w:right="19"/>
        <w:spacing w:after="0"/>
        <w:rPr>
          <w:sz w:val="20"/>
          <w:szCs w:val="20"/>
          <w:color w:val="auto"/>
        </w:rPr>
      </w:pPr>
      <w:r>
        <w:rPr>
          <w:rFonts w:ascii="Arial" w:cs="Arial" w:eastAsia="Arial" w:hAnsi="Arial"/>
          <w:sz w:val="18"/>
          <w:szCs w:val="18"/>
          <w:b w:val="1"/>
          <w:bCs w:val="1"/>
          <w:color w:val="auto"/>
        </w:rPr>
        <w:t>ARRIVENT BIOPHARMA, INC.</w:t>
      </w:r>
    </w:p>
    <w:p>
      <w:pPr>
        <w:spacing w:after="0" w:line="225" w:lineRule="exact"/>
        <w:rPr>
          <w:sz w:val="20"/>
          <w:szCs w:val="20"/>
          <w:color w:val="auto"/>
        </w:rPr>
      </w:pPr>
    </w:p>
    <w:p>
      <w:pPr>
        <w:jc w:val="center"/>
        <w:ind w:left="1240" w:right="1259"/>
        <w:spacing w:after="0" w:line="284" w:lineRule="auto"/>
        <w:rPr>
          <w:sz w:val="20"/>
          <w:szCs w:val="20"/>
          <w:color w:val="auto"/>
        </w:rPr>
      </w:pPr>
      <w:r>
        <w:rPr>
          <w:rFonts w:ascii="Arial" w:cs="Arial" w:eastAsia="Arial" w:hAnsi="Arial"/>
          <w:sz w:val="18"/>
          <w:szCs w:val="18"/>
          <w:b w:val="1"/>
          <w:bCs w:val="1"/>
          <w:color w:val="auto"/>
        </w:rPr>
        <w:t>CONDENSED STATEMENTS OF OPERATIONS AND COMPREHENSIVE LOSS (in thousands, except share and per share data) (Unaudited)</w:t>
      </w:r>
    </w:p>
    <w:p>
      <w:pPr>
        <w:sectPr>
          <w:pgSz w:w="11900" w:h="16838" w:orient="portrait"/>
          <w:cols w:equalWidth="0" w:num="1">
            <w:col w:w="9019"/>
          </w:cols>
          <w:pgMar w:left="1440" w:top="917" w:right="1440"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3" w:lineRule="exact"/>
        <w:rPr>
          <w:sz w:val="20"/>
          <w:szCs w:val="20"/>
          <w:color w:val="auto"/>
        </w:rPr>
      </w:pPr>
    </w:p>
    <w:p>
      <w:pPr>
        <w:ind w:left="220"/>
        <w:spacing w:after="0"/>
        <w:rPr>
          <w:sz w:val="20"/>
          <w:szCs w:val="20"/>
          <w:color w:val="auto"/>
        </w:rPr>
      </w:pPr>
      <w:r>
        <w:rPr>
          <w:rFonts w:ascii="Times New Roman" w:cs="Times New Roman" w:eastAsia="Times New Roman" w:hAnsi="Times New Roman"/>
          <w:sz w:val="18"/>
          <w:szCs w:val="18"/>
          <w:color w:val="auto"/>
        </w:rPr>
        <w:t>Operating expenses: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133985</wp:posOffset>
            </wp:positionH>
            <wp:positionV relativeFrom="paragraph">
              <wp:posOffset>-119380</wp:posOffset>
            </wp:positionV>
            <wp:extent cx="5452110" cy="16319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5452110" cy="163195"/>
                    </a:xfrm>
                    <a:prstGeom prst="rect">
                      <a:avLst/>
                    </a:prstGeom>
                    <a:noFill/>
                  </pic:spPr>
                </pic:pic>
              </a:graphicData>
            </a:graphic>
          </wp:anchor>
        </w:drawing>
      </w:r>
    </w:p>
    <w:p>
      <w:pPr>
        <w:spacing w:after="0" w:line="30" w:lineRule="exact"/>
        <w:rPr>
          <w:sz w:val="20"/>
          <w:szCs w:val="20"/>
          <w:color w:val="auto"/>
        </w:rPr>
      </w:pPr>
    </w:p>
    <w:p>
      <w:pPr>
        <w:ind w:left="320"/>
        <w:spacing w:after="0"/>
        <w:rPr>
          <w:sz w:val="20"/>
          <w:szCs w:val="20"/>
          <w:color w:val="auto"/>
        </w:rPr>
      </w:pPr>
      <w:r>
        <w:rPr>
          <w:rFonts w:ascii="Times New Roman" w:cs="Times New Roman" w:eastAsia="Times New Roman" w:hAnsi="Times New Roman"/>
          <w:sz w:val="18"/>
          <w:szCs w:val="18"/>
          <w:color w:val="auto"/>
        </w:rPr>
        <w:t>Research and development</w:t>
      </w:r>
    </w:p>
    <w:p>
      <w:pPr>
        <w:spacing w:after="0" w:line="36" w:lineRule="exact"/>
        <w:rPr>
          <w:sz w:val="20"/>
          <w:szCs w:val="20"/>
          <w:color w:val="auto"/>
        </w:rPr>
      </w:pPr>
    </w:p>
    <w:p>
      <w:pPr>
        <w:ind w:left="320"/>
        <w:spacing w:after="0"/>
        <w:rPr>
          <w:sz w:val="20"/>
          <w:szCs w:val="20"/>
          <w:color w:val="auto"/>
        </w:rPr>
      </w:pPr>
      <w:r>
        <w:rPr>
          <w:rFonts w:ascii="Times New Roman" w:cs="Times New Roman" w:eastAsia="Times New Roman" w:hAnsi="Times New Roman"/>
          <w:sz w:val="18"/>
          <w:szCs w:val="18"/>
          <w:color w:val="auto"/>
        </w:rPr>
        <w:t>General and administrative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133985</wp:posOffset>
            </wp:positionH>
            <wp:positionV relativeFrom="paragraph">
              <wp:posOffset>-119380</wp:posOffset>
            </wp:positionV>
            <wp:extent cx="5452110" cy="154305"/>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5452110" cy="154305"/>
                    </a:xfrm>
                    <a:prstGeom prst="rect">
                      <a:avLst/>
                    </a:prstGeom>
                    <a:noFill/>
                  </pic:spPr>
                </pic:pic>
              </a:graphicData>
            </a:graphic>
          </wp:anchor>
        </w:drawing>
      </w:r>
    </w:p>
    <w:p>
      <w:pPr>
        <w:spacing w:after="0" w:line="16" w:lineRule="exact"/>
        <w:rPr>
          <w:sz w:val="20"/>
          <w:szCs w:val="20"/>
          <w:color w:val="auto"/>
        </w:rPr>
      </w:pPr>
    </w:p>
    <w:p>
      <w:pPr>
        <w:ind w:left="420"/>
        <w:spacing w:after="0"/>
        <w:rPr>
          <w:sz w:val="20"/>
          <w:szCs w:val="20"/>
          <w:color w:val="auto"/>
        </w:rPr>
      </w:pPr>
      <w:r>
        <w:rPr>
          <w:rFonts w:ascii="Times New Roman" w:cs="Times New Roman" w:eastAsia="Times New Roman" w:hAnsi="Times New Roman"/>
          <w:sz w:val="18"/>
          <w:szCs w:val="18"/>
          <w:color w:val="auto"/>
        </w:rPr>
        <w:t>Total operating expenses</w:t>
      </w:r>
    </w:p>
    <w:p>
      <w:pPr>
        <w:spacing w:after="0" w:line="50" w:lineRule="exact"/>
        <w:rPr>
          <w:sz w:val="20"/>
          <w:szCs w:val="20"/>
          <w:color w:val="auto"/>
        </w:rPr>
      </w:pPr>
    </w:p>
    <w:p>
      <w:pPr>
        <w:ind w:left="420"/>
        <w:spacing w:after="0"/>
        <w:rPr>
          <w:sz w:val="20"/>
          <w:szCs w:val="20"/>
          <w:color w:val="auto"/>
        </w:rPr>
      </w:pPr>
      <w:r>
        <w:rPr>
          <w:rFonts w:ascii="Times New Roman" w:cs="Times New Roman" w:eastAsia="Times New Roman" w:hAnsi="Times New Roman"/>
          <w:sz w:val="18"/>
          <w:szCs w:val="18"/>
          <w:color w:val="auto"/>
        </w:rPr>
        <w:t>Operating loss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133985</wp:posOffset>
            </wp:positionH>
            <wp:positionV relativeFrom="paragraph">
              <wp:posOffset>-119380</wp:posOffset>
            </wp:positionV>
            <wp:extent cx="5452110" cy="162560"/>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5452110" cy="162560"/>
                    </a:xfrm>
                    <a:prstGeom prst="rect">
                      <a:avLst/>
                    </a:prstGeom>
                    <a:noFill/>
                  </pic:spPr>
                </pic:pic>
              </a:graphicData>
            </a:graphic>
          </wp:anchor>
        </w:drawing>
      </w:r>
    </w:p>
    <w:p>
      <w:pPr>
        <w:spacing w:after="0" w:line="30" w:lineRule="exact"/>
        <w:rPr>
          <w:sz w:val="20"/>
          <w:szCs w:val="20"/>
          <w:color w:val="auto"/>
        </w:rPr>
      </w:pPr>
    </w:p>
    <w:p>
      <w:pPr>
        <w:ind w:left="220"/>
        <w:spacing w:after="0"/>
        <w:rPr>
          <w:sz w:val="20"/>
          <w:szCs w:val="20"/>
          <w:color w:val="auto"/>
        </w:rPr>
      </w:pPr>
      <w:r>
        <w:rPr>
          <w:rFonts w:ascii="Times New Roman" w:cs="Times New Roman" w:eastAsia="Times New Roman" w:hAnsi="Times New Roman"/>
          <w:sz w:val="18"/>
          <w:szCs w:val="18"/>
          <w:color w:val="auto"/>
        </w:rPr>
        <w:t>Interest and investment income</w:t>
      </w:r>
    </w:p>
    <w:p>
      <w:pPr>
        <w:spacing w:after="0" w:line="36" w:lineRule="exact"/>
        <w:rPr>
          <w:sz w:val="20"/>
          <w:szCs w:val="20"/>
          <w:color w:val="auto"/>
        </w:rPr>
      </w:pPr>
    </w:p>
    <w:p>
      <w:pPr>
        <w:ind w:left="220"/>
        <w:spacing w:after="0"/>
        <w:rPr>
          <w:sz w:val="20"/>
          <w:szCs w:val="20"/>
          <w:color w:val="auto"/>
        </w:rPr>
      </w:pPr>
      <w:r>
        <w:rPr>
          <w:rFonts w:ascii="Times New Roman" w:cs="Times New Roman" w:eastAsia="Times New Roman" w:hAnsi="Times New Roman"/>
          <w:sz w:val="18"/>
          <w:szCs w:val="18"/>
          <w:color w:val="auto"/>
        </w:rPr>
        <w:t>Net loss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133985</wp:posOffset>
            </wp:positionH>
            <wp:positionV relativeFrom="paragraph">
              <wp:posOffset>-119380</wp:posOffset>
            </wp:positionV>
            <wp:extent cx="5452110" cy="163195"/>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5452110" cy="163195"/>
                    </a:xfrm>
                    <a:prstGeom prst="rect">
                      <a:avLst/>
                    </a:prstGeom>
                    <a:noFill/>
                  </pic:spPr>
                </pic:pic>
              </a:graphicData>
            </a:graphic>
          </wp:anchor>
        </w:drawing>
      </w:r>
    </w:p>
    <w:p>
      <w:pPr>
        <w:spacing w:after="0" w:line="30" w:lineRule="exact"/>
        <w:rPr>
          <w:sz w:val="20"/>
          <w:szCs w:val="20"/>
          <w:color w:val="auto"/>
        </w:rPr>
      </w:pPr>
    </w:p>
    <w:p>
      <w:pPr>
        <w:ind w:left="220"/>
        <w:spacing w:after="0"/>
        <w:rPr>
          <w:sz w:val="20"/>
          <w:szCs w:val="20"/>
          <w:color w:val="auto"/>
        </w:rPr>
      </w:pPr>
      <w:r>
        <w:rPr>
          <w:rFonts w:ascii="Times New Roman" w:cs="Times New Roman" w:eastAsia="Times New Roman" w:hAnsi="Times New Roman"/>
          <w:sz w:val="17"/>
          <w:szCs w:val="17"/>
          <w:color w:val="auto"/>
        </w:rPr>
        <w:t>Unrealized gain on marketable securities</w:t>
      </w:r>
    </w:p>
    <w:p>
      <w:pPr>
        <w:spacing w:after="0" w:line="48" w:lineRule="exact"/>
        <w:rPr>
          <w:sz w:val="20"/>
          <w:szCs w:val="20"/>
          <w:color w:val="auto"/>
        </w:rPr>
      </w:pPr>
    </w:p>
    <w:p>
      <w:pPr>
        <w:ind w:left="220"/>
        <w:spacing w:after="0"/>
        <w:rPr>
          <w:sz w:val="20"/>
          <w:szCs w:val="20"/>
          <w:color w:val="auto"/>
        </w:rPr>
      </w:pPr>
      <w:r>
        <w:rPr>
          <w:rFonts w:ascii="Times New Roman" w:cs="Times New Roman" w:eastAsia="Times New Roman" w:hAnsi="Times New Roman"/>
          <w:sz w:val="18"/>
          <w:szCs w:val="18"/>
          <w:color w:val="auto"/>
        </w:rPr>
        <w:t>Total other comprehensive gain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133985</wp:posOffset>
            </wp:positionH>
            <wp:positionV relativeFrom="paragraph">
              <wp:posOffset>-119380</wp:posOffset>
            </wp:positionV>
            <wp:extent cx="5452110" cy="163195"/>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5452110" cy="163195"/>
                    </a:xfrm>
                    <a:prstGeom prst="rect">
                      <a:avLst/>
                    </a:prstGeom>
                    <a:noFill/>
                  </pic:spPr>
                </pic:pic>
              </a:graphicData>
            </a:graphic>
          </wp:anchor>
        </w:drawing>
      </w:r>
    </w:p>
    <w:p>
      <w:pPr>
        <w:spacing w:after="0" w:line="30" w:lineRule="exact"/>
        <w:rPr>
          <w:sz w:val="20"/>
          <w:szCs w:val="20"/>
          <w:color w:val="auto"/>
        </w:rPr>
      </w:pPr>
    </w:p>
    <w:p>
      <w:pPr>
        <w:ind w:left="220"/>
        <w:spacing w:after="0"/>
        <w:rPr>
          <w:sz w:val="20"/>
          <w:szCs w:val="20"/>
          <w:color w:val="auto"/>
        </w:rPr>
      </w:pPr>
      <w:r>
        <w:rPr>
          <w:rFonts w:ascii="Times New Roman" w:cs="Times New Roman" w:eastAsia="Times New Roman" w:hAnsi="Times New Roman"/>
          <w:sz w:val="18"/>
          <w:szCs w:val="18"/>
          <w:color w:val="auto"/>
        </w:rPr>
        <w:t>Total comprehensive loss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133985</wp:posOffset>
            </wp:positionH>
            <wp:positionV relativeFrom="paragraph">
              <wp:posOffset>34290</wp:posOffset>
            </wp:positionV>
            <wp:extent cx="5452110" cy="171450"/>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5452110" cy="171450"/>
                    </a:xfrm>
                    <a:prstGeom prst="rect">
                      <a:avLst/>
                    </a:prstGeom>
                    <a:noFill/>
                  </pic:spPr>
                </pic:pic>
              </a:graphicData>
            </a:graphic>
          </wp:anchor>
        </w:drawing>
      </w:r>
    </w:p>
    <w:p>
      <w:pPr>
        <w:spacing w:after="0" w:line="286" w:lineRule="exact"/>
        <w:rPr>
          <w:sz w:val="20"/>
          <w:szCs w:val="20"/>
          <w:color w:val="auto"/>
        </w:rPr>
      </w:pPr>
    </w:p>
    <w:p>
      <w:pPr>
        <w:ind w:left="220"/>
        <w:spacing w:after="0"/>
        <w:rPr>
          <w:sz w:val="20"/>
          <w:szCs w:val="20"/>
          <w:color w:val="auto"/>
        </w:rPr>
      </w:pPr>
      <w:r>
        <w:rPr>
          <w:rFonts w:ascii="Times New Roman" w:cs="Times New Roman" w:eastAsia="Times New Roman" w:hAnsi="Times New Roman"/>
          <w:sz w:val="18"/>
          <w:szCs w:val="18"/>
          <w:color w:val="auto"/>
        </w:rPr>
        <w:t>Share information:</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16"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4"/>
          <w:szCs w:val="14"/>
          <w:b w:val="1"/>
          <w:bCs w:val="1"/>
          <w:color w:val="auto"/>
        </w:rPr>
        <w:t>Three Months Ended</w:t>
      </w:r>
    </w:p>
    <w:p>
      <w:pPr>
        <w:spacing w:after="0" w:line="42" w:lineRule="exact"/>
        <w:rPr>
          <w:sz w:val="20"/>
          <w:szCs w:val="20"/>
          <w:color w:val="auto"/>
        </w:rPr>
      </w:pPr>
    </w:p>
    <w:p>
      <w:pPr>
        <w:ind w:left="780"/>
        <w:spacing w:after="0"/>
        <w:rPr>
          <w:sz w:val="20"/>
          <w:szCs w:val="20"/>
          <w:color w:val="auto"/>
        </w:rPr>
      </w:pPr>
      <w:r>
        <w:rPr>
          <w:rFonts w:ascii="Times New Roman" w:cs="Times New Roman" w:eastAsia="Times New Roman" w:hAnsi="Times New Roman"/>
          <w:sz w:val="14"/>
          <w:szCs w:val="14"/>
          <w:b w:val="1"/>
          <w:bCs w:val="1"/>
          <w:color w:val="auto"/>
        </w:rPr>
        <w:t>March 31,</w:t>
      </w:r>
    </w:p>
    <w:p>
      <w:pPr>
        <w:spacing w:after="0" w:line="29" w:lineRule="exact"/>
        <w:rPr>
          <w:sz w:val="20"/>
          <w:szCs w:val="20"/>
          <w:color w:val="auto"/>
        </w:rPr>
      </w:pPr>
    </w:p>
    <w:tbl>
      <w:tblPr>
        <w:tblLayout w:type="fixed"/>
        <w:tblInd w:w="0" w:type="dxa"/>
        <w:tblCellMar>
          <w:top w:w="0" w:type="dxa"/>
          <w:left w:w="0" w:type="dxa"/>
          <w:bottom w:w="0" w:type="dxa"/>
          <w:right w:w="0" w:type="dxa"/>
        </w:tblCellMar>
      </w:tblPr>
      <w:tr>
        <w:trPr>
          <w:trHeight w:val="193"/>
        </w:trPr>
        <w:tc>
          <w:tcPr>
            <w:tcW w:w="220" w:type="dxa"/>
            <w:vAlign w:val="bottom"/>
            <w:tcBorders>
              <w:top w:val="single" w:sz="8" w:color="auto"/>
              <w:bottom w:val="single" w:sz="8" w:color="auto"/>
            </w:tcBorders>
          </w:tcPr>
          <w:p>
            <w:pPr>
              <w:spacing w:after="0"/>
              <w:rPr>
                <w:sz w:val="16"/>
                <w:szCs w:val="16"/>
                <w:color w:val="auto"/>
              </w:rPr>
            </w:pPr>
          </w:p>
        </w:tc>
        <w:tc>
          <w:tcPr>
            <w:tcW w:w="820" w:type="dxa"/>
            <w:vAlign w:val="bottom"/>
            <w:tcBorders>
              <w:top w:val="single" w:sz="8" w:color="auto"/>
              <w:bottom w:val="single" w:sz="8" w:color="auto"/>
            </w:tcBorders>
          </w:tcPr>
          <w:p>
            <w:pPr>
              <w:jc w:val="right"/>
              <w:ind w:right="292"/>
              <w:spacing w:after="0"/>
              <w:rPr>
                <w:sz w:val="20"/>
                <w:szCs w:val="20"/>
                <w:color w:val="auto"/>
              </w:rPr>
            </w:pPr>
            <w:r>
              <w:rPr>
                <w:rFonts w:ascii="Times New Roman" w:cs="Times New Roman" w:eastAsia="Times New Roman" w:hAnsi="Times New Roman"/>
                <w:sz w:val="14"/>
                <w:szCs w:val="14"/>
                <w:b w:val="1"/>
                <w:bCs w:val="1"/>
                <w:color w:val="auto"/>
              </w:rPr>
              <w:t>2025</w:t>
            </w:r>
          </w:p>
        </w:tc>
        <w:tc>
          <w:tcPr>
            <w:tcW w:w="80" w:type="dxa"/>
            <w:vAlign w:val="bottom"/>
            <w:tcBorders>
              <w:top w:val="single" w:sz="8" w:color="auto"/>
            </w:tcBorders>
          </w:tcPr>
          <w:p>
            <w:pPr>
              <w:spacing w:after="0"/>
              <w:rPr>
                <w:sz w:val="16"/>
                <w:szCs w:val="16"/>
                <w:color w:val="auto"/>
              </w:rPr>
            </w:pPr>
          </w:p>
        </w:tc>
        <w:tc>
          <w:tcPr>
            <w:tcW w:w="80" w:type="dxa"/>
            <w:vAlign w:val="bottom"/>
            <w:tcBorders>
              <w:top w:val="single" w:sz="8" w:color="auto"/>
            </w:tcBorders>
          </w:tcPr>
          <w:p>
            <w:pPr>
              <w:spacing w:after="0"/>
              <w:rPr>
                <w:sz w:val="16"/>
                <w:szCs w:val="16"/>
                <w:color w:val="auto"/>
              </w:rPr>
            </w:pPr>
          </w:p>
        </w:tc>
        <w:tc>
          <w:tcPr>
            <w:tcW w:w="240" w:type="dxa"/>
            <w:vAlign w:val="bottom"/>
            <w:tcBorders>
              <w:top w:val="single" w:sz="8" w:color="auto"/>
              <w:bottom w:val="single" w:sz="8" w:color="auto"/>
            </w:tcBorders>
          </w:tcPr>
          <w:p>
            <w:pPr>
              <w:spacing w:after="0"/>
              <w:rPr>
                <w:sz w:val="16"/>
                <w:szCs w:val="16"/>
                <w:color w:val="auto"/>
              </w:rPr>
            </w:pPr>
          </w:p>
        </w:tc>
        <w:tc>
          <w:tcPr>
            <w:tcW w:w="800" w:type="dxa"/>
            <w:vAlign w:val="bottom"/>
            <w:tcBorders>
              <w:top w:val="single" w:sz="8" w:color="auto"/>
              <w:bottom w:val="single" w:sz="8" w:color="auto"/>
            </w:tcBorders>
          </w:tcPr>
          <w:p>
            <w:pPr>
              <w:jc w:val="right"/>
              <w:ind w:right="272"/>
              <w:spacing w:after="0"/>
              <w:rPr>
                <w:sz w:val="20"/>
                <w:szCs w:val="20"/>
                <w:color w:val="auto"/>
              </w:rPr>
            </w:pPr>
            <w:r>
              <w:rPr>
                <w:rFonts w:ascii="Times New Roman" w:cs="Times New Roman" w:eastAsia="Times New Roman" w:hAnsi="Times New Roman"/>
                <w:sz w:val="14"/>
                <w:szCs w:val="14"/>
                <w:b w:val="1"/>
                <w:bCs w:val="1"/>
                <w:color w:val="auto"/>
              </w:rPr>
              <w:t>2024</w:t>
            </w:r>
          </w:p>
        </w:tc>
      </w:tr>
      <w:tr>
        <w:trPr>
          <w:trHeight w:val="479"/>
        </w:trPr>
        <w:tc>
          <w:tcPr>
            <w:tcW w:w="220" w:type="dxa"/>
            <w:vAlign w:val="bottom"/>
          </w:tcPr>
          <w:p>
            <w:pPr>
              <w:jc w:val="right"/>
              <w:ind w:right="56"/>
              <w:spacing w:after="0"/>
              <w:rPr>
                <w:sz w:val="20"/>
                <w:szCs w:val="20"/>
                <w:color w:val="auto"/>
              </w:rPr>
            </w:pPr>
            <w:r>
              <w:rPr>
                <w:rFonts w:ascii="Times New Roman" w:cs="Times New Roman" w:eastAsia="Times New Roman" w:hAnsi="Times New Roman"/>
                <w:sz w:val="17"/>
                <w:szCs w:val="17"/>
                <w:color w:val="auto"/>
                <w:w w:val="70"/>
              </w:rPr>
              <w:t>$</w:t>
            </w:r>
          </w:p>
        </w:tc>
        <w:tc>
          <w:tcPr>
            <w:tcW w:w="8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61,289</w:t>
            </w:r>
          </w:p>
        </w:tc>
        <w:tc>
          <w:tcPr>
            <w:tcW w:w="80" w:type="dxa"/>
            <w:vAlign w:val="bottom"/>
          </w:tcPr>
          <w:p>
            <w:pPr>
              <w:spacing w:after="0"/>
              <w:rPr>
                <w:sz w:val="24"/>
                <w:szCs w:val="24"/>
                <w:color w:val="auto"/>
              </w:rPr>
            </w:pPr>
          </w:p>
        </w:tc>
        <w:tc>
          <w:tcPr>
            <w:tcW w:w="320" w:type="dxa"/>
            <w:vAlign w:val="bottom"/>
            <w:gridSpan w:val="2"/>
          </w:tcPr>
          <w:p>
            <w:pPr>
              <w:jc w:val="right"/>
              <w:ind w:right="140"/>
              <w:spacing w:after="0"/>
              <w:rPr>
                <w:sz w:val="20"/>
                <w:szCs w:val="20"/>
                <w:color w:val="auto"/>
              </w:rPr>
            </w:pPr>
            <w:r>
              <w:rPr>
                <w:rFonts w:ascii="Times New Roman" w:cs="Times New Roman" w:eastAsia="Times New Roman" w:hAnsi="Times New Roman"/>
                <w:sz w:val="18"/>
                <w:szCs w:val="18"/>
                <w:color w:val="auto"/>
              </w:rPr>
              <w:t>$</w:t>
            </w:r>
          </w:p>
        </w:tc>
        <w:tc>
          <w:tcPr>
            <w:tcW w:w="8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16,975</w:t>
            </w:r>
          </w:p>
        </w:tc>
      </w:tr>
      <w:tr>
        <w:trPr>
          <w:trHeight w:val="243"/>
        </w:trPr>
        <w:tc>
          <w:tcPr>
            <w:tcW w:w="220" w:type="dxa"/>
            <w:vAlign w:val="bottom"/>
            <w:tcBorders>
              <w:bottom w:val="single" w:sz="8" w:color="auto"/>
            </w:tcBorders>
          </w:tcPr>
          <w:p>
            <w:pPr>
              <w:spacing w:after="0"/>
              <w:rPr>
                <w:sz w:val="21"/>
                <w:szCs w:val="21"/>
                <w:color w:val="auto"/>
              </w:rPr>
            </w:pPr>
          </w:p>
        </w:tc>
        <w:tc>
          <w:tcPr>
            <w:tcW w:w="8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5,483</w:t>
            </w:r>
          </w:p>
        </w:tc>
        <w:tc>
          <w:tcPr>
            <w:tcW w:w="8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240" w:type="dxa"/>
            <w:vAlign w:val="bottom"/>
            <w:tcBorders>
              <w:bottom w:val="single" w:sz="8" w:color="auto"/>
            </w:tcBorders>
          </w:tcPr>
          <w:p>
            <w:pPr>
              <w:spacing w:after="0"/>
              <w:rPr>
                <w:sz w:val="21"/>
                <w:szCs w:val="21"/>
                <w:color w:val="auto"/>
              </w:rPr>
            </w:pPr>
          </w:p>
        </w:tc>
        <w:tc>
          <w:tcPr>
            <w:tcW w:w="8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3,699</w:t>
            </w:r>
          </w:p>
        </w:tc>
      </w:tr>
      <w:tr>
        <w:trPr>
          <w:trHeight w:val="237"/>
        </w:trPr>
        <w:tc>
          <w:tcPr>
            <w:tcW w:w="220" w:type="dxa"/>
            <w:vAlign w:val="bottom"/>
            <w:tcBorders>
              <w:bottom w:val="single" w:sz="8" w:color="auto"/>
            </w:tcBorders>
          </w:tcPr>
          <w:p>
            <w:pPr>
              <w:spacing w:after="0"/>
              <w:rPr>
                <w:sz w:val="20"/>
                <w:szCs w:val="20"/>
                <w:color w:val="auto"/>
              </w:rPr>
            </w:pPr>
          </w:p>
        </w:tc>
        <w:tc>
          <w:tcPr>
            <w:tcW w:w="8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66,772</w:t>
            </w:r>
          </w:p>
        </w:tc>
        <w:tc>
          <w:tcPr>
            <w:tcW w:w="8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240" w:type="dxa"/>
            <w:vAlign w:val="bottom"/>
            <w:tcBorders>
              <w:bottom w:val="single" w:sz="8" w:color="auto"/>
            </w:tcBorders>
          </w:tcPr>
          <w:p>
            <w:pPr>
              <w:spacing w:after="0"/>
              <w:rPr>
                <w:sz w:val="20"/>
                <w:szCs w:val="20"/>
                <w:color w:val="auto"/>
              </w:rPr>
            </w:pPr>
          </w:p>
        </w:tc>
        <w:tc>
          <w:tcPr>
            <w:tcW w:w="8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20,674</w:t>
            </w:r>
          </w:p>
        </w:tc>
      </w:tr>
      <w:tr>
        <w:trPr>
          <w:trHeight w:val="237"/>
        </w:trPr>
        <w:tc>
          <w:tcPr>
            <w:tcW w:w="220" w:type="dxa"/>
            <w:vAlign w:val="bottom"/>
          </w:tcPr>
          <w:p>
            <w:pPr>
              <w:spacing w:after="0"/>
              <w:rPr>
                <w:sz w:val="20"/>
                <w:szCs w:val="20"/>
                <w:color w:val="auto"/>
              </w:rPr>
            </w:pPr>
          </w:p>
        </w:tc>
        <w:tc>
          <w:tcPr>
            <w:tcW w:w="900" w:type="dxa"/>
            <w:vAlign w:val="bottom"/>
            <w:gridSpan w:val="2"/>
          </w:tcPr>
          <w:p>
            <w:pPr>
              <w:jc w:val="right"/>
              <w:ind w:right="80"/>
              <w:spacing w:after="0"/>
              <w:rPr>
                <w:sz w:val="20"/>
                <w:szCs w:val="20"/>
                <w:color w:val="auto"/>
              </w:rPr>
            </w:pPr>
            <w:r>
              <w:rPr>
                <w:rFonts w:ascii="Times New Roman" w:cs="Times New Roman" w:eastAsia="Times New Roman" w:hAnsi="Times New Roman"/>
                <w:sz w:val="18"/>
                <w:szCs w:val="18"/>
                <w:color w:val="auto"/>
              </w:rPr>
              <w:t>(66,772)</w:t>
            </w:r>
          </w:p>
        </w:tc>
        <w:tc>
          <w:tcPr>
            <w:tcW w:w="8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8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(20,674)</w:t>
            </w:r>
          </w:p>
        </w:tc>
      </w:tr>
      <w:tr>
        <w:trPr>
          <w:trHeight w:val="243"/>
        </w:trPr>
        <w:tc>
          <w:tcPr>
            <w:tcW w:w="220" w:type="dxa"/>
            <w:vAlign w:val="bottom"/>
            <w:tcBorders>
              <w:bottom w:val="single" w:sz="8" w:color="auto"/>
            </w:tcBorders>
          </w:tcPr>
          <w:p>
            <w:pPr>
              <w:spacing w:after="0"/>
              <w:rPr>
                <w:sz w:val="21"/>
                <w:szCs w:val="21"/>
                <w:color w:val="auto"/>
              </w:rPr>
            </w:pPr>
          </w:p>
        </w:tc>
        <w:tc>
          <w:tcPr>
            <w:tcW w:w="8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2,385</w:t>
            </w:r>
          </w:p>
        </w:tc>
        <w:tc>
          <w:tcPr>
            <w:tcW w:w="8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240" w:type="dxa"/>
            <w:vAlign w:val="bottom"/>
            <w:tcBorders>
              <w:bottom w:val="single" w:sz="8" w:color="auto"/>
            </w:tcBorders>
          </w:tcPr>
          <w:p>
            <w:pPr>
              <w:spacing w:after="0"/>
              <w:rPr>
                <w:sz w:val="21"/>
                <w:szCs w:val="21"/>
                <w:color w:val="auto"/>
              </w:rPr>
            </w:pPr>
          </w:p>
        </w:tc>
        <w:tc>
          <w:tcPr>
            <w:tcW w:w="8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3,257</w:t>
            </w:r>
          </w:p>
        </w:tc>
      </w:tr>
      <w:tr>
        <w:trPr>
          <w:trHeight w:val="237"/>
        </w:trPr>
        <w:tc>
          <w:tcPr>
            <w:tcW w:w="220" w:type="dxa"/>
            <w:vAlign w:val="bottom"/>
          </w:tcPr>
          <w:p>
            <w:pPr>
              <w:spacing w:after="0"/>
              <w:rPr>
                <w:sz w:val="20"/>
                <w:szCs w:val="20"/>
                <w:color w:val="auto"/>
              </w:rPr>
            </w:pPr>
          </w:p>
        </w:tc>
        <w:tc>
          <w:tcPr>
            <w:tcW w:w="900" w:type="dxa"/>
            <w:vAlign w:val="bottom"/>
            <w:gridSpan w:val="2"/>
          </w:tcPr>
          <w:p>
            <w:pPr>
              <w:jc w:val="right"/>
              <w:ind w:right="80"/>
              <w:spacing w:after="0"/>
              <w:rPr>
                <w:sz w:val="20"/>
                <w:szCs w:val="20"/>
                <w:color w:val="auto"/>
              </w:rPr>
            </w:pPr>
            <w:r>
              <w:rPr>
                <w:rFonts w:ascii="Times New Roman" w:cs="Times New Roman" w:eastAsia="Times New Roman" w:hAnsi="Times New Roman"/>
                <w:sz w:val="18"/>
                <w:szCs w:val="18"/>
                <w:color w:val="auto"/>
              </w:rPr>
              <w:t>(64,387)</w:t>
            </w:r>
          </w:p>
        </w:tc>
        <w:tc>
          <w:tcPr>
            <w:tcW w:w="8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8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(17,417)</w:t>
            </w:r>
          </w:p>
        </w:tc>
      </w:tr>
      <w:tr>
        <w:trPr>
          <w:trHeight w:val="243"/>
        </w:trPr>
        <w:tc>
          <w:tcPr>
            <w:tcW w:w="220" w:type="dxa"/>
            <w:vAlign w:val="bottom"/>
          </w:tcPr>
          <w:p>
            <w:pPr>
              <w:spacing w:after="0"/>
              <w:rPr>
                <w:sz w:val="21"/>
                <w:szCs w:val="21"/>
                <w:color w:val="auto"/>
              </w:rPr>
            </w:pPr>
          </w:p>
        </w:tc>
        <w:tc>
          <w:tcPr>
            <w:tcW w:w="8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194</w:t>
            </w:r>
          </w:p>
        </w:tc>
        <w:tc>
          <w:tcPr>
            <w:tcW w:w="8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8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r>
    </w:tbl>
    <w:p>
      <w:pPr>
        <w:spacing w:after="0" w:line="22" w:lineRule="exact"/>
        <w:rPr>
          <w:sz w:val="20"/>
          <w:szCs w:val="20"/>
          <w:color w:val="auto"/>
        </w:rPr>
      </w:pPr>
    </w:p>
    <w:p>
      <w:pPr>
        <w:ind w:left="2000" w:hanging="1299"/>
        <w:spacing w:after="0"/>
        <w:tabs>
          <w:tab w:leader="none" w:pos="2000" w:val="left"/>
        </w:tabs>
        <w:numPr>
          <w:ilvl w:val="0"/>
          <w:numId w:val="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t>
      </w:r>
    </w:p>
    <w:p>
      <w:pPr>
        <w:spacing w:after="0" w:line="27" w:lineRule="exact"/>
        <w:rPr>
          <w:rFonts w:ascii="Times New Roman" w:cs="Times New Roman" w:eastAsia="Times New Roman" w:hAnsi="Times New Roman"/>
          <w:sz w:val="18"/>
          <w:szCs w:val="18"/>
          <w:color w:val="auto"/>
        </w:rPr>
      </w:pPr>
    </w:p>
    <w:p>
      <w:pPr>
        <w:spacing w:after="0"/>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$(64,193)  $</w:t>
      </w:r>
      <w:r>
        <w:rPr>
          <w:rFonts w:ascii="Times New Roman" w:cs="Times New Roman" w:eastAsia="Times New Roman" w:hAnsi="Times New Roman"/>
          <w:sz w:val="17"/>
          <w:szCs w:val="17"/>
          <w:color w:val="auto"/>
        </w:rPr>
        <w:t>(17,417)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wp:posOffset>
            </wp:positionV>
            <wp:extent cx="1431925" cy="8890"/>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1431925" cy="8890"/>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-130810</wp:posOffset>
            </wp:positionV>
            <wp:extent cx="1431925" cy="8255"/>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1431925" cy="8255"/>
                    </a:xfrm>
                    <a:prstGeom prst="rect">
                      <a:avLst/>
                    </a:prstGeom>
                    <a:noFill/>
                  </pic:spPr>
                </pic:pic>
              </a:graphicData>
            </a:graphic>
          </wp:anchor>
        </w:drawing>
      </w:r>
    </w:p>
    <w:p>
      <w:pPr>
        <w:spacing w:after="0" w:line="548" w:lineRule="exact"/>
        <w:rPr>
          <w:sz w:val="20"/>
          <w:szCs w:val="20"/>
          <w:color w:val="auto"/>
        </w:rPr>
      </w:pPr>
    </w:p>
    <w:p>
      <w:pPr>
        <w:sectPr>
          <w:pgSz w:w="11900" w:h="16838" w:orient="portrait"/>
          <w:cols w:equalWidth="0" w:num="2">
            <w:col w:w="5720" w:space="720"/>
            <w:col w:w="2579"/>
          </w:cols>
          <w:pgMar w:left="1440" w:top="917" w:right="1440" w:bottom="1440" w:gutter="0" w:footer="0" w:header="0"/>
          <w:type w:val="continuous"/>
        </w:sectPr>
      </w:pPr>
    </w:p>
    <w:tbl>
      <w:tblPr>
        <w:tblLayout w:type="fixed"/>
        <w:tblInd w:w="220" w:type="dxa"/>
        <w:tblCellMar>
          <w:top w:w="0" w:type="dxa"/>
          <w:left w:w="0" w:type="dxa"/>
          <w:bottom w:w="0" w:type="dxa"/>
          <w:right w:w="0" w:type="dxa"/>
        </w:tblCellMar>
      </w:tblPr>
      <w:tr>
        <w:trPr>
          <w:trHeight w:val="230"/>
        </w:trPr>
        <w:tc>
          <w:tcPr>
            <w:tcW w:w="57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Net loss per share attributable to common stockholders, basic and diluted</w:t>
            </w:r>
          </w:p>
        </w:tc>
        <w:tc>
          <w:tcPr>
            <w:tcW w:w="600" w:type="dxa"/>
            <w:vAlign w:val="bottom"/>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8"/>
                <w:szCs w:val="18"/>
                <w:color w:val="auto"/>
              </w:rPr>
              <w:t>$</w:t>
            </w:r>
          </w:p>
        </w:tc>
        <w:tc>
          <w:tcPr>
            <w:tcW w:w="1000" w:type="dxa"/>
            <w:vAlign w:val="bottom"/>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8"/>
                <w:szCs w:val="18"/>
                <w:color w:val="auto"/>
              </w:rPr>
              <w:t>(1.90)</w:t>
            </w:r>
          </w:p>
        </w:tc>
        <w:tc>
          <w:tcPr>
            <w:tcW w:w="220" w:type="dxa"/>
            <w:vAlign w:val="bottom"/>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8"/>
                <w:szCs w:val="18"/>
                <w:color w:val="auto"/>
              </w:rPr>
              <w:t>$</w:t>
            </w:r>
          </w:p>
        </w:tc>
        <w:tc>
          <w:tcPr>
            <w:tcW w:w="102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auto"/>
              </w:rPr>
              <w:t>(0.70)</w:t>
            </w:r>
          </w:p>
        </w:tc>
        <w:tc>
          <w:tcPr>
            <w:tcW w:w="0" w:type="dxa"/>
            <w:vAlign w:val="bottom"/>
          </w:tcPr>
          <w:p>
            <w:pPr>
              <w:spacing w:after="0"/>
              <w:rPr>
                <w:sz w:val="1"/>
                <w:szCs w:val="1"/>
                <w:color w:val="auto"/>
              </w:rPr>
            </w:pPr>
          </w:p>
        </w:tc>
      </w:tr>
      <w:tr>
        <w:trPr>
          <w:trHeight w:val="20"/>
        </w:trPr>
        <w:tc>
          <w:tcPr>
            <w:tcW w:w="5740" w:type="dxa"/>
            <w:vAlign w:val="bottom"/>
            <w:tcBorders>
              <w:top w:val="single" w:sz="8" w:color="CCEEFF"/>
              <w:bottom w:val="single" w:sz="8" w:color="CCEEFF"/>
            </w:tcBorders>
            <w:vMerge w:val="restart"/>
          </w:tcPr>
          <w:p>
            <w:pPr>
              <w:spacing w:after="0"/>
              <w:rPr>
                <w:sz w:val="20"/>
                <w:szCs w:val="20"/>
                <w:color w:val="auto"/>
              </w:rPr>
            </w:pPr>
            <w:r>
              <w:rPr>
                <w:rFonts w:ascii="Times New Roman" w:cs="Times New Roman" w:eastAsia="Times New Roman" w:hAnsi="Times New Roman"/>
                <w:sz w:val="18"/>
                <w:szCs w:val="18"/>
                <w:color w:val="auto"/>
              </w:rPr>
              <w:t>Weighted-average shares of common stock outstanding, basic and diluted</w:t>
            </w:r>
          </w:p>
        </w:tc>
        <w:tc>
          <w:tcPr>
            <w:tcW w:w="48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92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90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5740" w:type="dxa"/>
            <w:vAlign w:val="bottom"/>
            <w:vMerge w:val="continue"/>
          </w:tcPr>
          <w:p>
            <w:pPr>
              <w:spacing w:after="0"/>
              <w:rPr>
                <w:sz w:val="17"/>
                <w:szCs w:val="17"/>
                <w:color w:val="auto"/>
              </w:rPr>
            </w:pPr>
          </w:p>
        </w:tc>
        <w:tc>
          <w:tcPr>
            <w:tcW w:w="480" w:type="dxa"/>
            <w:vAlign w:val="bottom"/>
          </w:tcPr>
          <w:p>
            <w:pPr>
              <w:spacing w:after="0"/>
              <w:rPr>
                <w:sz w:val="17"/>
                <w:szCs w:val="17"/>
                <w:color w:val="auto"/>
              </w:rPr>
            </w:pPr>
          </w:p>
        </w:tc>
        <w:tc>
          <w:tcPr>
            <w:tcW w:w="120" w:type="dxa"/>
            <w:vAlign w:val="bottom"/>
            <w:tcBorders>
              <w:bottom w:val="single" w:sz="8" w:color="auto"/>
            </w:tcBorders>
          </w:tcPr>
          <w:p>
            <w:pPr>
              <w:spacing w:after="0"/>
              <w:rPr>
                <w:sz w:val="17"/>
                <w:szCs w:val="17"/>
                <w:color w:val="auto"/>
              </w:rPr>
            </w:pPr>
          </w:p>
        </w:tc>
        <w:tc>
          <w:tcPr>
            <w:tcW w:w="920" w:type="dxa"/>
            <w:vAlign w:val="bottom"/>
            <w:tcBorders>
              <w:bottom w:val="single" w:sz="8" w:color="auto"/>
            </w:tcBorders>
          </w:tcPr>
          <w:p>
            <w:pPr>
              <w:jc w:val="right"/>
              <w:spacing w:after="0" w:line="196" w:lineRule="exact"/>
              <w:rPr>
                <w:sz w:val="20"/>
                <w:szCs w:val="20"/>
                <w:color w:val="auto"/>
              </w:rPr>
            </w:pPr>
            <w:r>
              <w:rPr>
                <w:rFonts w:ascii="Times New Roman" w:cs="Times New Roman" w:eastAsia="Times New Roman" w:hAnsi="Times New Roman"/>
                <w:sz w:val="18"/>
                <w:szCs w:val="18"/>
                <w:color w:val="auto"/>
              </w:rPr>
              <w:t>33,898,870</w:t>
            </w:r>
          </w:p>
        </w:tc>
        <w:tc>
          <w:tcPr>
            <w:tcW w:w="8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40" w:type="dxa"/>
            <w:vAlign w:val="bottom"/>
            <w:tcBorders>
              <w:bottom w:val="single" w:sz="8" w:color="auto"/>
            </w:tcBorders>
          </w:tcPr>
          <w:p>
            <w:pPr>
              <w:spacing w:after="0"/>
              <w:rPr>
                <w:sz w:val="17"/>
                <w:szCs w:val="17"/>
                <w:color w:val="auto"/>
              </w:rPr>
            </w:pPr>
          </w:p>
        </w:tc>
        <w:tc>
          <w:tcPr>
            <w:tcW w:w="900" w:type="dxa"/>
            <w:vAlign w:val="bottom"/>
            <w:tcBorders>
              <w:bottom w:val="single" w:sz="8" w:color="auto"/>
            </w:tcBorders>
          </w:tcPr>
          <w:p>
            <w:pPr>
              <w:jc w:val="right"/>
              <w:spacing w:after="0" w:line="196" w:lineRule="exact"/>
              <w:rPr>
                <w:sz w:val="20"/>
                <w:szCs w:val="20"/>
                <w:color w:val="auto"/>
              </w:rPr>
            </w:pPr>
            <w:r>
              <w:rPr>
                <w:rFonts w:ascii="Times New Roman" w:cs="Times New Roman" w:eastAsia="Times New Roman" w:hAnsi="Times New Roman"/>
                <w:sz w:val="18"/>
                <w:szCs w:val="18"/>
                <w:color w:val="auto"/>
              </w:rPr>
              <w:t>25,046,531</w:t>
            </w:r>
          </w:p>
        </w:tc>
        <w:tc>
          <w:tcPr>
            <w:tcW w:w="1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
        </w:trPr>
        <w:tc>
          <w:tcPr>
            <w:tcW w:w="5740" w:type="dxa"/>
            <w:vAlign w:val="bottom"/>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78" w:lineRule="exact"/>
        <w:rPr>
          <w:sz w:val="20"/>
          <w:szCs w:val="20"/>
          <w:color w:val="auto"/>
        </w:rPr>
      </w:pPr>
    </w:p>
    <w:p>
      <w:pPr>
        <w:ind w:left="200"/>
        <w:spacing w:after="0"/>
        <w:rPr>
          <w:sz w:val="20"/>
          <w:szCs w:val="20"/>
          <w:color w:val="auto"/>
        </w:rPr>
      </w:pPr>
      <w:r>
        <w:rPr>
          <w:rFonts w:ascii="Arial" w:cs="Arial" w:eastAsia="Arial" w:hAnsi="Arial"/>
          <w:sz w:val="20"/>
          <w:szCs w:val="20"/>
          <w:b w:val="1"/>
          <w:bCs w:val="1"/>
          <w:color w:val="auto"/>
        </w:rPr>
        <w:t>Contact:</w:t>
      </w:r>
    </w:p>
    <w:p>
      <w:pPr>
        <w:spacing w:after="0" w:line="33" w:lineRule="exact"/>
        <w:rPr>
          <w:sz w:val="20"/>
          <w:szCs w:val="20"/>
          <w:color w:val="auto"/>
        </w:rPr>
      </w:pPr>
    </w:p>
    <w:p>
      <w:pPr>
        <w:ind w:left="200"/>
        <w:spacing w:after="0"/>
        <w:rPr>
          <w:sz w:val="20"/>
          <w:szCs w:val="20"/>
          <w:color w:val="auto"/>
        </w:rPr>
      </w:pPr>
      <w:r>
        <w:rPr>
          <w:rFonts w:ascii="Arial" w:cs="Arial" w:eastAsia="Arial" w:hAnsi="Arial"/>
          <w:sz w:val="20"/>
          <w:szCs w:val="20"/>
          <w:color w:val="auto"/>
        </w:rPr>
        <w:t>Joyce Allaire</w:t>
      </w:r>
    </w:p>
    <w:p>
      <w:pPr>
        <w:ind w:left="200"/>
        <w:spacing w:after="0"/>
        <w:rPr>
          <w:sz w:val="20"/>
          <w:szCs w:val="20"/>
          <w:color w:val="auto"/>
        </w:rPr>
      </w:pPr>
      <w:r>
        <w:rPr>
          <w:rFonts w:ascii="Arial" w:cs="Arial" w:eastAsia="Arial" w:hAnsi="Arial"/>
          <w:sz w:val="20"/>
          <w:szCs w:val="20"/>
          <w:color w:val="auto"/>
        </w:rPr>
        <w:t>LifeSci Advisors, LLC</w:t>
      </w:r>
    </w:p>
    <w:p>
      <w:pPr>
        <w:spacing w:after="0" w:line="13" w:lineRule="exact"/>
        <w:rPr>
          <w:sz w:val="20"/>
          <w:szCs w:val="20"/>
          <w:color w:val="auto"/>
        </w:rPr>
      </w:pPr>
    </w:p>
    <w:p>
      <w:pPr>
        <w:ind w:left="200"/>
        <w:spacing w:after="0"/>
        <w:rPr>
          <w:sz w:val="20"/>
          <w:szCs w:val="20"/>
          <w:color w:val="auto"/>
        </w:rPr>
      </w:pPr>
      <w:r>
        <w:rPr>
          <w:rFonts w:ascii="Arial" w:cs="Arial" w:eastAsia="Arial" w:hAnsi="Arial"/>
          <w:sz w:val="20"/>
          <w:szCs w:val="20"/>
          <w:color w:val="auto"/>
        </w:rPr>
        <w:t>jallaire@lifesciadvisors.com</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133985</wp:posOffset>
            </wp:positionH>
            <wp:positionV relativeFrom="paragraph">
              <wp:posOffset>344805</wp:posOffset>
            </wp:positionV>
            <wp:extent cx="5452110" cy="25400"/>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5452110" cy="25400"/>
                    </a:xfrm>
                    <a:prstGeom prst="rect">
                      <a:avLst/>
                    </a:prstGeom>
                    <a:noFill/>
                  </pic:spPr>
                </pic:pic>
              </a:graphicData>
            </a:graphic>
          </wp:anchor>
        </w:drawing>
      </w:r>
    </w:p>
    <w:sectPr>
      <w:pgSz w:w="11900" w:h="16838" w:orient="portrait"/>
      <w:cols w:equalWidth="0" w:num="1">
        <w:col w:w="9019"/>
      </w:cols>
      <w:pgMar w:left="1440" w:top="917" w:right="1440" w:bottom="1440" w:gutter="0" w:footer="0" w:header="0"/>
      <w:type w:val="continuous"/>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MS PGothic">
    <w:panose1 w:val="020B0600070205080204"/>
    <w:charset w:val="80"/>
    <w:family w:val="swiss"/>
    <w:pitch w:val="variable"/>
    <w:sig w:usb0="E00002FF" w:usb1="6AC7FDFB" w:usb2="08000012" w:usb3="00000000" w:csb0="4002009F" w:csb1="DFD7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238E1F29"/>
    <w:multiLevelType w:val="hybridMultilevel"/>
    <w:lvl w:ilvl="0">
      <w:lvlJc w:val="left"/>
      <w:lvlText w:val="☐"/>
      <w:numFmt w:val="bullet"/>
      <w:start w:val="1"/>
    </w:lvl>
  </w:abstractNum>
  <w:abstractNum w:abstractNumId="1">
    <w:nsid w:val="46E87CCD"/>
    <w:multiLevelType w:val="hybridMultilevel"/>
    <w:lvl w:ilvl="0">
      <w:lvlJc w:val="left"/>
      <w:lvlText w:val="●"/>
      <w:numFmt w:val="bullet"/>
      <w:start w:val="1"/>
    </w:lvl>
  </w:abstractNum>
  <w:abstractNum w:abstractNumId="2">
    <w:nsid w:val="3D1B58BA"/>
    <w:multiLevelType w:val="hybridMultilevel"/>
    <w:lvl w:ilvl="0">
      <w:lvlJc w:val="left"/>
      <w:lvlText w:val="●"/>
      <w:numFmt w:val="bullet"/>
      <w:start w:val="1"/>
    </w:lvl>
  </w:abstractNum>
  <w:abstractNum w:abstractNumId="3">
    <w:nsid w:val="507ED7AB"/>
    <w:multiLevelType w:val="hybridMultilevel"/>
    <w:lvl w:ilvl="0">
      <w:lvlJc w:val="left"/>
      <w:lvlText w:val="●"/>
      <w:numFmt w:val="bullet"/>
      <w:start w:val="1"/>
    </w:lvl>
  </w:abstractNum>
  <w:abstractNum w:abstractNumId="4">
    <w:nsid w:val="2EB141F2"/>
    <w:multiLevelType w:val="hybridMultilevel"/>
    <w:lvl w:ilvl="0">
      <w:lvlJc w:val="left"/>
      <w:lvlText w:val="●"/>
      <w:numFmt w:val="bullet"/>
      <w:start w:val="1"/>
    </w:lvl>
  </w:abstractNum>
  <w:abstractNum w:abstractNumId="5">
    <w:nsid w:val="41B71EFB"/>
    <w:multiLevelType w:val="hybridMultilevel"/>
    <w:lvl w:ilvl="0">
      <w:lvlJc w:val="left"/>
      <w:lvlText w:val="●"/>
      <w:numFmt w:val="bullet"/>
      <w:start w:val="1"/>
    </w:lvl>
  </w:abstractNum>
  <w:abstractNum w:abstractNumId="6">
    <w:nsid w:val="79E2A9E3"/>
    <w:multiLevelType w:val="hybridMultilevel"/>
    <w:lvl w:ilvl="0">
      <w:lvlJc w:val="left"/>
      <w:lvlText w:val="●"/>
      <w:numFmt w:val="bullet"/>
      <w:start w:val="1"/>
    </w:lvl>
  </w:abstractNum>
  <w:abstractNum w:abstractNumId="7">
    <w:nsid w:val="7545E146"/>
    <w:multiLevelType w:val="hybridMultilevel"/>
    <w:lvl w:ilvl="0">
      <w:lvlJc w:val="left"/>
      <w:lvlText w:val="%1"/>
      <w:numFmt w:val="decimal"/>
      <w:start w:val="194"/>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jpe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png"/><Relationship Id="rId24" Type="http://schemas.openxmlformats.org/officeDocument/2006/relationships/image" Target="media/image17.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2025-05-12T07:09:17Z</dcterms:created>
  <dcterms:modified xsi:type="dcterms:W3CDTF">2025-05-12T07:09:17Z</dcterms:modified>
</cp:coreProperties>
</file>