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480"/>
        <w:ind w:left="0" w:right="0" w:hanging="0"/>
        <w:jc w:val="left"/>
        <w:rPr/>
      </w:pPr>
      <w:hyperlink w:anchor="TOC">
        <w:bookmarkStart w:id="0" w:name="tmb-20231231x10k.htm"/>
        <w:bookmarkStart w:id="1" w:name="kstmb2023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lineRule="atLeast" w:line="142" w:before="0" w:after="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5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50"/>
        <w:ind w:left="0" w:right="0" w:hanging="0"/>
        <w:jc w:val="center"/>
        <w:rPr>
          <w:rFonts w:ascii="Times New Roman;Times;serif" w:hAnsi="Times New Roman;Times;serif"/>
          <w:b/>
          <w:sz w:val="24"/>
        </w:rPr>
      </w:pPr>
      <w:r>
        <w:rPr>
          <w:rFonts w:ascii="Times New Roman;Times;serif" w:hAnsi="Times New Roman;Times;serif"/>
          <w:b/>
          <w:sz w:val="24"/>
        </w:rPr>
        <w:t>FORM 10-K</w:t>
      </w:r>
    </w:p>
    <w:tbl>
      <w:tblPr>
        <w:tblW w:w="9145" w:type="dxa"/>
        <w:jc w:val="left"/>
        <w:tblInd w:w="0" w:type="dxa"/>
        <w:tblLayout w:type="fixed"/>
        <w:tblCellMar>
          <w:top w:w="0" w:type="dxa"/>
          <w:left w:w="0" w:type="dxa"/>
          <w:bottom w:w="0" w:type="dxa"/>
          <w:right w:w="0" w:type="dxa"/>
        </w:tblCellMar>
      </w:tblPr>
      <w:tblGrid>
        <w:gridCol w:w="230"/>
        <w:gridCol w:w="8915"/>
      </w:tblGrid>
      <w:tr>
        <w:trPr/>
        <w:tc>
          <w:tcPr>
            <w:tcW w:w="230" w:type="dxa"/>
            <w:tcBorders/>
            <w:vAlign w:val="center"/>
          </w:tcPr>
          <w:p>
            <w:pPr>
              <w:pStyle w:val="TableContents"/>
              <w:bidi w:val="0"/>
              <w:spacing w:before="0" w:after="50"/>
              <w:jc w:val="left"/>
              <w:rPr/>
            </w:pPr>
            <w:r>
              <w:rPr/>
              <w:t>☒</w:t>
            </w:r>
          </w:p>
        </w:tc>
        <w:tc>
          <w:tcPr>
            <w:tcW w:w="8915" w:type="dxa"/>
            <w:tcBorders/>
            <w:vAlign w:val="center"/>
          </w:tcPr>
          <w:p>
            <w:pPr>
              <w:pStyle w:val="TableContents"/>
              <w:bidi w:val="0"/>
              <w:spacing w:before="0" w:after="50"/>
              <w:jc w:val="left"/>
              <w:rPr>
                <w:rFonts w:ascii="Times New Roman;Times;serif" w:hAnsi="Times New Roman;Times;serif"/>
                <w:b/>
                <w:sz w:val="18"/>
              </w:rPr>
            </w:pPr>
            <w:r>
              <w:rPr>
                <w:rFonts w:ascii="Times New Roman;Times;serif" w:hAnsi="Times New Roman;Times;serif"/>
                <w:b/>
                <w:sz w:val="18"/>
              </w:rPr>
              <w:t>ANNUAL REPORT PURSUANT TO SECTION 13 OR 15(d) OF THE SECURITIES EXCHANGE ACT OF 1934</w:t>
            </w:r>
          </w:p>
        </w:tc>
      </w:tr>
    </w:tbl>
    <w:p>
      <w:pPr>
        <w:pStyle w:val="TextBody"/>
        <w:bidi w:val="0"/>
        <w:spacing w:before="0" w:after="50"/>
        <w:ind w:left="0" w:right="0" w:hanging="0"/>
        <w:jc w:val="center"/>
        <w:rPr>
          <w:rFonts w:ascii="Times New Roman;Times;serif" w:hAnsi="Times New Roman;Times;serif"/>
          <w:b/>
          <w:sz w:val="18"/>
        </w:rPr>
      </w:pPr>
      <w:r>
        <w:rPr>
          <w:rFonts w:ascii="Times New Roman;Times;serif" w:hAnsi="Times New Roman;Times;serif"/>
          <w:b/>
          <w:sz w:val="18"/>
        </w:rPr>
        <w:t>For the fiscal year ended December 31, 2023</w:t>
      </w:r>
    </w:p>
    <w:p>
      <w:pPr>
        <w:pStyle w:val="TextBody"/>
        <w:bidi w:val="0"/>
        <w:spacing w:before="0" w:after="50"/>
        <w:ind w:left="0" w:right="0" w:hanging="0"/>
        <w:jc w:val="center"/>
        <w:rPr>
          <w:rFonts w:ascii="Times New Roman;Times;serif" w:hAnsi="Times New Roman;Times;serif"/>
          <w:b/>
          <w:sz w:val="18"/>
        </w:rPr>
      </w:pPr>
      <w:r>
        <w:rPr>
          <w:rFonts w:ascii="Times New Roman;Times;serif" w:hAnsi="Times New Roman;Times;serif"/>
          <w:b/>
          <w:sz w:val="18"/>
        </w:rPr>
        <w:t>OR</w:t>
      </w:r>
    </w:p>
    <w:tbl>
      <w:tblPr>
        <w:tblW w:w="9520" w:type="dxa"/>
        <w:jc w:val="left"/>
        <w:tblInd w:w="0" w:type="dxa"/>
        <w:tblLayout w:type="fixed"/>
        <w:tblCellMar>
          <w:top w:w="0" w:type="dxa"/>
          <w:left w:w="0" w:type="dxa"/>
          <w:bottom w:w="0" w:type="dxa"/>
          <w:right w:w="0" w:type="dxa"/>
        </w:tblCellMar>
      </w:tblPr>
      <w:tblGrid>
        <w:gridCol w:w="230"/>
        <w:gridCol w:w="9290"/>
      </w:tblGrid>
      <w:tr>
        <w:trPr/>
        <w:tc>
          <w:tcPr>
            <w:tcW w:w="230" w:type="dxa"/>
            <w:tcBorders/>
            <w:vAlign w:val="center"/>
          </w:tcPr>
          <w:p>
            <w:pPr>
              <w:pStyle w:val="TableContents"/>
              <w:bidi w:val="0"/>
              <w:spacing w:before="0" w:after="50"/>
              <w:jc w:val="left"/>
              <w:rPr/>
            </w:pPr>
            <w:r>
              <w:rPr/>
              <w:t>☐</w:t>
            </w:r>
          </w:p>
        </w:tc>
        <w:tc>
          <w:tcPr>
            <w:tcW w:w="9290" w:type="dxa"/>
            <w:tcBorders/>
            <w:vAlign w:val="center"/>
          </w:tcPr>
          <w:p>
            <w:pPr>
              <w:pStyle w:val="TableContents"/>
              <w:bidi w:val="0"/>
              <w:spacing w:before="0" w:after="5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before="0" w:after="50"/>
        <w:ind w:left="0" w:right="0" w:hanging="0"/>
        <w:jc w:val="center"/>
        <w:rPr>
          <w:rFonts w:ascii="Times New Roman;Times;serif" w:hAnsi="Times New Roman;Times;serif"/>
          <w:b/>
          <w:sz w:val="18"/>
        </w:rPr>
      </w:pPr>
      <w:r>
        <w:rPr>
          <w:rFonts w:ascii="Times New Roman;Times;serif" w:hAnsi="Times New Roman;Times;serif"/>
          <w:b/>
          <w:sz w:val="18"/>
        </w:rPr>
        <w:t>For The Transition Period FromTo</w:t>
      </w:r>
    </w:p>
    <w:p>
      <w:pPr>
        <w:pStyle w:val="TextBody"/>
        <w:bidi w:val="0"/>
        <w:spacing w:before="0" w:after="50"/>
        <w:ind w:left="0" w:right="0" w:hanging="0"/>
        <w:jc w:val="center"/>
        <w:rPr>
          <w:rFonts w:ascii="Times New Roman;Times;serif" w:hAnsi="Times New Roman;Times;serif"/>
          <w:b/>
          <w:sz w:val="18"/>
        </w:rPr>
      </w:pPr>
      <w:r>
        <w:rPr>
          <w:rFonts w:ascii="Times New Roman;Times;serif" w:hAnsi="Times New Roman;Times;serif"/>
          <w:b/>
          <w:sz w:val="18"/>
        </w:rPr>
        <w:t>Commission file number: 001-41929</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ARRIVENT BIOPHARMA, INC.</w:t>
      </w:r>
    </w:p>
    <w:p>
      <w:pPr>
        <w:pStyle w:val="TextBody"/>
        <w:bidi w:val="0"/>
        <w:spacing w:before="0" w:after="5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tbl>
      <w:tblPr>
        <w:tblW w:w="7157" w:type="dxa"/>
        <w:jc w:val="center"/>
        <w:tblInd w:w="0" w:type="dxa"/>
        <w:tblLayout w:type="fixed"/>
        <w:tblCellMar>
          <w:top w:w="0" w:type="dxa"/>
          <w:left w:w="0" w:type="dxa"/>
          <w:bottom w:w="0" w:type="dxa"/>
          <w:right w:w="0" w:type="dxa"/>
        </w:tblCellMar>
      </w:tblPr>
      <w:tblGrid>
        <w:gridCol w:w="4441"/>
        <w:gridCol w:w="2716"/>
      </w:tblGrid>
      <w:tr>
        <w:trPr/>
        <w:tc>
          <w:tcPr>
            <w:tcW w:w="4441" w:type="dxa"/>
            <w:tcBorders/>
            <w:vAlign w:val="center"/>
          </w:tcPr>
          <w:p>
            <w:pPr>
              <w:pStyle w:val="TableContents"/>
              <w:bidi w:val="0"/>
              <w:spacing w:lineRule="atLeast" w:line="142" w:before="0" w:after="0"/>
              <w:ind w:left="0" w:right="0" w:hanging="0"/>
              <w:jc w:val="left"/>
              <w:rPr/>
            </w:pPr>
            <w:r>
              <w:rPr/>
              <w:t>​</w:t>
            </w:r>
          </w:p>
        </w:tc>
        <w:tc>
          <w:tcPr>
            <w:tcW w:w="2716" w:type="dxa"/>
            <w:tcBorders/>
            <w:vAlign w:val="center"/>
          </w:tcPr>
          <w:p>
            <w:pPr>
              <w:pStyle w:val="TableContents"/>
              <w:bidi w:val="0"/>
              <w:spacing w:lineRule="atLeast" w:line="142" w:before="0" w:after="0"/>
              <w:ind w:left="0" w:right="0" w:hanging="0"/>
              <w:jc w:val="left"/>
              <w:rPr/>
            </w:pPr>
            <w:r>
              <w:rPr/>
              <w:t>​</w:t>
            </w:r>
          </w:p>
        </w:tc>
      </w:tr>
      <w:tr>
        <w:trPr/>
        <w:tc>
          <w:tcPr>
            <w:tcW w:w="444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27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86-3336099</w:t>
            </w:r>
          </w:p>
        </w:tc>
      </w:tr>
      <w:tr>
        <w:trPr/>
        <w:tc>
          <w:tcPr>
            <w:tcW w:w="444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of Other Jurisdiction of incorporation or Organization)</w:t>
            </w:r>
          </w:p>
        </w:tc>
        <w:tc>
          <w:tcPr>
            <w:tcW w:w="27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No.)</w:t>
            </w:r>
          </w:p>
        </w:tc>
      </w:tr>
      <w:tr>
        <w:trPr/>
        <w:tc>
          <w:tcPr>
            <w:tcW w:w="4441" w:type="dxa"/>
            <w:tcBorders/>
            <w:vAlign w:val="center"/>
          </w:tcPr>
          <w:p>
            <w:pPr>
              <w:pStyle w:val="TableContents"/>
              <w:bidi w:val="0"/>
              <w:spacing w:before="0" w:after="240"/>
              <w:ind w:left="0" w:right="0" w:hanging="0"/>
              <w:jc w:val="center"/>
              <w:rPr/>
            </w:pPr>
            <w:r>
              <w:rPr/>
              <w:t>​</w:t>
            </w:r>
          </w:p>
        </w:tc>
        <w:tc>
          <w:tcPr>
            <w:tcW w:w="2716" w:type="dxa"/>
            <w:tcBorders/>
            <w:vAlign w:val="center"/>
          </w:tcPr>
          <w:p>
            <w:pPr>
              <w:pStyle w:val="TableContents"/>
              <w:bidi w:val="0"/>
              <w:spacing w:before="0" w:after="240"/>
              <w:ind w:left="0" w:right="0" w:hanging="0"/>
              <w:jc w:val="center"/>
              <w:rPr/>
            </w:pPr>
            <w:r>
              <w:rPr/>
              <w:t>​</w:t>
            </w:r>
          </w:p>
        </w:tc>
      </w:tr>
      <w:tr>
        <w:trPr/>
        <w:tc>
          <w:tcPr>
            <w:tcW w:w="444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18 Campus Boulevard Suite 100, Newtown Square, PA </w:t>
            </w:r>
          </w:p>
        </w:tc>
        <w:tc>
          <w:tcPr>
            <w:tcW w:w="27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19073</w:t>
            </w:r>
          </w:p>
        </w:tc>
      </w:tr>
      <w:tr>
        <w:trPr/>
        <w:tc>
          <w:tcPr>
            <w:tcW w:w="444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27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(628) 277-4836</w:t>
      </w:r>
    </w:p>
    <w:p>
      <w:pPr>
        <w:pStyle w:val="TextBody"/>
        <w:bidi w:val="0"/>
        <w:spacing w:before="0" w:after="5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50"/>
        <w:ind w:left="0" w:right="0" w:hanging="0"/>
        <w:jc w:val="left"/>
        <w:rPr>
          <w:rFonts w:ascii="Times New Roman;Times;serif" w:hAnsi="Times New Roman;Times;serif"/>
          <w:b/>
          <w:sz w:val="18"/>
        </w:rPr>
      </w:pPr>
      <w:r>
        <w:rPr>
          <w:rFonts w:ascii="Times New Roman;Times;serif" w:hAnsi="Times New Roman;Times;serif"/>
          <w:b/>
          <w:sz w:val="18"/>
        </w:rPr>
        <w:t>Securities registered pursuant to Section 12(b) of the Act:</w:t>
      </w:r>
    </w:p>
    <w:tbl>
      <w:tblPr>
        <w:tblW w:w="7233" w:type="dxa"/>
        <w:jc w:val="center"/>
        <w:tblInd w:w="0" w:type="dxa"/>
        <w:tblLayout w:type="fixed"/>
        <w:tblCellMar>
          <w:top w:w="0" w:type="dxa"/>
          <w:left w:w="0" w:type="dxa"/>
          <w:bottom w:w="0" w:type="dxa"/>
          <w:right w:w="0" w:type="dxa"/>
        </w:tblCellMar>
      </w:tblPr>
      <w:tblGrid>
        <w:gridCol w:w="3601"/>
        <w:gridCol w:w="1561"/>
        <w:gridCol w:w="2071"/>
      </w:tblGrid>
      <w:tr>
        <w:trPr/>
        <w:tc>
          <w:tcPr>
            <w:tcW w:w="3601" w:type="dxa"/>
            <w:tcBorders/>
            <w:vAlign w:val="center"/>
          </w:tcPr>
          <w:p>
            <w:pPr>
              <w:pStyle w:val="TableContents"/>
              <w:bidi w:val="0"/>
              <w:spacing w:lineRule="atLeast" w:line="142" w:before="0" w:after="240"/>
              <w:ind w:left="0" w:right="0" w:hanging="0"/>
              <w:jc w:val="left"/>
              <w:rPr/>
            </w:pPr>
            <w:r>
              <w:rPr/>
              <w:t>​</w:t>
            </w:r>
          </w:p>
        </w:tc>
        <w:tc>
          <w:tcPr>
            <w:tcW w:w="1561" w:type="dxa"/>
            <w:tcBorders/>
            <w:vAlign w:val="center"/>
          </w:tcPr>
          <w:p>
            <w:pPr>
              <w:pStyle w:val="TableContents"/>
              <w:bidi w:val="0"/>
              <w:spacing w:lineRule="atLeast" w:line="142" w:before="0" w:after="240"/>
              <w:ind w:left="0" w:right="0" w:hanging="0"/>
              <w:jc w:val="left"/>
              <w:rPr/>
            </w:pPr>
            <w:r>
              <w:rPr/>
              <w:t>​</w:t>
            </w:r>
          </w:p>
        </w:tc>
        <w:tc>
          <w:tcPr>
            <w:tcW w:w="2071" w:type="dxa"/>
            <w:tcBorders/>
            <w:vAlign w:val="center"/>
          </w:tcPr>
          <w:p>
            <w:pPr>
              <w:pStyle w:val="TableContents"/>
              <w:bidi w:val="0"/>
              <w:spacing w:lineRule="atLeast" w:line="142" w:before="0" w:after="240"/>
              <w:ind w:left="0" w:right="0" w:hanging="0"/>
              <w:jc w:val="left"/>
              <w:rPr/>
            </w:pPr>
            <w:r>
              <w:rPr/>
              <w:t>​</w:t>
            </w:r>
          </w:p>
        </w:tc>
      </w:tr>
      <w:tr>
        <w:trPr/>
        <w:tc>
          <w:tcPr>
            <w:tcW w:w="3601" w:type="dxa"/>
            <w:tcBorders/>
            <w:vAlign w:val="center"/>
          </w:tcPr>
          <w:p>
            <w:pPr>
              <w:pStyle w:val="TableContents"/>
              <w:bidi w:val="0"/>
              <w:spacing w:before="0" w:after="240"/>
              <w:ind w:left="0" w:right="0" w:hanging="0"/>
              <w:jc w:val="center"/>
              <w:rPr/>
            </w:pPr>
            <w:r>
              <w:rPr/>
              <w:t>​</w:t>
            </w:r>
          </w:p>
        </w:tc>
        <w:tc>
          <w:tcPr>
            <w:tcW w:w="1561" w:type="dxa"/>
            <w:tcBorders/>
            <w:vAlign w:val="center"/>
          </w:tcPr>
          <w:p>
            <w:pPr>
              <w:pStyle w:val="TableContents"/>
              <w:bidi w:val="0"/>
              <w:spacing w:before="0" w:after="240"/>
              <w:ind w:left="0" w:right="0" w:hanging="0"/>
              <w:jc w:val="center"/>
              <w:rPr/>
            </w:pPr>
            <w:r>
              <w:rPr/>
              <w:t>​</w:t>
            </w:r>
          </w:p>
        </w:tc>
        <w:tc>
          <w:tcPr>
            <w:tcW w:w="207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w:t>
            </w:r>
          </w:p>
        </w:tc>
      </w:tr>
      <w:tr>
        <w:trPr/>
        <w:tc>
          <w:tcPr>
            <w:tcW w:w="360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207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On Which Registered</w:t>
            </w:r>
          </w:p>
        </w:tc>
      </w:tr>
      <w:tr>
        <w:trPr/>
        <w:tc>
          <w:tcPr>
            <w:tcW w:w="360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Common Stock, $0.0001 Par Value per Share</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AVBP</w:t>
            </w:r>
          </w:p>
        </w:tc>
        <w:tc>
          <w:tcPr>
            <w:tcW w:w="207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Nasdaq Global Market</w:t>
            </w:r>
          </w:p>
        </w:tc>
      </w:tr>
    </w:tbl>
    <w:p>
      <w:pPr>
        <w:pStyle w:val="TextBody"/>
        <w:bidi w:val="0"/>
        <w:spacing w:before="0" w:after="240"/>
        <w:ind w:left="0" w:right="0" w:hanging="0"/>
        <w:jc w:val="left"/>
        <w:rPr/>
      </w:pPr>
      <w:r>
        <w:rPr/>
        <w:t>​</w:t>
      </w:r>
    </w:p>
    <w:p>
      <w:pPr>
        <w:pStyle w:val="TextBody"/>
        <w:bidi w:val="0"/>
        <w:spacing w:before="0" w:after="50"/>
        <w:ind w:left="0" w:right="0" w:hanging="0"/>
        <w:jc w:val="left"/>
        <w:rPr>
          <w:rFonts w:ascii="Times New Roman;Times;serif" w:hAnsi="Times New Roman;Times;serif"/>
          <w:b/>
          <w:sz w:val="18"/>
        </w:rPr>
      </w:pPr>
      <w:r>
        <w:rPr>
          <w:rFonts w:ascii="Times New Roman;Times;serif" w:hAnsi="Times New Roman;Times;serif"/>
          <w:b/>
          <w:sz w:val="18"/>
        </w:rPr>
        <w:t>Securities registered pursuant to Section 12(g) of the Act: None</w:t>
      </w:r>
    </w:p>
    <w:p>
      <w:pPr>
        <w:pStyle w:val="TextBody"/>
        <w:bidi w:val="0"/>
        <w:spacing w:before="0" w:after="50"/>
        <w:ind w:left="0" w:right="0" w:hanging="0"/>
        <w:jc w:val="left"/>
        <w:rPr>
          <w:rFonts w:ascii="Times New Roman;Times;serif" w:hAnsi="Times New Roman;Times;serif"/>
          <w:sz w:val="18"/>
        </w:rPr>
      </w:pPr>
      <w:r>
        <w:rPr>
          <w:rFonts w:ascii="Times New Roman;Times;serif" w:hAnsi="Times New Roman;Times;serif"/>
          <w:sz w:val="18"/>
        </w:rPr>
        <w:t>Indicate by check mark if the registrant is a well-known seasoned issuer, as defined in Rule 405 of the Securities Act. Yes ☐   No ☒</w:t>
      </w:r>
    </w:p>
    <w:p>
      <w:pPr>
        <w:pStyle w:val="TextBody"/>
        <w:bidi w:val="0"/>
        <w:spacing w:before="0" w:after="50"/>
        <w:ind w:left="0" w:right="0" w:hanging="0"/>
        <w:jc w:val="left"/>
        <w:rPr>
          <w:rFonts w:ascii="Times New Roman;Times;serif" w:hAnsi="Times New Roman;Times;serif"/>
          <w:sz w:val="18"/>
        </w:rPr>
      </w:pPr>
      <w:r>
        <w:rPr>
          <w:rFonts w:ascii="Times New Roman;Times;serif" w:hAnsi="Times New Roman;Times;serif"/>
          <w:sz w:val="18"/>
        </w:rPr>
        <w:t>Indicate by check mark if the registrant is not required to file reports pursuant to Section 13 or Section 15(d) of the Act. Yes ☐   No ☒</w:t>
      </w:r>
    </w:p>
    <w:p>
      <w:pPr>
        <w:pStyle w:val="TextBody"/>
        <w:bidi w:val="0"/>
        <w:spacing w:before="0" w:after="5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5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has submitted electronically; every Interactive Data File required to be submitted pursuant to Rule 405 of Regulation S-T (§232.0405 of this chapter) during the preceding 12 months (or for such shorter period that the registrant was required to submit such files). Yes ☒   No ☐</w:t>
      </w:r>
    </w:p>
    <w:p>
      <w:pPr>
        <w:pStyle w:val="TextBody"/>
        <w:bidi w:val="0"/>
        <w:spacing w:before="0" w:after="5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1" w:type="dxa"/>
        <w:jc w:val="left"/>
        <w:tblInd w:w="0" w:type="dxa"/>
        <w:tblLayout w:type="fixed"/>
        <w:tblCellMar>
          <w:top w:w="0" w:type="dxa"/>
          <w:left w:w="0" w:type="dxa"/>
          <w:bottom w:w="0" w:type="dxa"/>
          <w:right w:w="0" w:type="dxa"/>
        </w:tblCellMar>
      </w:tblPr>
      <w:tblGrid>
        <w:gridCol w:w="1666"/>
        <w:gridCol w:w="109"/>
        <w:gridCol w:w="316"/>
        <w:gridCol w:w="109"/>
        <w:gridCol w:w="2041"/>
        <w:gridCol w:w="109"/>
        <w:gridCol w:w="361"/>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1666"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Large accelerated filer</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Accelerated filer</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0"/>
              <w:ind w:left="0" w:right="0" w:hanging="0"/>
              <w:jc w:val="both"/>
              <w:rPr/>
            </w:pPr>
            <w:r>
              <w:rPr/>
              <w:t>☐</w:t>
            </w:r>
          </w:p>
        </w:tc>
      </w:tr>
      <w:tr>
        <w:trPr/>
        <w:tc>
          <w:tcPr>
            <w:tcW w:w="1666"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Non-accelerated filer</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Smaller reporting company</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0"/>
              <w:ind w:left="0" w:right="0" w:hanging="0"/>
              <w:jc w:val="both"/>
              <w:rPr/>
            </w:pPr>
            <w:r>
              <w:rPr/>
              <w:t>⊠</w:t>
            </w:r>
          </w:p>
        </w:tc>
      </w:tr>
      <w:tr>
        <w:trPr/>
        <w:tc>
          <w:tcPr>
            <w:tcW w:w="166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Emerging growth company</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50"/>
        <w:ind w:left="0" w:right="0" w:hanging="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5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before="0" w:after="50"/>
        <w:ind w:left="0" w:right="0" w:hanging="0"/>
        <w:jc w:val="left"/>
        <w:rPr>
          <w:rFonts w:ascii="Times New Roman;Times;serif" w:hAnsi="Times New Roman;Times;serif"/>
          <w:sz w:val="18"/>
        </w:rPr>
      </w:pPr>
      <w:r>
        <w:rPr>
          <w:rFonts w:ascii="Times New Roman;Times;serif" w:hAnsi="Times New Roman;Times;serif"/>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50"/>
        <w:ind w:left="0" w:right="0" w:hanging="0"/>
        <w:jc w:val="left"/>
        <w:rPr>
          <w:rFonts w:ascii="Times New Roman;Times;serif" w:hAnsi="Times New Roman;Times;serif"/>
          <w:sz w:val="18"/>
        </w:rPr>
      </w:pPr>
      <w:r>
        <w:rPr>
          <w:rFonts w:ascii="Times New Roman;Times;serif" w:hAnsi="Times New Roman;Times;serif"/>
          <w:sz w:val="18"/>
        </w:rPr>
        <w:t>Indicate by check mark whether any of those error corrections are restatements that required a recovery analysis of incentive-based compensation received by any of the registrant’s executive oﬃcers during the relevant recovery period pursuant to §240.10D-1(b). ☐</w:t>
      </w:r>
    </w:p>
    <w:p>
      <w:pPr>
        <w:pStyle w:val="TextBody"/>
        <w:bidi w:val="0"/>
        <w:spacing w:before="0" w:after="5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 shell company (as defined in Rule 12b-2 of the Exchange Act). Yes ☐   No ☒</w:t>
      </w:r>
    </w:p>
    <w:p>
      <w:pPr>
        <w:pStyle w:val="TextBody"/>
        <w:bidi w:val="0"/>
        <w:spacing w:before="0" w:after="50"/>
        <w:ind w:left="0" w:right="0" w:hanging="0"/>
        <w:jc w:val="left"/>
        <w:rPr>
          <w:rFonts w:ascii="Times New Roman;Times;serif" w:hAnsi="Times New Roman;Times;serif"/>
          <w:sz w:val="18"/>
        </w:rPr>
      </w:pPr>
      <w:r>
        <w:rPr>
          <w:rFonts w:ascii="Times New Roman;Times;serif" w:hAnsi="Times New Roman;Times;serif"/>
          <w:sz w:val="18"/>
        </w:rPr>
        <w:t>The aggregate market value of the common stock held by non-affiliates of the registrant, based on the closing price of a share of common stock on January 26, 2024, as reported by The Nasdaq Global Market on such date was approximately $558.1 million. The registrant has elected to use January 26, 2024, which was the initial trading date on The Nasdaq Global Market, as the calculation date because on June 30, 2023 (the last business day of the registrant’s most recently completed second fiscal quarter) the registrant was a privately held company. This calculation does not reflect a determination that certain persons are affiliates of the registrant for any other purpose.</w:t>
      </w:r>
    </w:p>
    <w:p>
      <w:pPr>
        <w:pStyle w:val="TextBody"/>
        <w:bidi w:val="0"/>
        <w:spacing w:before="0" w:after="50"/>
        <w:ind w:left="0" w:right="0" w:hanging="0"/>
        <w:jc w:val="center"/>
        <w:rPr>
          <w:rFonts w:ascii="Times New Roman;Times;serif" w:hAnsi="Times New Roman;Times;serif"/>
          <w:b/>
          <w:sz w:val="18"/>
        </w:rPr>
      </w:pPr>
      <w:r>
        <w:rPr>
          <w:rFonts w:ascii="Times New Roman;Times;serif" w:hAnsi="Times New Roman;Times;serif"/>
          <w:b/>
          <w:sz w:val="18"/>
        </w:rPr>
        <w:t>Documents Incorporated by Reference</w:t>
      </w:r>
    </w:p>
    <w:p>
      <w:pPr>
        <w:pStyle w:val="TextBody"/>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None.</w:t>
      </w:r>
    </w:p>
    <w:p>
      <w:pPr>
        <w:pStyle w:val="TextBody"/>
        <w:bidi w:val="0"/>
        <w:spacing w:before="0" w:after="0"/>
        <w:ind w:left="0" w:right="0" w:hanging="0"/>
        <w:jc w:val="center"/>
        <w:rPr/>
      </w:pPr>
      <w:r>
        <w:rPr/>
        <w:t>​</w:t>
      </w:r>
    </w:p>
    <w:p>
      <w:pPr>
        <w:pStyle w:val="TextBody"/>
        <w:pBdr>
          <w:top w:val="single" w:sz="2" w:space="1" w:color="000000"/>
          <w:bottom w:val="single" w:sz="24" w:space="1" w:color="000000"/>
        </w:pBdr>
        <w:bidi w:val="0"/>
        <w:spacing w:lineRule="atLeast" w:line="142"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 w:name="TOC"/>
      <w:bookmarkEnd w:id="2"/>
      <w:r>
        <w:rPr>
          <w:rFonts w:ascii="Times New Roman;Times;serif" w:hAnsi="Times New Roman;Times;serif"/>
          <w:b/>
          <w:sz w:val="20"/>
        </w:rPr>
        <w:t>TABLE OF CONTENTS</w:t>
      </w:r>
    </w:p>
    <w:tbl>
      <w:tblPr>
        <w:tblW w:w="10205" w:type="dxa"/>
        <w:jc w:val="center"/>
        <w:tblInd w:w="0" w:type="dxa"/>
        <w:tblLayout w:type="fixed"/>
        <w:tblCellMar>
          <w:top w:w="0" w:type="dxa"/>
          <w:left w:w="0" w:type="dxa"/>
          <w:bottom w:w="0" w:type="dxa"/>
          <w:right w:w="0" w:type="dxa"/>
        </w:tblCellMar>
      </w:tblPr>
      <w:tblGrid>
        <w:gridCol w:w="9488"/>
        <w:gridCol w:w="206"/>
        <w:gridCol w:w="511"/>
      </w:tblGrid>
      <w:tr>
        <w:trPr/>
        <w:tc>
          <w:tcPr>
            <w:tcW w:w="94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024880" cy="175260"/>
                      <wp:effectExtent l="0" t="0" r="0" b="0"/>
                      <wp:wrapNone/>
                      <wp:docPr id="1" name="Frame1"/>
                      <a:graphic xmlns:a="http://schemas.openxmlformats.org/drawingml/2006/main">
                        <a:graphicData uri="http://schemas.microsoft.com/office/word/2010/wordprocessingShape">
                          <wps:wsp>
                            <wps:cNvSpPr txBox="1"/>
                            <wps:spPr>
                              <a:xfrm>
                                <a:off x="0" y="0"/>
                                <a:ext cx="6024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24485" cy="175260"/>
                      <wp:effectExtent l="0" t="0" r="0" b="0"/>
                      <wp:wrapNone/>
                      <wp:docPr id="2" name="Frame2"/>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48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center"/>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10205" w:type="dxa"/>
            <w:gridSpan w:val="3"/>
            <w:tcBorders/>
            <w:vAlign w:val="center"/>
          </w:tcPr>
          <w:p>
            <w:pPr>
              <w:pStyle w:val="TableContents"/>
              <w:bidi w:val="0"/>
              <w:spacing w:before="0" w:after="0"/>
              <w:ind w:left="0" w:right="0" w:hanging="0"/>
              <w:jc w:val="center"/>
              <w:rPr/>
            </w:pPr>
            <w:hyperlink w:anchor="PARTI_409800">
              <w:r>
                <w:rPr>
                  <w:rStyle w:val="InternetLink"/>
                  <w:rFonts w:ascii="Times New Roman;Times;serif" w:hAnsi="Times New Roman;Times;serif"/>
                  <w:b/>
                  <w:i w:val="false"/>
                  <w:caps w:val="false"/>
                  <w:smallCaps w:val="false"/>
                  <w:sz w:val="20"/>
                </w:rPr>
                <w:t>PART I</w:t>
              </w:r>
            </w:hyperlink>
          </w:p>
        </w:tc>
      </w:tr>
      <w:tr>
        <w:trPr/>
        <w:tc>
          <w:tcPr>
            <w:tcW w:w="948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488" w:type="dxa"/>
            <w:tcBorders/>
            <w:vAlign w:val="center"/>
          </w:tcPr>
          <w:p>
            <w:pPr>
              <w:pStyle w:val="TableContents"/>
              <w:bidi w:val="0"/>
              <w:spacing w:before="0" w:after="0"/>
              <w:ind w:left="0" w:right="0" w:hanging="0"/>
              <w:jc w:val="left"/>
              <w:rPr/>
            </w:pPr>
            <w:hyperlink w:anchor="Item1Business_712383">
              <w:r>
                <w:rPr>
                  <w:rStyle w:val="InternetLink"/>
                  <w:rFonts w:ascii="Times New Roman;Times;serif" w:hAnsi="Times New Roman;Times;serif"/>
                  <w:b w:val="false"/>
                  <w:i w:val="false"/>
                  <w:caps w:val="false"/>
                  <w:smallCaps w:val="false"/>
                  <w:sz w:val="20"/>
                </w:rPr>
                <w:t>Item 1. Business</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48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488" w:type="dxa"/>
            <w:tcBorders/>
            <w:vAlign w:val="center"/>
          </w:tcPr>
          <w:p>
            <w:pPr>
              <w:pStyle w:val="TableContents"/>
              <w:bidi w:val="0"/>
              <w:spacing w:before="0" w:after="0"/>
              <w:ind w:left="0" w:right="0" w:hanging="0"/>
              <w:jc w:val="left"/>
              <w:rPr/>
            </w:pPr>
            <w:hyperlink w:anchor="Item1ARiskFactors_286292">
              <w:r>
                <w:rPr>
                  <w:rStyle w:val="InternetLink"/>
                  <w:rFonts w:ascii="Times New Roman;Times;serif" w:hAnsi="Times New Roman;Times;serif"/>
                  <w:b w:val="false"/>
                  <w:i w:val="false"/>
                  <w:caps w:val="false"/>
                  <w:smallCaps w:val="false"/>
                  <w:sz w:val="20"/>
                </w:rPr>
                <w:t>Item 1A. Risk Factors</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948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488" w:type="dxa"/>
            <w:tcBorders/>
            <w:vAlign w:val="center"/>
          </w:tcPr>
          <w:p>
            <w:pPr>
              <w:pStyle w:val="TableContents"/>
              <w:bidi w:val="0"/>
              <w:spacing w:before="0" w:after="0"/>
              <w:ind w:left="0" w:right="0" w:hanging="0"/>
              <w:jc w:val="left"/>
              <w:rPr/>
            </w:pPr>
            <w:hyperlink w:anchor="Item1BUnresolvedStaffComments_852271">
              <w:r>
                <w:rPr>
                  <w:rStyle w:val="InternetLink"/>
                  <w:rFonts w:ascii="Times New Roman;Times;serif" w:hAnsi="Times New Roman;Times;serif"/>
                  <w:b w:val="false"/>
                  <w:i w:val="false"/>
                  <w:caps w:val="false"/>
                  <w:smallCaps w:val="false"/>
                  <w:sz w:val="20"/>
                </w:rPr>
                <w:t>Item 1B. Unresolved Staff Comments</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r>
      <w:tr>
        <w:trPr/>
        <w:tc>
          <w:tcPr>
            <w:tcW w:w="948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488" w:type="dxa"/>
            <w:tcBorders/>
            <w:vAlign w:val="center"/>
          </w:tcPr>
          <w:p>
            <w:pPr>
              <w:pStyle w:val="TableContents"/>
              <w:bidi w:val="0"/>
              <w:spacing w:before="0" w:after="0"/>
              <w:ind w:left="0" w:right="0" w:hanging="0"/>
              <w:jc w:val="left"/>
              <w:rPr/>
            </w:pPr>
            <w:hyperlink w:anchor="Item1C">
              <w:r>
                <w:rPr>
                  <w:rStyle w:val="InternetLink"/>
                  <w:rFonts w:ascii="Times New Roman;Times;serif" w:hAnsi="Times New Roman;Times;serif"/>
                  <w:b w:val="false"/>
                  <w:i w:val="false"/>
                  <w:caps w:val="false"/>
                  <w:smallCaps w:val="false"/>
                  <w:sz w:val="20"/>
                </w:rPr>
                <w:t>Item 1C. Cybersecurity</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r>
      <w:tr>
        <w:trPr/>
        <w:tc>
          <w:tcPr>
            <w:tcW w:w="948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488" w:type="dxa"/>
            <w:tcBorders/>
            <w:vAlign w:val="center"/>
          </w:tcPr>
          <w:p>
            <w:pPr>
              <w:pStyle w:val="TableContents"/>
              <w:bidi w:val="0"/>
              <w:spacing w:before="0" w:after="0"/>
              <w:ind w:left="0" w:right="0" w:hanging="0"/>
              <w:jc w:val="left"/>
              <w:rPr/>
            </w:pPr>
            <w:hyperlink w:anchor="Item2Properties_509434">
              <w:r>
                <w:rPr>
                  <w:rStyle w:val="InternetLink"/>
                  <w:rFonts w:ascii="Times New Roman;Times;serif" w:hAnsi="Times New Roman;Times;serif"/>
                  <w:b w:val="false"/>
                  <w:i w:val="false"/>
                  <w:caps w:val="false"/>
                  <w:smallCaps w:val="false"/>
                  <w:sz w:val="20"/>
                </w:rPr>
                <w:t>Item 2. Properties</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948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488" w:type="dxa"/>
            <w:tcBorders/>
            <w:vAlign w:val="center"/>
          </w:tcPr>
          <w:p>
            <w:pPr>
              <w:pStyle w:val="TableContents"/>
              <w:bidi w:val="0"/>
              <w:spacing w:before="0" w:after="0"/>
              <w:ind w:left="0" w:right="0" w:hanging="0"/>
              <w:jc w:val="left"/>
              <w:rPr/>
            </w:pPr>
            <w:hyperlink w:anchor="Item3LegalProceedings_721813">
              <w:r>
                <w:rPr>
                  <w:rStyle w:val="InternetLink"/>
                  <w:rFonts w:ascii="Times New Roman;Times;serif" w:hAnsi="Times New Roman;Times;serif"/>
                  <w:b w:val="false"/>
                  <w:i w:val="false"/>
                  <w:caps w:val="false"/>
                  <w:smallCaps w:val="false"/>
                  <w:sz w:val="20"/>
                </w:rPr>
                <w:t>Item 3. Legal Proceedings</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948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488" w:type="dxa"/>
            <w:tcBorders/>
            <w:vAlign w:val="center"/>
          </w:tcPr>
          <w:p>
            <w:pPr>
              <w:pStyle w:val="TableContents"/>
              <w:bidi w:val="0"/>
              <w:spacing w:before="0" w:after="0"/>
              <w:ind w:left="0" w:right="0" w:hanging="0"/>
              <w:jc w:val="left"/>
              <w:rPr/>
            </w:pPr>
            <w:hyperlink w:anchor="Item4MineSafetyDisclosures_892234">
              <w:r>
                <w:rPr>
                  <w:rStyle w:val="InternetLink"/>
                  <w:rFonts w:ascii="Times New Roman;Times;serif" w:hAnsi="Times New Roman;Times;serif"/>
                  <w:b w:val="false"/>
                  <w:i w:val="false"/>
                  <w:caps w:val="false"/>
                  <w:smallCaps w:val="false"/>
                  <w:sz w:val="20"/>
                </w:rPr>
                <w:t>Item 4. Mine Safety Disclosures</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948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10205" w:type="dxa"/>
            <w:gridSpan w:val="3"/>
            <w:tcBorders/>
            <w:vAlign w:val="center"/>
          </w:tcPr>
          <w:p>
            <w:pPr>
              <w:pStyle w:val="TableContents"/>
              <w:bidi w:val="0"/>
              <w:spacing w:before="0" w:after="0"/>
              <w:ind w:left="0" w:right="0" w:hanging="0"/>
              <w:jc w:val="center"/>
              <w:rPr/>
            </w:pPr>
            <w:hyperlink w:anchor="PARTII_585094">
              <w:r>
                <w:rPr>
                  <w:rStyle w:val="InternetLink"/>
                  <w:rFonts w:ascii="Times New Roman;Times;serif" w:hAnsi="Times New Roman;Times;serif"/>
                  <w:b/>
                  <w:i w:val="false"/>
                  <w:caps w:val="false"/>
                  <w:smallCaps w:val="false"/>
                  <w:sz w:val="20"/>
                </w:rPr>
                <w:t>PART II</w:t>
              </w:r>
            </w:hyperlink>
          </w:p>
        </w:tc>
      </w:tr>
      <w:tr>
        <w:trPr/>
        <w:tc>
          <w:tcPr>
            <w:tcW w:w="948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488" w:type="dxa"/>
            <w:tcBorders/>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Item 5. Market for Registrant’s Common Equity, Related Stockholder Matters and Issuer Purchases of Equity Securities</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948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488" w:type="dxa"/>
            <w:tcBorders/>
            <w:vAlign w:val="center"/>
          </w:tcPr>
          <w:p>
            <w:pPr>
              <w:pStyle w:val="TableContents"/>
              <w:bidi w:val="0"/>
              <w:spacing w:before="0" w:after="0"/>
              <w:ind w:left="0" w:right="0" w:hanging="0"/>
              <w:jc w:val="left"/>
              <w:rPr/>
            </w:pPr>
            <w:hyperlink w:anchor="Item6SelectedFinancialData_120462">
              <w:r>
                <w:rPr>
                  <w:rStyle w:val="InternetLink"/>
                  <w:rFonts w:ascii="Times New Roman;Times;serif" w:hAnsi="Times New Roman;Times;serif"/>
                  <w:b w:val="false"/>
                  <w:i w:val="false"/>
                  <w:caps w:val="false"/>
                  <w:smallCaps w:val="false"/>
                  <w:sz w:val="20"/>
                </w:rPr>
                <w:t>Item 6. [Reserved]</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r>
      <w:tr>
        <w:trPr/>
        <w:tc>
          <w:tcPr>
            <w:tcW w:w="948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488"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Item 7. Management’s Discussion and Analysis of Financial Condition and Results of Operations</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r>
      <w:tr>
        <w:trPr/>
        <w:tc>
          <w:tcPr>
            <w:tcW w:w="948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488"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Item 7A. Quantitative and Qualitative Disclosures About Market Risk</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948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488"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Item 8. Financial Statements and Supplementary Data</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948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488"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Item 9. Changes in and Disagreements With Accountants on Accounting and Financial Disclosure</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948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488" w:type="dxa"/>
            <w:tcBorders/>
            <w:vAlign w:val="center"/>
          </w:tcPr>
          <w:p>
            <w:pPr>
              <w:pStyle w:val="TableContents"/>
              <w:bidi w:val="0"/>
              <w:spacing w:before="0" w:after="0"/>
              <w:ind w:left="0" w:right="0" w:hanging="0"/>
              <w:jc w:val="left"/>
              <w:rPr/>
            </w:pPr>
            <w:hyperlink w:anchor="Item9AControlsandProcedures_386536">
              <w:r>
                <w:rPr>
                  <w:rStyle w:val="InternetLink"/>
                  <w:rFonts w:ascii="Times New Roman;Times;serif" w:hAnsi="Times New Roman;Times;serif"/>
                  <w:b w:val="false"/>
                  <w:i w:val="false"/>
                  <w:caps w:val="false"/>
                  <w:smallCaps w:val="false"/>
                  <w:sz w:val="20"/>
                </w:rPr>
                <w:t>Item 9A. Controls and Procedures</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948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488" w:type="dxa"/>
            <w:tcBorders/>
            <w:vAlign w:val="center"/>
          </w:tcPr>
          <w:p>
            <w:pPr>
              <w:pStyle w:val="TableContents"/>
              <w:bidi w:val="0"/>
              <w:spacing w:before="0" w:after="0"/>
              <w:ind w:left="0" w:right="0" w:hanging="0"/>
              <w:jc w:val="left"/>
              <w:rPr/>
            </w:pPr>
            <w:hyperlink w:anchor="Item9BOtherInformation_44931">
              <w:r>
                <w:rPr>
                  <w:rStyle w:val="InternetLink"/>
                  <w:rFonts w:ascii="Times New Roman;Times;serif" w:hAnsi="Times New Roman;Times;serif"/>
                  <w:b w:val="false"/>
                  <w:i w:val="false"/>
                  <w:caps w:val="false"/>
                  <w:smallCaps w:val="false"/>
                  <w:sz w:val="20"/>
                </w:rPr>
                <w:t>Item 9B. Other Information</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r>
      <w:tr>
        <w:trPr/>
        <w:tc>
          <w:tcPr>
            <w:tcW w:w="948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488" w:type="dxa"/>
            <w:tcBorders/>
            <w:vAlign w:val="center"/>
          </w:tcPr>
          <w:p>
            <w:pPr>
              <w:pStyle w:val="TableContents"/>
              <w:bidi w:val="0"/>
              <w:spacing w:before="0" w:after="0"/>
              <w:ind w:left="0" w:right="0" w:hanging="0"/>
              <w:jc w:val="left"/>
              <w:rPr/>
            </w:pPr>
            <w:hyperlink w:anchor="Item9C">
              <w:r>
                <w:rPr>
                  <w:rStyle w:val="InternetLink"/>
                  <w:rFonts w:ascii="Times New Roman;Times;serif" w:hAnsi="Times New Roman;Times;serif"/>
                  <w:b w:val="false"/>
                  <w:i w:val="false"/>
                  <w:caps w:val="false"/>
                  <w:smallCaps w:val="false"/>
                  <w:sz w:val="20"/>
                </w:rPr>
                <w:t>Item 9C. Disclosure Regarding Foreign Jurisdictions that Prevent Inspections</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r>
      <w:tr>
        <w:trPr/>
        <w:tc>
          <w:tcPr>
            <w:tcW w:w="948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10205" w:type="dxa"/>
            <w:gridSpan w:val="3"/>
            <w:tcBorders/>
            <w:vAlign w:val="center"/>
          </w:tcPr>
          <w:p>
            <w:pPr>
              <w:pStyle w:val="TableContents"/>
              <w:bidi w:val="0"/>
              <w:spacing w:before="0" w:after="0"/>
              <w:ind w:left="0" w:right="0" w:hanging="0"/>
              <w:jc w:val="center"/>
              <w:rPr/>
            </w:pPr>
            <w:hyperlink w:anchor="PARTIII_386044">
              <w:r>
                <w:rPr>
                  <w:rStyle w:val="InternetLink"/>
                  <w:rFonts w:ascii="Times New Roman;Times;serif" w:hAnsi="Times New Roman;Times;serif"/>
                  <w:b/>
                  <w:i w:val="false"/>
                  <w:caps w:val="false"/>
                  <w:smallCaps w:val="false"/>
                  <w:sz w:val="20"/>
                </w:rPr>
                <w:t>PART III</w:t>
              </w:r>
            </w:hyperlink>
          </w:p>
        </w:tc>
      </w:tr>
      <w:tr>
        <w:trPr/>
        <w:tc>
          <w:tcPr>
            <w:tcW w:w="948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488"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Item 10. Directors, Executive Officers and Corporate Governance</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r>
      <w:tr>
        <w:trPr/>
        <w:tc>
          <w:tcPr>
            <w:tcW w:w="948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488" w:type="dxa"/>
            <w:tcBorders/>
            <w:vAlign w:val="center"/>
          </w:tcPr>
          <w:p>
            <w:pPr>
              <w:pStyle w:val="TableContents"/>
              <w:bidi w:val="0"/>
              <w:spacing w:before="0" w:after="0"/>
              <w:ind w:left="0" w:right="0" w:hanging="0"/>
              <w:jc w:val="left"/>
              <w:rPr/>
            </w:pPr>
            <w:hyperlink w:anchor="Item11ExecutiveCompensation_801682">
              <w:r>
                <w:rPr>
                  <w:rStyle w:val="InternetLink"/>
                  <w:rFonts w:ascii="Times New Roman;Times;serif" w:hAnsi="Times New Roman;Times;serif"/>
                  <w:b w:val="false"/>
                  <w:i w:val="false"/>
                  <w:caps w:val="false"/>
                  <w:smallCaps w:val="false"/>
                  <w:sz w:val="20"/>
                </w:rPr>
                <w:t>Item 11. Executive Compensation</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r>
      <w:tr>
        <w:trPr/>
        <w:tc>
          <w:tcPr>
            <w:tcW w:w="948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488"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Item 12. Security Ownership of Certain Beneficial Owners and Management and Related Stockholder Matters</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r>
      <w:tr>
        <w:trPr/>
        <w:tc>
          <w:tcPr>
            <w:tcW w:w="948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488"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Item 13. Certain Relationships and Related Transactions, and Director Independence</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948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488" w:type="dxa"/>
            <w:tcBorders/>
            <w:vAlign w:val="center"/>
          </w:tcPr>
          <w:p>
            <w:pPr>
              <w:pStyle w:val="TableContents"/>
              <w:bidi w:val="0"/>
              <w:spacing w:before="0" w:after="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20"/>
                </w:rPr>
                <w:t>Item 14. Principal Accountant Fees and Services</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r>
      <w:tr>
        <w:trPr/>
        <w:tc>
          <w:tcPr>
            <w:tcW w:w="948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10205" w:type="dxa"/>
            <w:gridSpan w:val="3"/>
            <w:tcBorders/>
            <w:vAlign w:val="center"/>
          </w:tcPr>
          <w:p>
            <w:pPr>
              <w:pStyle w:val="TableContents"/>
              <w:bidi w:val="0"/>
              <w:spacing w:before="0" w:after="0"/>
              <w:ind w:left="0" w:right="0" w:hanging="0"/>
              <w:jc w:val="center"/>
              <w:rPr/>
            </w:pPr>
            <w:hyperlink w:anchor="PartIV_493200">
              <w:r>
                <w:rPr>
                  <w:rStyle w:val="InternetLink"/>
                  <w:rFonts w:ascii="Times New Roman;Times;serif" w:hAnsi="Times New Roman;Times;serif"/>
                  <w:b/>
                  <w:i w:val="false"/>
                  <w:caps w:val="false"/>
                  <w:smallCaps w:val="false"/>
                  <w:sz w:val="20"/>
                </w:rPr>
                <w:t>PART IV</w:t>
              </w:r>
            </w:hyperlink>
          </w:p>
        </w:tc>
      </w:tr>
      <w:tr>
        <w:trPr/>
        <w:tc>
          <w:tcPr>
            <w:tcW w:w="948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488" w:type="dxa"/>
            <w:tcBorders/>
            <w:vAlign w:val="center"/>
          </w:tcPr>
          <w:p>
            <w:pPr>
              <w:pStyle w:val="TableContents"/>
              <w:bidi w:val="0"/>
              <w:spacing w:before="0" w:after="0"/>
              <w:ind w:left="0" w:right="0" w:hanging="0"/>
              <w:jc w:val="left"/>
              <w:rPr/>
            </w:pPr>
            <w:hyperlink w:anchor="Item15ExhibitsandFinancialStatementSched">
              <w:r>
                <w:rPr>
                  <w:rStyle w:val="InternetLink"/>
                  <w:rFonts w:ascii="Times New Roman;Times;serif" w:hAnsi="Times New Roman;Times;serif"/>
                  <w:b w:val="false"/>
                  <w:i w:val="false"/>
                  <w:caps w:val="false"/>
                  <w:smallCaps w:val="false"/>
                  <w:sz w:val="20"/>
                </w:rPr>
                <w:t>Item 15. Exhibits and Financial Statement Schedules</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r>
      <w:tr>
        <w:trPr/>
        <w:tc>
          <w:tcPr>
            <w:tcW w:w="948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488" w:type="dxa"/>
            <w:tcBorders/>
            <w:vAlign w:val="center"/>
          </w:tcPr>
          <w:p>
            <w:pPr>
              <w:pStyle w:val="TableContents"/>
              <w:bidi w:val="0"/>
              <w:spacing w:before="0" w:after="0"/>
              <w:ind w:left="0" w:right="0" w:hanging="0"/>
              <w:jc w:val="left"/>
              <w:rPr/>
            </w:pPr>
            <w:hyperlink w:anchor="Item16Form10KSummary_50420">
              <w:r>
                <w:rPr>
                  <w:rStyle w:val="InternetLink"/>
                  <w:rFonts w:ascii="Times New Roman;Times;serif" w:hAnsi="Times New Roman;Times;serif"/>
                  <w:b w:val="false"/>
                  <w:i w:val="false"/>
                  <w:caps w:val="false"/>
                  <w:smallCaps w:val="false"/>
                  <w:sz w:val="20"/>
                </w:rPr>
                <w:t>Item 16. Form 10-K Summary</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r>
      <w:tr>
        <w:trPr/>
        <w:tc>
          <w:tcPr>
            <w:tcW w:w="948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488" w:type="dxa"/>
            <w:tcBorders/>
            <w:vAlign w:val="center"/>
          </w:tcPr>
          <w:p>
            <w:pPr>
              <w:pStyle w:val="TableContents"/>
              <w:bidi w:val="0"/>
              <w:spacing w:before="0" w:after="0"/>
              <w:ind w:left="0" w:right="0" w:hanging="0"/>
              <w:jc w:val="left"/>
              <w:rPr/>
            </w:pPr>
            <w:hyperlink w:anchor="SIGNATURES_368893">
              <w:r>
                <w:rPr>
                  <w:rStyle w:val="InternetLink"/>
                  <w:rFonts w:ascii="Times New Roman;Times;serif" w:hAnsi="Times New Roman;Times;serif"/>
                  <w:b w:val="false"/>
                  <w:i w:val="false"/>
                  <w:caps w:val="false"/>
                  <w:smallCaps w:val="false"/>
                  <w:sz w:val="20"/>
                </w:rPr>
                <w:t>Signatures</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r>
      <w:tr>
        <w:trPr/>
        <w:tc>
          <w:tcPr>
            <w:tcW w:w="948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702"/>
        <w:jc w:val="center"/>
        <w:rPr>
          <w:rFonts w:ascii="Times New Roman;Times;serif" w:hAnsi="Times New Roman;Times;serif"/>
          <w:b/>
          <w:sz w:val="20"/>
        </w:rPr>
      </w:pPr>
      <w:r>
        <w:rPr>
          <w:rFonts w:ascii="Times New Roman;Times;serif" w:hAnsi="Times New Roman;Times;serif"/>
          <w:b/>
          <w:sz w:val="20"/>
        </w:rPr>
        <w:t>SPECIAL NOTE REGARDING FORWARD-LOOKING STATEMENTS</w:t>
      </w:r>
    </w:p>
    <w:p>
      <w:pPr>
        <w:pStyle w:val="TextBody"/>
        <w:bidi w:val="0"/>
        <w:spacing w:before="0" w:after="0"/>
        <w:ind w:left="0" w:right="0" w:firstLine="400"/>
        <w:jc w:val="left"/>
        <w:rPr/>
      </w:pPr>
      <w:r>
        <w:rPr/>
        <w:t>​</w:t>
      </w:r>
    </w:p>
    <w:p>
      <w:pPr>
        <w:pStyle w:val="TextBody"/>
        <w:bidi w:val="0"/>
        <w:spacing w:before="0" w:after="0"/>
        <w:ind w:left="0" w:right="0" w:firstLine="400"/>
        <w:jc w:val="left"/>
        <w:rPr>
          <w:rFonts w:ascii="Times New Roman;Times;serif" w:hAnsi="Times New Roman;Times;serif"/>
          <w:sz w:val="20"/>
        </w:rPr>
      </w:pPr>
      <w:r>
        <w:rPr>
          <w:rFonts w:ascii="Times New Roman;Times;serif" w:hAnsi="Times New Roman;Times;serif"/>
          <w:sz w:val="20"/>
        </w:rPr>
        <w:t>This Annual Report on Form 10-K (Annual Report) contains forward-looking statements that involve risks and uncertainties. All statements other than statements of historical facts contained in this Annual Report, including statements regarding our future results of operations and financial position, business strategy, plans for our product candidates, planned preclinical studies and clinical trials, results of clinical trials, future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0" w:after="0"/>
        <w:ind w:left="0" w:right="0" w:firstLine="400"/>
        <w:jc w:val="left"/>
        <w:rPr/>
      </w:pPr>
      <w:r>
        <w:rPr/>
        <w:t>​</w:t>
      </w:r>
    </w:p>
    <w:p>
      <w:pPr>
        <w:pStyle w:val="TextBody"/>
        <w:bidi w:val="0"/>
        <w:spacing w:before="0" w:after="0"/>
        <w:ind w:left="0" w:right="0" w:firstLine="400"/>
        <w:jc w:val="left"/>
        <w:rPr>
          <w:rFonts w:ascii="Times New Roman;Times;serif" w:hAnsi="Times New Roman;Times;serif"/>
          <w:sz w:val="20"/>
        </w:rPr>
      </w:pPr>
      <w:r>
        <w:rPr>
          <w:rFonts w:ascii="Times New Roman;Times;serif" w:hAnsi="Times New Roman;Times;serif"/>
          <w:sz w:val="20"/>
        </w:rPr>
        <w:t>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progress and results of preclinical studies and clinical trials for furmonertinib or any of our other current or future product candidates, including our product development plans and strategies;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of our addressable market, market growth, future revenue, key performance indicators, expenses, capital requirements and our needs for additional financing;</w:t>
            </w:r>
          </w:p>
        </w:tc>
      </w:tr>
    </w:tbl>
    <w:p>
      <w:pPr>
        <w:pStyle w:val="TextBody"/>
        <w:bidi w:val="0"/>
        <w:spacing w:before="0" w:after="0"/>
        <w:ind w:left="0" w:right="0" w:hanging="0"/>
        <w:jc w:val="left"/>
        <w:rPr/>
      </w:pPr>
      <w:r>
        <w:rPr/>
        <w:t>​</w:t>
      </w:r>
    </w:p>
    <w:tbl>
      <w:tblPr>
        <w:tblW w:w="4083" w:type="dxa"/>
        <w:jc w:val="left"/>
        <w:tblInd w:w="0" w:type="dxa"/>
        <w:tblLayout w:type="fixed"/>
        <w:tblCellMar>
          <w:top w:w="0" w:type="dxa"/>
          <w:left w:w="0" w:type="dxa"/>
          <w:bottom w:w="0" w:type="dxa"/>
          <w:right w:w="0" w:type="dxa"/>
        </w:tblCellMar>
      </w:tblPr>
      <w:tblGrid>
        <w:gridCol w:w="23"/>
        <w:gridCol w:w="170"/>
        <w:gridCol w:w="38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funding for our operations;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the continued service of our key professionals and to identify, hire and retain additional qualified professionals;</w:t>
            </w:r>
          </w:p>
        </w:tc>
      </w:tr>
    </w:tbl>
    <w:p>
      <w:pPr>
        <w:pStyle w:val="TextBody"/>
        <w:bidi w:val="0"/>
        <w:spacing w:before="0" w:after="0"/>
        <w:ind w:left="0" w:right="0" w:hanging="0"/>
        <w:jc w:val="left"/>
        <w:rPr/>
      </w:pPr>
      <w:r>
        <w:rPr/>
        <w:t>​</w:t>
      </w:r>
    </w:p>
    <w:tbl>
      <w:tblPr>
        <w:tblW w:w="7398" w:type="dxa"/>
        <w:jc w:val="left"/>
        <w:tblInd w:w="0" w:type="dxa"/>
        <w:tblLayout w:type="fixed"/>
        <w:tblCellMar>
          <w:top w:w="0" w:type="dxa"/>
          <w:left w:w="0" w:type="dxa"/>
          <w:bottom w:w="0" w:type="dxa"/>
          <w:right w:w="0" w:type="dxa"/>
        </w:tblCellMar>
      </w:tblPr>
      <w:tblGrid>
        <w:gridCol w:w="23"/>
        <w:gridCol w:w="170"/>
        <w:gridCol w:w="72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advance product candidates into, and successfully complete, clinical trials;</w:t>
            </w:r>
          </w:p>
        </w:tc>
      </w:tr>
    </w:tbl>
    <w:p>
      <w:pPr>
        <w:pStyle w:val="TextBody"/>
        <w:bidi w:val="0"/>
        <w:spacing w:before="0" w:after="0"/>
        <w:ind w:left="0" w:right="0" w:hanging="0"/>
        <w:jc w:val="left"/>
        <w:rPr/>
      </w:pPr>
      <w:r>
        <w:rPr/>
        <w:t>​</w:t>
      </w:r>
    </w:p>
    <w:tbl>
      <w:tblPr>
        <w:tblW w:w="4998" w:type="dxa"/>
        <w:jc w:val="left"/>
        <w:tblInd w:w="0" w:type="dxa"/>
        <w:tblLayout w:type="fixed"/>
        <w:tblCellMar>
          <w:top w:w="0" w:type="dxa"/>
          <w:left w:w="0" w:type="dxa"/>
          <w:bottom w:w="0" w:type="dxa"/>
          <w:right w:w="0" w:type="dxa"/>
        </w:tblCellMar>
      </w:tblPr>
      <w:tblGrid>
        <w:gridCol w:w="23"/>
        <w:gridCol w:w="170"/>
        <w:gridCol w:w="48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or likelihood of regulatory filing and approvals;</w:t>
            </w:r>
          </w:p>
        </w:tc>
      </w:tr>
    </w:tbl>
    <w:p>
      <w:pPr>
        <w:pStyle w:val="TextBody"/>
        <w:bidi w:val="0"/>
        <w:spacing w:before="0" w:after="0"/>
        <w:ind w:left="0" w:right="0" w:hanging="0"/>
        <w:jc w:val="left"/>
        <w:rPr/>
      </w:pPr>
      <w:r>
        <w:rPr/>
        <w:t>​</w:t>
      </w:r>
    </w:p>
    <w:tbl>
      <w:tblPr>
        <w:tblW w:w="5223" w:type="dxa"/>
        <w:jc w:val="left"/>
        <w:tblInd w:w="0" w:type="dxa"/>
        <w:tblLayout w:type="fixed"/>
        <w:tblCellMar>
          <w:top w:w="0" w:type="dxa"/>
          <w:left w:w="0" w:type="dxa"/>
          <w:bottom w:w="0" w:type="dxa"/>
          <w:right w:w="0" w:type="dxa"/>
        </w:tblCellMar>
      </w:tblPr>
      <w:tblGrid>
        <w:gridCol w:w="23"/>
        <w:gridCol w:w="170"/>
        <w:gridCol w:w="50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commercialization of our product candidates, if approved;</w:t>
            </w:r>
          </w:p>
        </w:tc>
      </w:tr>
    </w:tbl>
    <w:p>
      <w:pPr>
        <w:pStyle w:val="TextBody"/>
        <w:bidi w:val="0"/>
        <w:spacing w:before="0" w:after="0"/>
        <w:ind w:left="0" w:right="0" w:hanging="0"/>
        <w:jc w:val="left"/>
        <w:rPr/>
      </w:pPr>
      <w:r>
        <w:rPr/>
        <w:t>​</w:t>
      </w:r>
    </w:p>
    <w:tbl>
      <w:tblPr>
        <w:tblW w:w="5883" w:type="dxa"/>
        <w:jc w:val="left"/>
        <w:tblInd w:w="0" w:type="dxa"/>
        <w:tblLayout w:type="fixed"/>
        <w:tblCellMar>
          <w:top w:w="0" w:type="dxa"/>
          <w:left w:w="0" w:type="dxa"/>
          <w:bottom w:w="0" w:type="dxa"/>
          <w:right w:w="0" w:type="dxa"/>
        </w:tblCellMar>
      </w:tblPr>
      <w:tblGrid>
        <w:gridCol w:w="23"/>
        <w:gridCol w:w="170"/>
        <w:gridCol w:w="56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pricing and reimbursement of our product candidates, if approved;</w:t>
            </w:r>
          </w:p>
        </w:tc>
      </w:tr>
    </w:tbl>
    <w:p>
      <w:pPr>
        <w:pStyle w:val="TextBody"/>
        <w:bidi w:val="0"/>
        <w:spacing w:before="0" w:after="0"/>
        <w:ind w:left="0" w:right="0" w:hanging="0"/>
        <w:jc w:val="left"/>
        <w:rPr/>
      </w:pPr>
      <w:r>
        <w:rPr/>
        <w:t>​</w:t>
      </w:r>
    </w:p>
    <w:tbl>
      <w:tblPr>
        <w:tblW w:w="9213" w:type="dxa"/>
        <w:jc w:val="left"/>
        <w:tblInd w:w="0" w:type="dxa"/>
        <w:tblLayout w:type="fixed"/>
        <w:tblCellMar>
          <w:top w:w="0" w:type="dxa"/>
          <w:left w:w="0" w:type="dxa"/>
          <w:bottom w:w="0" w:type="dxa"/>
          <w:right w:w="0" w:type="dxa"/>
        </w:tblCellMar>
      </w:tblPr>
      <w:tblGrid>
        <w:gridCol w:w="23"/>
        <w:gridCol w:w="170"/>
        <w:gridCol w:w="90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of our business model, strategic plans for our business, product candidates and technology;</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of protection we are able to establish and maintain for intellectual property rights covering our product candidates and technology;</w:t>
            </w:r>
          </w:p>
        </w:tc>
      </w:tr>
    </w:tbl>
    <w:p>
      <w:pPr>
        <w:pStyle w:val="TextBody"/>
        <w:bidi w:val="0"/>
        <w:spacing w:before="0" w:after="0"/>
        <w:ind w:left="0" w:right="0" w:hanging="0"/>
        <w:jc w:val="left"/>
        <w:rPr/>
      </w:pPr>
      <w:r>
        <w:rPr/>
        <w:t>​</w:t>
      </w:r>
    </w:p>
    <w:tbl>
      <w:tblPr>
        <w:tblW w:w="4998" w:type="dxa"/>
        <w:jc w:val="left"/>
        <w:tblInd w:w="0" w:type="dxa"/>
        <w:tblLayout w:type="fixed"/>
        <w:tblCellMar>
          <w:top w:w="0" w:type="dxa"/>
          <w:left w:w="0" w:type="dxa"/>
          <w:bottom w:w="0" w:type="dxa"/>
          <w:right w:w="0" w:type="dxa"/>
        </w:tblCellMar>
      </w:tblPr>
      <w:tblGrid>
        <w:gridCol w:w="23"/>
        <w:gridCol w:w="170"/>
        <w:gridCol w:w="48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relating to our competitors and our industry;</w:t>
            </w:r>
          </w:p>
        </w:tc>
      </w:tr>
    </w:tbl>
    <w:p>
      <w:pPr>
        <w:pStyle w:val="TextBody"/>
        <w:bidi w:val="0"/>
        <w:spacing w:before="0" w:after="0"/>
        <w:ind w:left="0" w:right="0" w:hanging="0"/>
        <w:jc w:val="left"/>
        <w:rPr/>
      </w:pPr>
      <w:r>
        <w:rPr/>
        <w:t>​</w:t>
      </w:r>
    </w:p>
    <w:tbl>
      <w:tblPr>
        <w:tblW w:w="8793" w:type="dxa"/>
        <w:jc w:val="left"/>
        <w:tblInd w:w="0" w:type="dxa"/>
        <w:tblLayout w:type="fixed"/>
        <w:tblCellMar>
          <w:top w:w="0" w:type="dxa"/>
          <w:left w:w="0" w:type="dxa"/>
          <w:bottom w:w="0" w:type="dxa"/>
          <w:right w:w="0" w:type="dxa"/>
        </w:tblCellMar>
      </w:tblPr>
      <w:tblGrid>
        <w:gridCol w:w="23"/>
        <w:gridCol w:w="170"/>
        <w:gridCol w:w="86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accuracy of our estimates regarding expenses, capital requirements and needs for additional financing;</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source sufficient clinical product for our clinical trials and, if our product candidates are approved and commercialized, commercial product;</w:t>
            </w:r>
          </w:p>
        </w:tc>
      </w:tr>
    </w:tbl>
    <w:p>
      <w:pPr>
        <w:pStyle w:val="TextBody"/>
        <w:bidi w:val="0"/>
        <w:spacing w:before="0" w:after="0"/>
        <w:ind w:left="720" w:right="0" w:hanging="0"/>
        <w:jc w:val="left"/>
        <w:rPr/>
      </w:pPr>
      <w:r>
        <w:rPr/>
        <w:t>​</w:t>
      </w:r>
    </w:p>
    <w:tbl>
      <w:tblPr>
        <w:tblW w:w="9723" w:type="dxa"/>
        <w:jc w:val="left"/>
        <w:tblInd w:w="0" w:type="dxa"/>
        <w:tblLayout w:type="fixed"/>
        <w:tblCellMar>
          <w:top w:w="0" w:type="dxa"/>
          <w:left w:w="0" w:type="dxa"/>
          <w:bottom w:w="0" w:type="dxa"/>
          <w:right w:w="0" w:type="dxa"/>
        </w:tblCellMar>
      </w:tblPr>
      <w:tblGrid>
        <w:gridCol w:w="23"/>
        <w:gridCol w:w="170"/>
        <w:gridCol w:w="95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any health epidemics and outbreaks, including the novel coronavirus (COVID-19), on our business; and</w:t>
            </w:r>
          </w:p>
        </w:tc>
      </w:tr>
    </w:tbl>
    <w:p>
      <w:pPr>
        <w:pStyle w:val="TextBody"/>
        <w:bidi w:val="0"/>
        <w:spacing w:before="0" w:after="0"/>
        <w:ind w:left="0" w:right="0" w:hanging="0"/>
        <w:jc w:val="left"/>
        <w:rPr/>
      </w:pPr>
      <w:r>
        <w:rPr/>
        <w:t>​</w:t>
      </w:r>
    </w:p>
    <w:tbl>
      <w:tblPr>
        <w:tblW w:w="2343" w:type="dxa"/>
        <w:jc w:val="left"/>
        <w:tblInd w:w="0" w:type="dxa"/>
        <w:tblLayout w:type="fixed"/>
        <w:tblCellMar>
          <w:top w:w="0" w:type="dxa"/>
          <w:left w:w="0" w:type="dxa"/>
          <w:bottom w:w="0" w:type="dxa"/>
          <w:right w:w="0" w:type="dxa"/>
        </w:tblCellMar>
      </w:tblPr>
      <w:tblGrid>
        <w:gridCol w:w="23"/>
        <w:gridCol w:w="170"/>
        <w:gridCol w:w="21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performance.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3" w:name="_AEIOULastRenderedPageBreakAEIOU4"/>
      <w:bookmarkEnd w:id="3"/>
      <w:r>
        <w:rPr>
          <w:rFonts w:ascii="Times New Roman;Times;serif" w:hAnsi="Times New Roman;Times;serif"/>
          <w:sz w:val="20"/>
        </w:rPr>
        <w:t>These forward-looking statements are subject to a number of risks, uncertainties and assumptions, including those described in the “Risk Factors” section and elsewhere in this Annual Report.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may not occur and actual results could differ materially and adversely from those anticipated or implied in the forward-looking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You should not rely upon forward-looking statements as predictions of future events. In addition, statements that “we believe” and similar statements reflect our beliefs and opinions on the relevant subject and are based on information available to us as of the date of this Annual Report. Although we believe such information forms a reasonable basis for the expectations reflected in the forward-looking statements, such information may be limited or incomplete, and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Annual Report to conform these statements to new information, actual results or to changes in our expectations, except as required by law.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You should read this Annual Report and the documents that we reference in this Annual Report and have filed with the Securities and Exchange Commission (SEC) as exhibits to this Annual Report with the understanding that our actual future results, levels of activity, performance, and events and circumstances may be materially different from what we expect.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Annual Report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Such data involves a number of assumptions and limitations and contains projections and estimates of the future performance of the markets in which we operate and intend to operate that are subject to a high degree of uncertainty. We caution you not to give undue weight to such projections, assumptions and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Annual Report contains references to our trademarks and to trademarks belonging to other entities. Solely for convenience, trademarks and trade names referred to in this Annual Report,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PART I</w:t>
      </w:r>
      <w:bookmarkStart w:id="4" w:name="PARTI_409800"/>
      <w:bookmarkEnd w:id="4"/>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1. Business</w:t>
      </w:r>
      <w:bookmarkStart w:id="5" w:name="Item1Business_712383"/>
      <w:bookmarkEnd w:id="5"/>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 clinical-stage biopharmaceutical company dedicated to the identification, development and commercialization of differentiated medicines to address the unmet medical needs of patients with cancers. We seek to utilize our team’s deep drug development experience to maximize the potential of our lead development candidate, furmonertinib, and advance a pipeline of novel therapeutics, such as next-generation antibody drug conjugates, through approval and commercialization in patients suffering from cancer, with an initial focus on solid tumors. Furmonertinib is currently being evaluated in multiple clinical trials across a range of epidermal growth factor receptor (EGFR) mutations (EGFRm) in non-small cell lung cancer (NSCLC), including a pivotal Phase 3 clinical trial in treatment naive, or first-line, patients with locally advanced or metastatic EGFRm NSCLC with exon 20 insertion mutations. We received Breakthrough Therapy Designation for furmonertinib for this disease from the U.S. Food and Drug Administration (FDA) in October 2023</w:t>
      </w:r>
      <w:r>
        <w:rPr>
          <w:rFonts w:ascii="Times New Roman;Times;serif" w:hAnsi="Times New Roman;Times;serif"/>
          <w:sz w:val="20"/>
          <w:shd w:fill="FFFFFF" w:val="clear"/>
        </w:rPr>
        <w:t>, and Orphan Drug Designation for treatment of NSCLC with EGFRm or human epidermal growth factor receptor 2 (HER2) mutations or HER4 mutations in February 2024</w:t>
      </w:r>
      <w:r>
        <w:rPr>
          <w:rFonts w:ascii="Times New Roman;Times;serif" w:hAnsi="Times New Roman;Times;serif"/>
          <w:sz w:val="20"/>
        </w:rPr>
        <w:t>. A product candidate can receive Breakthrough Therapy Designation if preliminary clinical evidence indicates that the product candidate, alone or in combination with one or more other drugs,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can help to identify the most efficient path for development. The receipt of a Breakthrough Therapy Designation for a product candidate may not result in a faster development process, review or approval compared to product candidates considered for approval under conventional FDA procedures and does not increase the likelihood that the product candidate will ultimately receive FDA approval for any indication.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Furmonertinib is an investigational, novel, EGFR mutant-selective tyrosine kinase inhibitor (TKI) that we are developing for the treatment of NSCLC patients across a broader set of EGFR mutations (EGFRm) than are currently served by approved EGFR TKIs. Furmonertinib is currently only approved and commercially distributed by Shanghai Allist Pharmaceuticals Company, Ltd. (Allist) in China as a first-line therapy to treat classical EGFRm NSCLC. The FDA has not approved furmonertinib for any use. We selected furmonertinib for global development against nonclassical, or uncommon, mutations based on preliminary reductions in tumor size activity observed in seven out of ten patients in first-line treatment with EGFR exon 20 insertion mutations in the ongoing Phase 1b clinical trial, the FAVOUR trial, conducted by Allist in China, and preclinical activity in P-loop and-alpha-c-helix compressing (PACC) mutations, each a subtype of uncommon mutation. In a subsequent interim data readout from the FAVOUR trial of furmonertinib in first-line patients with locally advanced or metastatic EGFRm NSCLC with exon 20 insertion mutations, 79% of patients (n=22 out of 28 patients) were observed to experience a reduction in tumor size of at least 30%. Allist expects to release final results of the primary analysis from the FAVOUR study in 2024. If the future clinical trial results of the FAVOUR trial are unfavorable, our clinical development plans for furmonertinib, which include conducting our global, pivotal Phase 3 FURVENT clinical trial in first-line non-squamous locally advanced or metastatic EGFRm NSCLC patients with exon 20 insertion mutations, may be adversely affected. In 2021, we licensed from Allist the right to develop and commercialize furmonertinib worldwide, with the exception of greater China, which includes mainland China, Hong Kong, Macau and Taiwan.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one of the most prevalent cancers in the world, lung cancer imposes a significant global burden on human health, and EGFRm NSCLC represents a significant proportion of those affected. Despite progress in the therapeutic landscape for EGFRm NSCLC, many patients, particularly those with uncommon mutations, such as exon 20 insertions or PACC mutations, are underserved by existing treatments. In an interim data readout from the FAVOUR trial of furmonertinib in first-line patients with locally advanced or metastatic EGFRm NSCLC with exon 20 insertion mutations, 79% of patients (n=22 out of 28 patients) were observed to experience a reduction in tumor size of at least 30% from the baseline in a patient without evidence of progression as measured by Response Evaluation Criteria in Solid Tumors (RECIST) 1.1 criteria. This measurement of reduction is the threshold in this trial for a partial response and for inclusion in determination of the overall response rate (ORR), which is the primary endpoint of this trial. In the same interim data readout, those 79% of patients were observed to experience a 15.2 month median duration of response (DOR). Interim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results may not be indicative of final results; however, we believe these interim clinical results underscore furmonertinib’s potential in patients whose tumors contain an uncommon EGFRm.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currently conducting a pivotal Phase 3 clinical trial, the FURVENT clinical trial, in first-line locally advanced or metastatic non-squamous EGFRm NSCLC patients with exon 20 insertion mutations and we expect topline data from this trial in 2025. Additionally, we are conducting a Phase 1b clinical trial, the FURTHER clinical trial, in NSCLC patients with activating EGFRm, including a cohort with PACC mutations which has been fully enrolled, and we expect proof of concept data for this cohort in 2024. Subject to review of data and regulatory feedback, we intend to expand this Phase 1b clinical trial into a potentially registrational clinical trial for EGFRm NSCLC patients with PACC mutations.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Since our inception in 2021, we have assembled a robust oncology pipeline by leveraging our global network and our experience in business development transactions. In 2021, we licensed from Allist the right to develop and commercialize furmonertinib worldwide, with the exception of greater China, which includes mainland China, Hong Kong, Macau and Taiwan. We plan to continue to engage in business development activities to source additional innovative therapeutics in areas currently underserved by approved therapies. This broader strategy includes evaluating research collaborations, partnerships and licensing arrangements intended to expand our development pipeline of differentiated and next-generation oncology assets. The following table summarizes our current pipeline indicating the most advanced stage of development:</w:t>
      </w:r>
    </w:p>
    <w:p>
      <w:pPr>
        <w:pStyle w:val="TextBody"/>
        <w:bidi w:val="0"/>
        <w:spacing w:before="0" w:after="0"/>
        <w:ind w:left="0" w:right="0" w:hanging="0"/>
        <w:jc w:val="center"/>
        <w:rPr/>
      </w:pPr>
      <w:r>
        <w:rPr/>
        <w:drawing>
          <wp:inline distT="0" distB="0" distL="0" distR="0">
            <wp:extent cx="5733415" cy="240157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5733415" cy="2401570"/>
                    </a:xfrm>
                    <a:prstGeom prst="rect">
                      <a:avLst/>
                    </a:prstGeom>
                  </pic:spPr>
                </pic:pic>
              </a:graphicData>
            </a:graphic>
          </wp:inline>
        </w:drawing>
      </w:r>
    </w:p>
    <w:p>
      <w:pPr>
        <w:pStyle w:val="HorizontalLine"/>
        <w:pBdr>
          <w:bottom w:val="single" w:sz="6" w:space="0" w:color="000000"/>
        </w:pBdr>
        <w:bidi w:val="0"/>
        <w:spacing w:before="0" w:after="0"/>
        <w:ind w:left="0" w:right="7654" w:hanging="0"/>
        <w:jc w:val="left"/>
        <w:rPr/>
      </w:pPr>
      <w:r>
        <w:rPr/>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NSCLC: non-small cell lung cancer; EGFR: epidermal growth factor receptor; PACC: P-loop alpha-c helix compressing</w:t>
      </w:r>
    </w:p>
    <w:p>
      <w:pPr>
        <w:pStyle w:val="TextBody"/>
        <w:bidi w:val="0"/>
        <w:spacing w:before="0" w:after="120"/>
        <w:ind w:left="0" w:right="0" w:hanging="0"/>
        <w:jc w:val="left"/>
        <w:rPr>
          <w:rFonts w:ascii="Times New Roman;Times;serif" w:hAnsi="Times New Roman;Times;serif"/>
          <w:sz w:val="16"/>
        </w:rPr>
      </w:pPr>
      <w:r>
        <w:rPr>
          <w:rFonts w:ascii="Times New Roman;Times;serif" w:hAnsi="Times New Roman;Times;serif"/>
          <w:sz w:val="16"/>
        </w:rPr>
        <w:t>Allist: Shanghai Allist Pharmaceuticals Company, Ltd.; InnoCare: Beijing InnoCare Pharma Tech Co., Ltd.; Aarvik: Aarvik Therapeutics, Inc.; 1L: First-line therapy; 1L+: Treatment naive and previously treated with non-TKI therapies; 2L+: Second-line or greater therapy; SHP2i: SHP2 inhibitor.</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w:t>
            </w:r>
          </w:p>
        </w:tc>
        <w:tc>
          <w:tcPr>
            <w:tcW w:w="10095"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The investigation of furmonertinib for the first-line treatment of NSCLC EGFR exon 20 insertion mutations is based on the ongoing FAVOUR Phase 1b study conducted by Allist and the ongoing FURVENT Phase 3 study. These studies are not yet complete, and no Phase 2 study has been conducted for this indication.</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120"/>
              <w:jc w:val="left"/>
              <w:rPr/>
            </w:pPr>
            <w:r>
              <w:rPr/>
              <w:t>†</w:t>
            </w:r>
          </w:p>
        </w:tc>
        <w:tc>
          <w:tcPr>
            <w:tcW w:w="10065"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The ongoing FURTHER Phase 1b study investigating furmonertinib for the treatment of EGFRm NSCLC includes cohorts with PACC mutations (first-line or greater) and exon 20 insertion mutations (second-line or greater).</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40"/>
              <w:jc w:val="left"/>
              <w:rPr>
                <w:rFonts w:ascii="Times New Roman;Times;serif" w:hAnsi="Times New Roman;Times;serif"/>
                <w:sz w:val="16"/>
              </w:rPr>
            </w:pPr>
            <w:r>
              <w:rPr>
                <w:rFonts w:ascii="Times New Roman;Times;serif" w:hAnsi="Times New Roman;Times;serif"/>
                <w:sz w:val="16"/>
              </w:rPr>
              <w:t>#</w:t>
            </w:r>
          </w:p>
        </w:tc>
        <w:tc>
          <w:tcPr>
            <w:tcW w:w="10095" w:type="dxa"/>
            <w:tcBorders/>
            <w:vAlign w:val="center"/>
          </w:tcPr>
          <w:p>
            <w:pPr>
              <w:pStyle w:val="TableContents"/>
              <w:bidi w:val="0"/>
              <w:spacing w:before="0" w:after="240"/>
              <w:jc w:val="left"/>
              <w:rPr>
                <w:rFonts w:ascii="Times New Roman;Times;serif" w:hAnsi="Times New Roman;Times;serif"/>
                <w:sz w:val="16"/>
              </w:rPr>
            </w:pPr>
            <w:r>
              <w:rPr>
                <w:rFonts w:ascii="Times New Roman;Times;serif" w:hAnsi="Times New Roman;Times;serif"/>
                <w:sz w:val="16"/>
              </w:rPr>
              <w:t>The evaluation of furmonertinib in combination with SHP2i for the second-line or greater treatment of EGFRm NSCLC is based on the ongoing Phase 1b study in collaboration with InnoCare.</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Currently approved EGFR TKIs have achieved considerable commercial success and have become the standard of care for patients with NSCLC with classical EGFRm which comprise approximately 69% of all EGFRm NSCLC patients. However, many of these therapies, including AstraZeneca plc’s (AstraZeneca) third-generation EGFR TKI, osimertinib (TAGRISSO</w:t>
      </w:r>
      <w:r>
        <w:rPr>
          <w:rFonts w:ascii="Times New Roman;Times;serif" w:hAnsi="Times New Roman;Times;serif"/>
          <w:sz w:val="15"/>
        </w:rPr>
        <w:t>®</w:t>
      </w:r>
      <w:r>
        <w:rPr>
          <w:rFonts w:ascii="Times New Roman;Times;serif" w:hAnsi="Times New Roman;Times;serif"/>
          <w:sz w:val="20"/>
        </w:rPr>
        <w:t xml:space="preserve">), are minimally active against or not approved for use in a significant portion of NSCLC patients with uncommon EGFRm. This unmet need leaves many EGFRm NSCLC patients with few effective treatment options. Furmonertinib is currently approved and commercially distributed by Allist in China as a first-line therapy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treat classical EGFRm NSCLC. However, furmonertinib was designed to have strong inhibitory activity, not only against classical EGFRm, but also against uncommon EGFRm, such as exon 20 insertion and PACC mutations which together account for approximately 22% of EGFRm NSCLC.</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 date, furmonertinib has been evaluated in multiple clinical trials with an aggregate patient population of over 700 patients against a broad range of EGFRm NSCLC, including both classical and uncommon EGFRm. Based on the results of preclinical and clinical trials conducted to date, we believe that furmonertinib has the potential to retain many of the key advantages of third-generation EGFR TKIs compared to first- and second-generation EGFR TKIs, including overcoming T790M mutations that confer resistance, while also targeting a broader set of EGFRm. In 2022, Allist first reported the results of its FURLONG clinical trial, a double blind, placebo-controlled Phase 3 clinical trial of furmonertinib in first-line NSCLC patients with classical EGFRm. In FURLONG, furmonertinib was compared with the first-generation EGFR TKI, gefitinib, and demonstrated superior progression free survival (PFS) over gefitinib, showing a median PFS of 20.8 months versus 11.1 months for gefitinib. Furmonertinib’s ability to cross the blood-brain barrier was also demonstrated in this clinical trial with a central nervous system (CNS) metastases specific ORR, which measured reduction of tumor size of at least 30% in brain metastases if present at the start of therapy, of 91% versus 65% for gefitinib. Based on observed clinical activity against exon 20 insertions in the FAVOUR clinical trial and observed activity against PACC mutations in preclinical studies, we believe furmonertinib is potentially differentiated from third-generation EGFR TKIs approved for classical EGFRm NSCLC.</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the United States and the European Union, standard of care for first-line therapy in EGFRm NSCLC involving exon 20 insertion mutations is platinum-based chemotherapy with pemetrexed, which has significantly lower response rates and DOR compared to results achieved in first-line patients with classical EGFRm who can be treated with approved third-generation EGFR TKIs. Over 9% of EGFRm NSCLC patients are estimated to have exon 20 insertion mutations. Two EGFR-targeted therapies, mobocertinib (EXKIVITY</w:t>
      </w:r>
      <w:r>
        <w:rPr>
          <w:rFonts w:ascii="Times New Roman;Times;serif" w:hAnsi="Times New Roman;Times;serif"/>
          <w:sz w:val="15"/>
        </w:rPr>
        <w:t>®</w:t>
      </w:r>
      <w:r>
        <w:rPr>
          <w:rFonts w:ascii="Times New Roman;Times;serif" w:hAnsi="Times New Roman;Times;serif"/>
          <w:sz w:val="20"/>
        </w:rPr>
        <w:t>) and amivantamab (RYBREVANT</w:t>
      </w:r>
      <w:r>
        <w:rPr>
          <w:rFonts w:ascii="Times New Roman;Times;serif" w:hAnsi="Times New Roman;Times;serif"/>
          <w:sz w:val="15"/>
        </w:rPr>
        <w:t>®</w:t>
      </w:r>
      <w:r>
        <w:rPr>
          <w:rFonts w:ascii="Times New Roman;Times;serif" w:hAnsi="Times New Roman;Times;serif"/>
          <w:sz w:val="20"/>
        </w:rPr>
        <w:t>), are approved in the United States for previously treated EGFRm NSCLC patients with exon 20 insertion mutations. However, both drugs lack sufficient brain penetrance to effectively treat brain metastasis. In addition, mobocertinib has considerable safety and tolerability drawbacks. In October 2023, Takeda announced it is working with the FDA towards a voluntary withdrawal of mobocertinib in the United States</w:t>
      </w:r>
      <w:r>
        <w:rPr>
          <w:rFonts w:ascii="Times New Roman;Times;serif" w:hAnsi="Times New Roman;Times;serif"/>
          <w:sz w:val="20"/>
          <w:shd w:fill="FFFFFF" w:val="clear"/>
        </w:rPr>
        <w:t>, and intends to similarly initiate voluntary withdrawal globally,</w:t>
      </w:r>
      <w:r>
        <w:rPr>
          <w:rFonts w:ascii="Times New Roman;Times;serif" w:hAnsi="Times New Roman;Times;serif"/>
          <w:sz w:val="20"/>
        </w:rPr>
        <w:t xml:space="preserve"> for patients with EGFR exon 20 insertion mutation-positive locally advanced or metastatic NSCLC whose disease has progressed on or after platinum-based chemotherapy. Furthermore, amivantamab is an intravenously administered biologic with high administration burden. We believe furmonertinib, if approved, has the potential to become a chemotherapy-free oral regimen in first-line EGFRm NSCLC patients with exon 20 insertion mutations given the clinical data generated in this patient population to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Guidelines employing TKIs for the treatment of many of the PACC-specific EGFRm are not established and, as a result, chemotherapy is often used as the default course of therapy, offering limited efficacy and introducing chemotherapy-related toxicity. Afatinib (GILOTRIF</w:t>
      </w:r>
      <w:r>
        <w:rPr>
          <w:rFonts w:ascii="Times New Roman;Times;serif" w:hAnsi="Times New Roman;Times;serif"/>
          <w:sz w:val="15"/>
        </w:rPr>
        <w:t>®</w:t>
      </w:r>
      <w:r>
        <w:rPr>
          <w:rFonts w:ascii="Times New Roman;Times;serif" w:hAnsi="Times New Roman;Times;serif"/>
          <w:sz w:val="20"/>
        </w:rPr>
        <w:t>), a second-generation TKI, is also used in some patients, but has a poor safety profile and is not brain penetrant. Over 12% of EGFRm NSCLC patients are estimated to have PACC mutations. If approved, we believe furmonertinib has the potential to become a leading treatment option for first-line EGFRm NSCLC patients with PACC mutations based on furmonertinib’s preclinical activity observed against these mutations and the evaluation of furmonertinib in multiple clinical trials.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Furmonertinib Development Initiative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designed a robust global clinical development plan across a broad spectrum of EGFRm NSCLC patient populations for which we believe furmonertinib will have a differentiated profile compared to currently available treatments. The following table describes the key planned and ongoing clinical trials of furmonertinib conducted by us or our collaboration partners:</w:t>
      </w:r>
    </w:p>
    <w:p>
      <w:pPr>
        <w:pStyle w:val="TextBody"/>
        <w:bidi w:val="0"/>
        <w:spacing w:before="0" w:after="0"/>
        <w:ind w:left="0" w:right="0" w:hanging="0"/>
        <w:jc w:val="center"/>
        <w:rPr/>
      </w:pPr>
      <w:r>
        <w:rPr/>
        <w:drawing>
          <wp:inline distT="0" distB="0" distL="0" distR="0">
            <wp:extent cx="5791200" cy="21463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5791200" cy="2146300"/>
                    </a:xfrm>
                    <a:prstGeom prst="rect">
                      <a:avLst/>
                    </a:prstGeom>
                  </pic:spPr>
                </pic:pic>
              </a:graphicData>
            </a:graphic>
          </wp:inline>
        </w:drawing>
      </w:r>
    </w:p>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40"/>
              <w:jc w:val="left"/>
              <w:rPr>
                <w:rFonts w:ascii="Times New Roman;Times;serif" w:hAnsi="Times New Roman;Times;serif"/>
                <w:sz w:val="16"/>
              </w:rPr>
            </w:pPr>
            <w:r>
              <w:rPr>
                <w:rFonts w:ascii="Times New Roman;Times;serif" w:hAnsi="Times New Roman;Times;serif"/>
                <w:sz w:val="16"/>
              </w:rPr>
              <w:t>*</w:t>
            </w:r>
          </w:p>
        </w:tc>
        <w:tc>
          <w:tcPr>
            <w:tcW w:w="10095" w:type="dxa"/>
            <w:tcBorders/>
            <w:vAlign w:val="center"/>
          </w:tcPr>
          <w:p>
            <w:pPr>
              <w:pStyle w:val="TableContents"/>
              <w:bidi w:val="0"/>
              <w:spacing w:before="0" w:after="240"/>
              <w:jc w:val="left"/>
              <w:rPr>
                <w:rFonts w:ascii="Times New Roman;Times;serif" w:hAnsi="Times New Roman;Times;serif"/>
                <w:sz w:val="16"/>
              </w:rPr>
            </w:pPr>
            <w:r>
              <w:rPr>
                <w:rFonts w:ascii="Times New Roman;Times;serif" w:hAnsi="Times New Roman;Times;serif"/>
                <w:sz w:val="16"/>
              </w:rPr>
              <w:t>Allist sponsor; ** Pursuant to InnoCare clinical collaboration agreement; 1L: First-Line Therapy; 2L+: Second-line or greater therapy; ^ Future planned cohort in 1L dependent on positive proof of concept in the 2L+ cohort.</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FURVENT — Our Ongoing Phase 3 Clinical Trial in First-Line Non-Squamous Locally Advanced or Metastatic EGFRm NSCLC Patients with Exon 20 Insertion Mutations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currently enrolling patients in FURVENT, a global, pivotal Phase 3 clinical trial of furmonertinib in first-line non-squamous locally advanced or metastatic NSCLC patients with exon 20 insertion mutations being conducted jointly with Allist. Our FURVENT clinical trial is designed to assess the safety and efficacy of furmonertinib administered at either 160 mg or 240 mg, once-daily as compared to platinum-based chemotherapy with pemetrexed, the current first-line standard of care. The primary endpoint of this study is PFS. We plan to enroll 375 patients globally, including from sites in the United States, Europe and certain Asian countries including China. We expect topline data from our FURVENT clinical trial in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FURTHER — Our Ongoing Phase 1b Clinical Trial in NSCLC Patients with EGFR Activating Mutations including PACC Mutations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currently enrolling patients in FURTHER, an ongoing, global Phase 1b dose escalation and expansion clinical trial being conducted jointly with Allist. It is intended to evaluate the safety, pharmacokinetics and preliminary anti-tumor activity as measured by confirmed complete response, defined as the disappearance of all target lesions, or partial response, defined as at least a 30% decrease in target lesions in the absence of a complete response, relative to the total number of patients, as a result of once-daily furmonertinib when used in patients with NSCLC involving locally advanced or metastatic disease that have previously received systemic therapy and whose tumors contain EGFR activating mutations. The pharmacokinetics, adverse events and serious adverse events experienced by patients and observed activity in the exon 20 patients of furmonertinib in the clinical trial to date are consistent with those observed in the FAVOUR clinical trial conducted in China. The FURTHER clinical trial includes a cohort of 60 patients diagnosed with a PACC EGFRm who are TKI treatment-naïve, which has been fully enrolled. We expect to announce clinical proof of concept data in EGFRm NSCLC patients with PACC mutations in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FAVOUR — Ongoing Phase 1b Clinical Trial in NSCLC Patients with EGFR Exon 20 Insertion Mutations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FAVOUR clinical trial is an ongoing 90-patient Phase 1b clinical trial being conducted by Allist in China that is intended to assess the safety and efficacy of furmonertinib in locally advanced or metastatic NSCLC patients who have EGFR exon 20 insertion mutations. First-line patients receive 240 mg furmonertinib once daily. Patients that have received prior treatment are randomized to receive either 160 mg or 240 mg of furmonertinib once daily. Initial data obtained through June 15, 2023 showed a confirmed ORR (defined as a reduction in tumor size of at least 30% from the baseline in a patient without evidence of progression), among patients evaluable as of that date of 79% among the treatment-naïve patients cohort, 46% among the pretreated 240 mg cohort and 39% in the pretreated 160 mg cohort. Median DOR was 15.2 months in treatment-naïve patients, 13.1 months in the 240 mg pretreated cohort and 9.7 months in the 160 mg pretreated patient cohort. Furmonertinib was observed to be generally well tolerated in all clinical trial cohorts to date with a low rate of discontinuation due to treatment-related adverse events (TRAEs). As of June 15, 2023, treatment related serious adverse events (TRSAEs) were observed in 6 out of 86 of the treated patients and 2 out of 86 patients discontinued participation in the trial as a result of TRAEs. Allist expects to release final results of the primary analysis from the FAVOUR study in 2024.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SHP2 Combination Trial — Ongoing Phase 1b Clinical Trial in Classical EGFRm NSCLC Patients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Given the eventual emergence of resistance that occurs with single agent EGFR TKIs we are also evaluating combination partner drugs with furmonertinib to treat or prevent resistance to third-generation EGFR TKIs. We are evaluating the use of furmonertinib in combination with ICP-189, a SHP2 (SHP2i), in collaboration with Beijing InnoCare Pharma Tech Co., Ltd. (InnoCare). SHP2 is a protein tyrosine phosphatase that has an important role in the signaling pathways downstream of EGFR and other receptor tyrosine kinases (RTKs) that have been implicated in resistance such as the mesenchymal epithelial transition factor receptor (MET) tyrosine kinase. We believe this therapeutic combination may not only further inhibit signaling pathways downstream from EGFR resulting in enhanced tumor shrinkage, but may also prevent the emergence of resistance due to signaling through other RTKs. We have submitted an Investigational New Drug Application (IND) to the NMPA’s Center for Drug Evaluation for a Phase 1b trial designed to evaluate the safety, pharmacokinetics and preliminary efficacy of the furmonertinib-ICP-189 combination in EGFRm NSCLC involving classical mutations and dosed the first patient in March 2024 for study in an expansion cohort in patients previously treated with a third-generation EGFR TKI with potential proof of concept in second-line classical EGFRm NSCLC in 2026, and 2027 in a planned EGFR-TKI naïve first-line therapy cohort. In addition, we are assessing the use of furmonertinib in combination with other novel agents as potential anti-cancer treatments with the intent to initiate additional combination studies in the future.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Planned Adjuvant Study in NSCLC Patients with Uncommon EGFRm, including Exon 20 Insertion and PACC Mutations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potential for EGFR TKIs that have demonstrated efficacy, safety and tolerability in the metastatic setting to improve disease-free and overall survival when administered in the adjuvant setting has been demonstrated by osimertinib in NSCLC patients with a classical EGFRm. We believe furmonertinib similarly has the potential to improve outcomes when administered as adjuvant therapy to EGFRm NSCLC patients with uncommon EGFRm, as these patients are not eligible for treatment with osimertinib. We intend to pursue an adjuvant study of furmonertinib in EGFRm NSCLC with uncommon mutations based on results obtained from currently ongoing clinical trials.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FURLONG — Completed Phase 3 Clinical Trial in Classical EGFRm First-Line NSCLC Patients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FURLONG was a 358-patient clinical trial in China conducted by Allist, with results first reported in 2022, which resulted in the approval of furmonertinib in China as a first-line therapy in patients with locally advanced or metastatic NSCLC with classical EGFRm. It was designed to compare the safety and efficacy of once daily dosing of 80 mg furmonertinib to 250 mg gefitinib and supported the approval of furmonertinib in China as a first-line therapy in patients with locally advanced or metastatic NSCLC with classical EGFRm. Furmonertinib demonstrated clinically meaningful and statistically significant efficacy and a favorable safety profile as compared to the first-generation EGFR TKI gefitinib. Importantly, furmonertinib exhibited superior efficacy in the treatment of CNS metastases, producing a confirmed CNS metastases specific ORR, which measured reduction in tumor size of at least 30% in brain metastases if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present at the start of therapy, of 91% versus 65% for gefitinib among participants with measurable metastatic CNS disease, demonstrating furmonertinib’s ability to cross the blood-brain barrier.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Aarvik Antibody Drug Conjugate Collaboration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Consistent with our focus on curating a pipeline of innovative, impactful oncology therapies across modalities, we are advancing next-generation antibody drug conjugates (ADCs). ADCs are a promising modality for treating cancer due to their ability to target chemotherapy directly to the tumor cells. We are using Aarvik Therapeutics, Inc.’s (Aarvik) proprietary multi-target, multivalent site-specific conjugation antibody platform to discover and develop ADCs with improved activity and safety over single target bivalent ADCs. We anticipate identification of a lead candidate for IND enabling studies in late 2024 or early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Team and Approach</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were founded and acquired the rights to develop and commercialize furmonertinib worldwide, with the exception of greater China, which includes mainland China, Hong Kong, Macau and Taiwan, in 2021. We believe that our deep expertise in developing oncology drugs, executing cross border business transactions and track record building companies will allow us to expand our portfolio globally, across the oncology landscape. Our co-founder, Chief Executive Officer and Chairman is Zhengbin (Bing) Yao, Ph.D. Prior to ArriVent, Dr. Yao was Chief Executive Officer and Chairman of Viela Bio, Inc. (Viela), which he co-founded in 2018 by licensing a portfolio of therapeutics from AstraZeneca. Viela was subsequently acquired by Horizon Therapeutics plc in 2021 for $3.1 billion. Prior to Viela, Dr. Yao served as Senior Vice President at MedImmune, Inc. and as Senior Vice President and Head of the Immuno-Oncology Franchise at AstraZeneca. Our other co-founder and President of Research and Development is Stuart Lutzker, M.D., Ph.D. Dr. Lutzker joined from Genentech, Inc., where he served in a number of senior R&amp;D roles. Most recently, Dr. Lutzker was Vice President and Head of Oncology, Early Clinical Development and oversaw the early clinical phase development of a number of approved products. We are also supported by a leading syndicate of investors, including Hillhouse, Lilly Asia Ventures, Octagon Capital, OrbiMed, Sirona Capital Partners and Sofinnova Investments. See “Certain Relationships and Related Transactions, and Director Independence” for more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team’s deep domain knowledge in oncology has allowed us to identify novel therapeutic programs with strong biologic and scientific rationale that we believe have the potential to offer a differentiated profile to treat cancer patients. Based on our extensive experience working with regulatory agencies, we will pursue assets that we believe have a clear regulatory path to approval. We believe our highly selective in-licensing strategy provides us with high-quality development candidates at preclinical or clinical stages, which, if approved, would have the potential to achieve global commercial success.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While we source candidates from across the globe, our initial focus has been on compounds originally developed in China. We believe that as the world’s second-largest pharmaceutical market, with extensive biopharmaceutical research and development capabilities, China provides us with attractive opportunities to in-license innovative therapies that otherwise may not reach global populations. We believe our business development acumen positions us to build a highly competitive pipeline that we are uniquely positioned to bring to global patient communities, beginning with our lead development asset, furmonertinib.</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Strategy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intend to become a leading biopharmaceutical company through the identification, development and commercialization of differentiated medicines to address the unmet medical needs of patients with cancers. To accomplish this objective, we plan to:</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Maximize the potential of furmonertinib — develop and commercialize furmonertinib for the treatment of a broad array of EGFRm NSCLC indications.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sz w:val="20"/>
              </w:rPr>
              <w:t>Advance furmonertinib through the pivotal Phase 3 FURVENT clinical trial and seek approval as a first-line therapy for non-squamous locally advanced or metastatic EGFRm NSCLC patients with exon 20 insertion mutations</w:t>
            </w:r>
            <w:r>
              <w:rPr>
                <w:rFonts w:ascii="Times New Roman;Times;serif" w:hAnsi="Times New Roman;Times;serif"/>
                <w:b w:val="false"/>
                <w:i w:val="false"/>
                <w:caps w:val="false"/>
                <w:smallCaps w:val="false"/>
                <w:sz w:val="20"/>
              </w:rPr>
              <w:t xml:space="preserve">. Exon 20 insertion mutations represent one of the most prevalent uncommon EGFR mutations and make up over 9% of the EGFR NSCLC patient population. While the TKI mobocertinib and the bispecific antibody amivantamab have been approved as second-line therapy, no TKI has been approved as first-line therapy in this indication. We believe the interim data obtained as of June 15, 2023 in the Phase 1b FAVOUR clinical trial, in which patients were administered a 240 mg once-daily dose of furmonertinib, supports the progression of furmonertinib to the next phase of clinical trials. In that interim data readout, 79% of patients (n=22 out of 28 patients) were observed to experience a reduction in tumor size of at least 30% from the baseline in a patient without evidence of progression as measured by RECIST 1.1 criteria, which measurement of reduction is the threshold in this trial for a partial response and for inclusion in determination of the ORR, which is the primary endpoint of this trial. We received Breakthrough Therapy Designation for furmonertinib for the treatment of this disease from the FDA in October 2023, </w:t>
            </w:r>
            <w:r>
              <w:rPr>
                <w:rFonts w:ascii="Times New Roman;Times;serif" w:hAnsi="Times New Roman;Times;serif"/>
                <w:b w:val="false"/>
                <w:i w:val="false"/>
                <w:caps w:val="false"/>
                <w:smallCaps w:val="false"/>
                <w:sz w:val="20"/>
                <w:shd w:fill="FFFFFF" w:val="clear"/>
              </w:rPr>
              <w:t>and Orphan Drug Designation for treatment of NSCLC with EGFRm or HER2 mutations or HER4 mutations in February 2024</w:t>
            </w:r>
            <w:r>
              <w:rPr>
                <w:rFonts w:ascii="Times New Roman;Times;serif" w:hAnsi="Times New Roman;Times;serif"/>
                <w:b w:val="false"/>
                <w:i w:val="false"/>
                <w:caps w:val="false"/>
                <w:smallCaps w:val="false"/>
                <w:sz w:val="20"/>
              </w:rPr>
              <w:t>. We do not currently intend to conduct a Phase 2 trial in first-line non-squamous locally advanced or metastatic EGFRm NSCLC patients with exon 20 insertion mutations. Accordingly, we are currently enrolling patients in our global, pivotal Phase 3 FURVENT clinical trial in first-line non-squamous locally advanced or metastatic EGFRm NSCLC patients with exon 20 insertion mutations and we expect topline data from this clinical trial in 2025.</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sz w:val="20"/>
              </w:rPr>
              <w:t>Continue to advance furmonertinib through the Phase 1b FURTHER clinical trial in EGFRm NSCLC to obtain proof of concept for the treatment of patients with PACC mutations.</w:t>
            </w:r>
            <w:r>
              <w:rPr>
                <w:caps w:val="false"/>
                <w:smallCaps w:val="false"/>
              </w:rPr>
              <w:t xml:space="preserve"> </w:t>
            </w:r>
            <w:r>
              <w:rPr>
                <w:rFonts w:ascii="Times New Roman;Times;serif" w:hAnsi="Times New Roman;Times;serif"/>
                <w:b w:val="false"/>
                <w:i w:val="false"/>
                <w:caps w:val="false"/>
                <w:smallCaps w:val="false"/>
                <w:sz w:val="20"/>
              </w:rPr>
              <w:t>We are also advancing the clinical development of furmonertinib as a potential treatment for EGFRm NSCLC patients with PACC mutations. PACC mutations are a distinct set of approximately 70 EGFR-activating mutations, associated with over 12% of EGFRm NSCLC patients. Guidelines employing TKIs for many of the PACC-specific EGFR mutations are not established and, as a result, chemotherapy is often used as the default course of therapy, offering limited efficacy and introducing chemotherapy-related toxicity. Afatinib, a second-generation TKI, is also used in some patients, but has a poor safety profile and is not brain penetrant. We are investigating the use of furmonertinib to treat a broad set of PACC mutations in a cohort in our FURTHER clinical trial based on furmonertinib’s observed activity against PACC mutations in preclinical studies together with the evaluation of furmonertinib in multiple clinical trials with an aggregate patient population of over 700 patients. Other cohorts in the FURTHER trial include patients with EGFR exon 20 insertion mutations as second-line or greater therapy.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sz w:val="20"/>
              </w:rPr>
              <w:t>Evaluate the clinical benefit of treating early-stage disease with furmonertinib.</w:t>
            </w:r>
            <w:r>
              <w:rPr>
                <w:caps w:val="false"/>
                <w:smallCaps w:val="false"/>
              </w:rPr>
              <w:t xml:space="preserve"> </w:t>
            </w:r>
            <w:r>
              <w:rPr>
                <w:rFonts w:ascii="Times New Roman;Times;serif" w:hAnsi="Times New Roman;Times;serif"/>
                <w:b w:val="false"/>
                <w:i w:val="false"/>
                <w:caps w:val="false"/>
                <w:smallCaps w:val="false"/>
                <w:sz w:val="20"/>
              </w:rPr>
              <w:t>We also intend to initiate a global registrational Phase 3 clinical trial to investigate the potential benefit of furmonertinib in the adjuvant setting in NSCLC patients with uncommon EGFRm that are not eligible for osimertinib such as exon 20 insertion and PACC mutations. We intend to pursue an adjuvant study of furmonertinib once the EGFRm patient group is further defined based on ongoing clinical trials in the metastatic setting. We have not yet sought alignment on the design of our planned adjuvant study with the FDA or comparable foreign regulatory authorities. Such authorities may ask us to collect more clinical data prior to permitting us to initiate the planned global registrational Phase 3 clinical trial to investigate the potential benefit of furmonertinib in the adjuvant setting.</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sz w:val="20"/>
              </w:rPr>
              <w:t>Employ combination strategies with furmonertinib to overcome and prevent resistance to EGFR TKI in NSCLC involving classical mutations.</w:t>
            </w:r>
            <w:r>
              <w:rPr>
                <w:caps w:val="false"/>
                <w:smallCaps w:val="false"/>
              </w:rPr>
              <w:t xml:space="preserve"> </w:t>
            </w:r>
            <w:r>
              <w:rPr>
                <w:rFonts w:ascii="Times New Roman;Times;serif" w:hAnsi="Times New Roman;Times;serif"/>
                <w:b w:val="false"/>
                <w:i w:val="false"/>
                <w:caps w:val="false"/>
                <w:smallCaps w:val="false"/>
                <w:sz w:val="20"/>
              </w:rPr>
              <w:t xml:space="preserve">Acquired resistance presents an inevitable challenge to longer-term EGFRm NSCLC management. As such, we are evaluating the use of furmonertinib in combination with other signal transduction inhibitors which we believe have the potential to both treat and prevent acquired resistance. Our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combination strategy involves the evaluation of furmonertinib together with a SHP2 inhibitor for use in treating NSCLC patients involving classical EGFRm that have progressed on prior EGFR TKI and we have initiated a Phase 1b clinical trial designed to evaluate the safety, pharmacokinetics and preliminary efficacy of the combination with clinical proof of concept data expected in 2026 in a second-line therapy cohort, and in 2027 in a planned EGFR-TKI naïve first-line therapy cohort.</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Advance novel therapeutic product candidates for unmet medical needs, leveraging innovative platforms and technologies starting with ADCs.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sz w:val="20"/>
              </w:rPr>
              <w:t>Discover and develop differentiated next-generation ADCs for solid tumors.</w:t>
            </w:r>
            <w:r>
              <w:rPr>
                <w:caps w:val="false"/>
                <w:smallCaps w:val="false"/>
              </w:rPr>
              <w:t xml:space="preserve"> </w:t>
            </w:r>
            <w:r>
              <w:rPr>
                <w:rFonts w:ascii="Times New Roman;Times;serif" w:hAnsi="Times New Roman;Times;serif"/>
                <w:b w:val="false"/>
                <w:i w:val="false"/>
                <w:caps w:val="false"/>
                <w:smallCaps w:val="false"/>
                <w:sz w:val="20"/>
              </w:rPr>
              <w:t>ADCs are a promising modality for treating cancer due to their ability to target chemotherapy directly to the tumor cells. We have entered into a research collaboration with Aarvik to leverage its proprietary multi-target, multivalent, site-specific conjugation antibody platform to discover ADCs with improved activity and safety over single target bivalent ADCs. We anticipate identification of a lead candidate for IND-enabling studies in late 2024 or early 2025.</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Broaden our pipeline through expanded business development initiatives.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sz w:val="20"/>
              </w:rPr>
              <w:t>Acquire rights to additional therapeutic candidates targeting solid tumors.</w:t>
            </w:r>
            <w:r>
              <w:rPr>
                <w:caps w:val="false"/>
                <w:smallCaps w:val="false"/>
              </w:rPr>
              <w:t xml:space="preserve"> </w:t>
            </w:r>
            <w:r>
              <w:rPr>
                <w:rFonts w:ascii="Times New Roman;Times;serif" w:hAnsi="Times New Roman;Times;serif"/>
                <w:b w:val="false"/>
                <w:i w:val="false"/>
                <w:caps w:val="false"/>
                <w:smallCaps w:val="false"/>
                <w:sz w:val="20"/>
              </w:rPr>
              <w:t>We intend to use our demonstrated capabilities in business development to establish additional collaborations and acquire the rights to drug candidates designed to treat solid tumors and address significant unmet medical needs of patients with cancers. While we source candidates from across the globe, our initial focus has been on drugs originally discovered and developed in China for potential commercialization in the United States and the European Union. For programs that we in-license, we plan to pursue a global development strategy to enable approval and commercialization in a broad set of geographies. We remain agnostic as to therapeutic modality, which we believe will expand our access to drug candidates with attractive therapeutic profiles.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Lung Cancer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According to the National Cancer Institute, lung cancer is predicted to account for nearly 250,000 of the two million new cancer diagnoses made in the United States in 2023. Lung cancer ranks behind both breast and prostate cancer in terms of the number of newly diagnosed cases yet is responsible for far more deaths than any other type of cancer, with the estimated 27,000 lung cancer deaths to occur in 2023, more than double the annual number of deaths attributed to colorectal, pancreatic or breast cancer, as illustrated in the chart below. Lung cancer is the cause of approximately 20% of all cancer-related deaths and the 5-year survival rate for advanced lung cancer in the United States is approximately 6%. Worldwide, lung cancer is estimated to be responsible for 2.2 million new cancer cases annually and 1.8 million deaths.</w:t>
      </w:r>
    </w:p>
    <w:p>
      <w:pPr>
        <w:pStyle w:val="TextBody"/>
        <w:bidi w:val="0"/>
        <w:spacing w:before="0" w:after="0"/>
        <w:ind w:left="0" w:right="0" w:hanging="0"/>
        <w:jc w:val="center"/>
        <w:rPr/>
      </w:pPr>
      <w:r>
        <w:rPr/>
        <w:drawing>
          <wp:inline distT="0" distB="0" distL="0" distR="0">
            <wp:extent cx="5629910" cy="218059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5629910" cy="2180590"/>
                    </a:xfrm>
                    <a:prstGeom prst="rect">
                      <a:avLst/>
                    </a:prstGeom>
                  </pic:spPr>
                </pic:pic>
              </a:graphicData>
            </a:graphic>
          </wp:inline>
        </w:drawing>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Non-Small Cell Lung Cancer and the EGFR Driver Mutation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Cases of lung cancer are divided into NSCLC and small cell lung cancer, with NSCLC accounting for approximately 85% of all lung cancer diagnoses. NSCLC can be further segregated into two primary classifications: non-squamous cell carcinoma and squamous cell carcinoma. Non-squamous cell carcinoma is the most prevalent type of NSCLC and makes up approximately 77% of all NSCLC cases. Adenocarcinoma is the largest subgroup of the non-squamous NSCLC, constituting 81%. Among the genetic mutations that promote the development of NSCLC, mutational activation of the EGFR gene is among the most common. EGFR is a transmembrane glycoprotein consisting of an extracellular epidermal growth factor binding domain, a hydrophobic transmembrane domain and an intracellular tyrosine kinase domain that regulates signal transduction pathways involved in cellular proliferation. Its mutation results in the constitutive activation of these pathways and uncontrolled growth of the cancer cell. The overall prevalence of the EGFR mutation among NSCLC patients varies widely between different ethnic populations. Approximately 38% of NSCLC patients from Asian countries have an EGFR mutation, while approximately 24% of NSCLC patients in the Americas and approximately 14% of NSCLC patients in Europe have EGFR mutations. EGFR mutations are also more commonly associated with NSCLC patients who have never smoked, as well as women and young adult NSCLC patients. Substantially all NSCLC cases involving an EGFR mutation are non-squamous cell carcinomas.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Numerous EGFR mutations have been identified that cluster within EGFR kinase domain encoded by exons 18-21 in the EGFR gene. These mutations, which include amino acid insertions, deletions and substitutions, activate EGFR signaling within the tumor cell and can be categorized as either classical or uncommon mutations. Classical mutations involving a deletion in amino acids encoded by Exon 19 and another involving a substitution of the amino acid arginine for leucine at codon 858, which is referred to as an L858R mutation, are responsible for approximately 69% of NSCLC patients with an EGFRm. The uncommon mutations may be categorized based on the structural change to the drug binding pocket of the EGFR kinase domain, with the two most frequent groups of uncommon mutations involving an exon 20 insertion or PACC mutations of the EGFR. These two types of uncommon mutations account for approximately 22% of patients with EGFRm NSCLC and the life expectancy for NSCLC patients with uncommon EGFRm, including exon 20 insertion and PACC mutations, is lower. The distribution of patients with EGFR-mutation positive NSCLC is presented below. EGFRm are detected by numerous commercially available FDA-approved DNA tests, either PCR or NGS, utilizing either tumor tissue or blood samples and testing for EGFRm, as well as other activating gene mutations, is considered standard in the management of NSCLC as per national guidelines such as NCCN. We are working with a diagnostics company to develop an FDA-approved NGS test for confirming EGFR exon 20 insertion mutations in our clinical trial and if furmonertinib is approved, we believe it would be indicated for patients with EGFRm as detected by an FDA-approved DNA test.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EGFR activating mutations include both classical and uncommon mutations in the kinase domain</w:t>
      </w:r>
    </w:p>
    <w:p>
      <w:pPr>
        <w:pStyle w:val="TextBody"/>
        <w:bidi w:val="0"/>
        <w:spacing w:before="0" w:after="0"/>
        <w:ind w:left="0" w:right="0" w:hanging="0"/>
        <w:jc w:val="center"/>
        <w:rPr/>
      </w:pPr>
      <w:r>
        <w:rPr/>
        <w:drawing>
          <wp:inline distT="0" distB="0" distL="0" distR="0">
            <wp:extent cx="2726690" cy="242506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2726690" cy="2425065"/>
                    </a:xfrm>
                    <a:prstGeom prst="rect">
                      <a:avLst/>
                    </a:prstGeom>
                  </pic:spPr>
                </pic:pic>
              </a:graphicData>
            </a:graphic>
          </wp:inline>
        </w:drawing>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Current Therapeutics and their Limitations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classical EGFRm NSCLC, the current standard of care for the treatment of locally advanced or metastatic EGFRm NSCLC involves the use of a TKI as first-line therapy. Two first-generation TKIs, gefitinib and erlotinib (TARCEVA</w:t>
      </w:r>
      <w:r>
        <w:rPr>
          <w:rFonts w:ascii="Times New Roman;Times;serif" w:hAnsi="Times New Roman;Times;serif"/>
          <w:sz w:val="15"/>
        </w:rPr>
        <w:t>®</w:t>
      </w:r>
      <w:r>
        <w:rPr>
          <w:rFonts w:ascii="Times New Roman;Times;serif" w:hAnsi="Times New Roman;Times;serif"/>
          <w:sz w:val="20"/>
        </w:rPr>
        <w:t>), received initial marketing approval by the FDA in the early 2000s. These drugs, which were designed to competitively bind with EGFR at the ATP-binding site in a reversible manner to block enzymatic activation and downstream signal transduction, provide certain NSCLC patients with EGFRm substantial benefit, offering superior efficacy and safety profiles as compared to chemotherapy. However, durability of response to treatment is limited and virtually all patients with advanced disease acquire resistance, the most common of which involves a T790M substitution mutation. In addition, rash and diarrhea, often severe, are common adverse events (AEs). Efforts to address acquired resistance to first-generation TKIs led to the approval by the FDA of the second-generation TKIs afatinib (GILOTRIF</w:t>
      </w:r>
      <w:r>
        <w:rPr>
          <w:rFonts w:ascii="Times New Roman;Times;serif" w:hAnsi="Times New Roman;Times;serif"/>
          <w:sz w:val="15"/>
        </w:rPr>
        <w:t>®</w:t>
      </w:r>
      <w:r>
        <w:rPr>
          <w:rFonts w:ascii="Times New Roman;Times;serif" w:hAnsi="Times New Roman;Times;serif"/>
          <w:sz w:val="20"/>
        </w:rPr>
        <w:t>) in 2013 and dacomitinib (VIZIMPRO</w:t>
      </w:r>
      <w:r>
        <w:rPr>
          <w:rFonts w:ascii="Times New Roman;Times;serif" w:hAnsi="Times New Roman;Times;serif"/>
          <w:sz w:val="15"/>
        </w:rPr>
        <w:t>®</w:t>
      </w:r>
      <w:r>
        <w:rPr>
          <w:rFonts w:ascii="Times New Roman;Times;serif" w:hAnsi="Times New Roman;Times;serif"/>
          <w:sz w:val="20"/>
        </w:rPr>
        <w:t>) in 2018, drugs which irreversibly block the tyrosine kinase activity. However, TRAEs are more pronounced than the first-generation designs, which have limited broader clinical application of the second-generation TKIs.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Osimertinib was the first third-generation TKI to receive FDA approval and is currently the standard of care for patients with EGFRm NSCLC involving classical mutations and the related treatment emergent T790M mutation in the majority of countries worldwide. Osimertinib provides an improved AE profile, including a reduction in severe adverse events, compared to the earlier generation EGFR targeted TKIs and displays a greater ability to cross the blood-brain barrier, enabling efficacy against metastases involving the CNS. The ability to treat CNS metastases is of notable importance as patients with EGFR-activating mutations are particularly susceptible to the development of brain metastases, which can occur in up to 70% of patients during the course of their disease. The key limitations of the current standard of care for patients with EGFRm NSCLC involving classical mutations is presented in the graphic below:</w:t>
      </w:r>
    </w:p>
    <w:p>
      <w:pPr>
        <w:pStyle w:val="TextBody"/>
        <w:bidi w:val="0"/>
        <w:spacing w:before="0" w:after="0"/>
        <w:ind w:left="0" w:right="0" w:hanging="0"/>
        <w:jc w:val="center"/>
        <w:rPr/>
      </w:pPr>
      <w:r>
        <w:rPr/>
        <w:drawing>
          <wp:inline distT="0" distB="0" distL="0" distR="0">
            <wp:extent cx="5791200" cy="2209800"/>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5791200" cy="2209800"/>
                    </a:xfrm>
                    <a:prstGeom prst="rect">
                      <a:avLst/>
                    </a:prstGeom>
                  </pic:spPr>
                </pic:pic>
              </a:graphicData>
            </a:graphic>
          </wp:inline>
        </w:drawing>
      </w:r>
    </w:p>
    <w:p>
      <w:pPr>
        <w:pStyle w:val="HorizontalLine"/>
        <w:pBdr>
          <w:bottom w:val="single" w:sz="6" w:space="0" w:color="000000"/>
        </w:pBdr>
        <w:bidi w:val="0"/>
        <w:spacing w:before="0" w:after="0"/>
        <w:ind w:left="0" w:right="7654" w:hanging="0"/>
        <w:jc w:val="left"/>
        <w:rPr/>
      </w:pPr>
      <w:r>
        <w:rPr/>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Table includes approved and disclosed registrational indications</w:t>
      </w:r>
    </w:p>
    <w:tbl>
      <w:tblPr>
        <w:tblW w:w="7345" w:type="dxa"/>
        <w:jc w:val="left"/>
        <w:tblInd w:w="0" w:type="dxa"/>
        <w:tblLayout w:type="fixed"/>
        <w:tblCellMar>
          <w:top w:w="0" w:type="dxa"/>
          <w:left w:w="0" w:type="dxa"/>
          <w:bottom w:w="0" w:type="dxa"/>
          <w:right w:w="0" w:type="dxa"/>
        </w:tblCellMar>
      </w:tblPr>
      <w:tblGrid>
        <w:gridCol w:w="125"/>
        <w:gridCol w:w="7220"/>
      </w:tblGrid>
      <w:tr>
        <w:trPr/>
        <w:tc>
          <w:tcPr>
            <w:tcW w:w="125" w:type="dxa"/>
            <w:tcBorders/>
            <w:vAlign w:val="center"/>
          </w:tcPr>
          <w:p>
            <w:pPr>
              <w:pStyle w:val="TableContents"/>
              <w:bidi w:val="0"/>
              <w:spacing w:before="0" w:after="120"/>
              <w:jc w:val="left"/>
              <w:rPr>
                <w:rFonts w:ascii="Times New Roman;Times;serif" w:hAnsi="Times New Roman;Times;serif"/>
                <w:b w:val="false"/>
                <w:i/>
                <w:sz w:val="20"/>
              </w:rPr>
            </w:pPr>
            <w:r>
              <w:rPr>
                <w:rFonts w:ascii="Times New Roman;Times;serif" w:hAnsi="Times New Roman;Times;serif"/>
                <w:b w:val="false"/>
                <w:i/>
                <w:sz w:val="20"/>
              </w:rPr>
              <w:t>*</w:t>
            </w:r>
          </w:p>
        </w:tc>
        <w:tc>
          <w:tcPr>
            <w:tcW w:w="7220" w:type="dxa"/>
            <w:tcBorders/>
            <w:vAlign w:val="center"/>
          </w:tcPr>
          <w:p>
            <w:pPr>
              <w:pStyle w:val="TableContents"/>
              <w:bidi w:val="0"/>
              <w:spacing w:before="0" w:after="120"/>
              <w:jc w:val="left"/>
              <w:rPr>
                <w:rFonts w:ascii="Times New Roman;Times;serif" w:hAnsi="Times New Roman;Times;serif"/>
                <w:b w:val="false"/>
                <w:i/>
                <w:sz w:val="20"/>
              </w:rPr>
            </w:pPr>
            <w:r>
              <w:rPr>
                <w:rFonts w:ascii="Times New Roman;Times;serif" w:hAnsi="Times New Roman;Times;serif"/>
                <w:b w:val="false"/>
                <w:i/>
                <w:sz w:val="20"/>
              </w:rPr>
              <w:t>Afatinib has Iimited clinical data in patients with 2 of the 70 described PACC mutations</w:t>
            </w:r>
          </w:p>
        </w:tc>
      </w:tr>
    </w:tbl>
    <w:tbl>
      <w:tblPr>
        <w:tblW w:w="3865" w:type="dxa"/>
        <w:jc w:val="left"/>
        <w:tblInd w:w="0" w:type="dxa"/>
        <w:tblLayout w:type="fixed"/>
        <w:tblCellMar>
          <w:top w:w="0" w:type="dxa"/>
          <w:left w:w="0" w:type="dxa"/>
          <w:bottom w:w="0" w:type="dxa"/>
          <w:right w:w="0" w:type="dxa"/>
        </w:tblCellMar>
      </w:tblPr>
      <w:tblGrid>
        <w:gridCol w:w="125"/>
        <w:gridCol w:w="3740"/>
      </w:tblGrid>
      <w:tr>
        <w:trPr/>
        <w:tc>
          <w:tcPr>
            <w:tcW w:w="125" w:type="dxa"/>
            <w:tcBorders/>
            <w:vAlign w:val="center"/>
          </w:tcPr>
          <w:p>
            <w:pPr>
              <w:pStyle w:val="TableContents"/>
              <w:bidi w:val="0"/>
              <w:spacing w:before="0" w:after="120"/>
              <w:jc w:val="left"/>
              <w:rPr>
                <w:rFonts w:ascii="Times New Roman;Times;serif" w:hAnsi="Times New Roman;Times;serif"/>
                <w:i/>
                <w:sz w:val="20"/>
              </w:rPr>
            </w:pPr>
            <w:r>
              <w:rPr>
                <w:rFonts w:ascii="Times New Roman;Times;serif" w:hAnsi="Times New Roman;Times;serif"/>
                <w:i/>
                <w:sz w:val="20"/>
              </w:rPr>
              <w:t>a</w:t>
            </w:r>
          </w:p>
        </w:tc>
        <w:tc>
          <w:tcPr>
            <w:tcW w:w="3740" w:type="dxa"/>
            <w:tcBorders/>
            <w:vAlign w:val="center"/>
          </w:tcPr>
          <w:p>
            <w:pPr>
              <w:pStyle w:val="TableContents"/>
              <w:bidi w:val="0"/>
              <w:spacing w:before="0" w:after="120"/>
              <w:jc w:val="left"/>
              <w:rPr>
                <w:rFonts w:ascii="Times New Roman;Times;serif" w:hAnsi="Times New Roman;Times;serif"/>
                <w:i/>
                <w:sz w:val="20"/>
              </w:rPr>
            </w:pPr>
            <w:r>
              <w:rPr>
                <w:rFonts w:ascii="Times New Roman;Times;serif" w:hAnsi="Times New Roman;Times;serif"/>
                <w:i/>
                <w:sz w:val="20"/>
              </w:rPr>
              <w:t>PAPILLON study in 1L announced as positive</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40"/>
              <w:jc w:val="left"/>
              <w:rPr>
                <w:rFonts w:ascii="Times New Roman;Times;serif" w:hAnsi="Times New Roman;Times;serif"/>
                <w:i/>
                <w:sz w:val="20"/>
              </w:rPr>
            </w:pPr>
            <w:r>
              <w:rPr>
                <w:rFonts w:ascii="Times New Roman;Times;serif" w:hAnsi="Times New Roman;Times;serif"/>
                <w:i/>
                <w:sz w:val="20"/>
              </w:rPr>
              <w:t>b</w:t>
            </w:r>
          </w:p>
        </w:tc>
        <w:tc>
          <w:tcPr>
            <w:tcW w:w="100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i/>
                <w:sz w:val="20"/>
              </w:rPr>
              <w:t xml:space="preserve">Exclaim-2 study in 1L announced as negative and in October 2023, Takeda announced it is working with the FDA towards a voluntary withdrawal of mobocertinib in the United States </w:t>
            </w:r>
            <w:r>
              <w:rPr>
                <w:rFonts w:ascii="Times New Roman;Times;serif" w:hAnsi="Times New Roman;Times;serif"/>
                <w:i/>
                <w:sz w:val="20"/>
                <w:shd w:fill="FFFFFF" w:val="clear"/>
              </w:rPr>
              <w:t xml:space="preserve">and intends to similarly initiate voluntary withdrawal globally </w:t>
            </w:r>
            <w:r>
              <w:rPr>
                <w:rFonts w:ascii="Times New Roman;Times;serif" w:hAnsi="Times New Roman;Times;serif"/>
                <w:i/>
                <w:sz w:val="20"/>
              </w:rPr>
              <w:t>for patients with EGFR exon 20 insertion mutation-positive locally advanced or metastatic NSCLC whose disease has progressed on or after platinum-based chemotherapy.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is currently no TKI approved as first-line therapy for NSCLC patients with EGFR exon 20 insertion mutations. Platinum-based chemotherapy with pemetrexed remains the standard of care for first-line therapy in this patient population in the United States and the European Union. Of particular note, approximately one-third of NSCLC patients harboring EGFR exon 20 insertion mutations have brain metastases at the time of diagnosis, which are mainly treated with radiation therapy, as chemotherapy is less effective in the treatment of brain metastases due to low brain penetration.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2021, the FDA granted marketing approval to two therapeutics, mobocertinib, a TKI and amivantamab, a bispecific antibody, used to treat NSCLC patients with exon 20 insertion mutations which have progressed after administration of platinum-based chemotherapy. Both approvals were granted under accelerated approval and continued approval may be contingent upon verification and description of clinical benefit in confirmatory trial(s). Notably, in July 2023, Takeda announced the discontinuation of its Phase 3 clinical trial of mobocertinib as a monotherapy in first-line patients due to futility, which may impact its continued approval. In August 2023, Johnson &amp; Johnson announced that its Phase 3 trial of amivantamab in combination with chemotherapy in first-line patients met its primary endpoint of PFS when compared to chemotherapy alone. While the FDA approved the use of this combination in this patient population in March 2024, the use of amivantamab in the first-line patients may be limited due to the need to combine with intravenous chemotherapy.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distinct set of approximately 70 uncommon EGFR-activating mutations have been identified that are predicted to alter the orientation of the interior surface of the ATP-binding pocket of the EGFR P-loop or αC-terminal end of the C-helix within the tyrosine kinase domain and are referred to as PACC mutations. Over 12% of patients with EGFRm are estimated to involve PACC mutations and patients diagnosed with PACC mutations have limited treatment options. Guidelines employing TKIs for many of the PACC-specific EGFRm are not established and as a result chemotherapy is used as the default course of therapy in many patients with limited clinical benefit. The second-generation TKI afatinib is the only TKI to have received FDA and the European Medical Association approval in NSCLC to treat EGFRm NSCLC with limited clinical data for two of the 70 PACC mutations, G719X and S768I.</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current treatment paradigm for the various subtypes of EGFRm NSCLC outside of China and areas of unmet medical needs where we believe furmonertinib may provide clinical utility is summarized in the chart presented below.</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Furmonertinib has the potential to address significant unmet needs in the current EGFRm NSCLC treatment paradigm</w:t>
      </w:r>
    </w:p>
    <w:p>
      <w:pPr>
        <w:pStyle w:val="TextBody"/>
        <w:bidi w:val="0"/>
        <w:spacing w:before="0" w:after="0"/>
        <w:ind w:left="0" w:right="0" w:hanging="0"/>
        <w:jc w:val="center"/>
        <w:rPr/>
      </w:pPr>
      <w:r>
        <w:rPr/>
        <w:drawing>
          <wp:inline distT="0" distB="0" distL="0" distR="0">
            <wp:extent cx="5629910" cy="2710180"/>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5629910" cy="2710180"/>
                    </a:xfrm>
                    <a:prstGeom prst="rect">
                      <a:avLst/>
                    </a:prstGeom>
                  </pic:spPr>
                </pic:pic>
              </a:graphicData>
            </a:graphic>
          </wp:inline>
        </w:drawing>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Specific to the HER2 exon 20 insertion mutation, an exon 20 insertion in the related HER2 gene, in August 2022 the FDA granted accelerated approval to fam-trastuzumab deruxtecan-nxki (ENHERTU</w:t>
      </w:r>
      <w:r>
        <w:rPr>
          <w:rFonts w:ascii="Times New Roman;Times;serif" w:hAnsi="Times New Roman;Times;serif"/>
          <w:sz w:val="15"/>
        </w:rPr>
        <w:t>®</w:t>
      </w:r>
      <w:r>
        <w:rPr>
          <w:rFonts w:ascii="Times New Roman;Times;serif" w:hAnsi="Times New Roman;Times;serif"/>
          <w:sz w:val="20"/>
        </w:rPr>
        <w:t>), a HER2-directed antibody-drug conjugate, for adults with unresectable or metastatic NSCLC who have received prior systemic therapy. Despite its approval, patients with refractory or recurrent disease remain a significant portion of the patient population and currently approved TKIs have demonstrated limited efficacy in targeted HER2 exon 20 insertion mutations.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Furmonertinib: Our Lead Development Candidate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lead development candidate is furmonertinib, an investigational, novel, EGFR mutant-selective TKI that we are developing for the treatment of patients with NSCLC harboring a broader set of EGFRm than are currently served by approved EGFR TKIs. Furmonertinib is currently approved and commercially distributed by Allist in China as a first-line treatment of locally advanced or metastatic NSCLC patients with classical EGFRm as well as pre-treated patients with T790M mutations. In addition, in an interim data readout from the FAVOUR trial of furmonertinib, reductions in tumor size have been observed in patients with exon 20 insertion mutations and activity in PACC mutations has been observed in a preclinical setting. Exon 20 insertion mutations and PACC mutations are each a subtype of uncommon mutation. Exon 20 insertions and PACC mutations account for approximately 22% of EGFRm NSCLC patients and are largely underserved by existing treatments. Furmonertinib has been studied in over 700 patients, including over 70 patients outside China, across a broad dose range. We anticipate that favorable safety data, if obtained for furmonertinib, could allow for the administration of furmonertinib at different doses required for optimal activity in different EGFRm patient populations. Encouraging activity has been observed to date in both preclinical and clinical settings, including response in CNS metastases, in an interim data readout from our partner’s ongoing FAVOUR clinical trial in China with patients with exon 20 insertions, and in preclinical activity against PACC mutations.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Of particular note, furmonertinib exhibited elevated tissue distribution to the brain in preclinical studies. In these studies, the brain and plasma concentrations were measured in mice following a single dose of either furmonertinib or osimertinib and the brain-to-plasma calculated for both total drug (Kp) and unbound drug (Kp uu). Osimertinib was used as a reference compound in certain experiments as it has demonstrated clinical activity in patients with CNS metastases. As is noted in the chart below, these experiments showed that furmonertinib penetrated the blood-brain barrier at a rate similar to that of osimertinib.</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Furmonertinib displayed brain penetrant properties similar to osimertinib in pre-clinical studies. When mice were administered a single dose of either furmonertinib or osimertinib, they penetrated the blood-brain barrier to a similar extent.</w:t>
      </w:r>
    </w:p>
    <w:p>
      <w:pPr>
        <w:pStyle w:val="TextBody"/>
        <w:bidi w:val="0"/>
        <w:spacing w:before="0" w:after="0"/>
        <w:ind w:left="0" w:right="0" w:hanging="0"/>
        <w:jc w:val="center"/>
        <w:rPr/>
      </w:pPr>
      <w:r>
        <w:rPr/>
        <w:drawing>
          <wp:inline distT="0" distB="0" distL="0" distR="0">
            <wp:extent cx="5791200" cy="1193800"/>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5791200" cy="1193800"/>
                    </a:xfrm>
                    <a:prstGeom prst="rect">
                      <a:avLst/>
                    </a:prstGeom>
                  </pic:spPr>
                </pic:pic>
              </a:graphicData>
            </a:graphic>
          </wp:inline>
        </w:drawing>
      </w:r>
    </w:p>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currently conducting our FURVENT clinical trial, a global, pivotal Phase 3 clinical trial of furmonertinib in first-line non-squamous locally advanced or metastatic NSCLC patients with exon 20 insertion mutations and we expect topline data in 2025. In addition, we are conducting our FURTHER trial, a Phase 1b dose escalation and expansion clinical trial in patients with EGFRm NSCLC, including a cohort with PACC mutations which has been fully enrolled, and we expect proof of concept data from this cohort in 2024. Subject to review of data and regulatory feedback, we intend to expand this Phase 1b clinical trial into a potentially registrational clinical trial for NSCLC patients with PACC mutations. Data from our partner’s completed and ongoing clinical trials and from our ongoing clinical trials are discussed below.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FURVENT — Our ongoing Phase 3 Clinical Trial in First-Line Non-Squamous Locally Advanced or Metastatic EGFRm NSCLC Patients with Exon 20 Insertion Mutations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currently enrolling patients in FURVENT, a global, pivotal Phase 3 clinical trial of furmonertinib in first-line non-squamous locally advanced or metastatic EGFRm NSCLC patients with exon 20 insertion mutations being conducted jointly with Allist. We designed a randomized clinical trial, integrating feedback from global regulatory agencies, that consists of three cohorts of 125 patients each, designed to evaluate the safety and efficacy of furmonertinib at two different dose levels, 160 mg and 240 mg, administered daily (QD) and compare therapeutic benefit to platinum-based chemotherapy cycles with pemetrexed, the clinical trial’s active control group. Participants in this clinical trial will continue to receive treatment until disease progression or discontinuation related to toxicity, with patients in the control group allowed to cross over into one of the two furmonertinib arms after disease progression. The primary endpoint of this trial is PFS per blinded independent central review utilizing Response Evaluation Criteria in Solid Tumors (RECIST) 1.1 criteria. Secondary endpoints include ORR, overall survival (OS) and DOR, as well as brain-specific ORR and PFS in patients with brain metastases. We are currently enrolling patients in this clinical trial and anticipate top-line data for the use of furmonertinib as first-line therapy in patients with non-squamous locally advanced or metastatic EGFRm NSCLC with exon 20 insertion mutations in 2025. The FURVENT clinical trial’s study design is illustrated below:</w:t>
      </w:r>
    </w:p>
    <w:p>
      <w:pPr>
        <w:pStyle w:val="TextBody"/>
        <w:bidi w:val="0"/>
        <w:spacing w:before="0" w:after="0"/>
        <w:ind w:left="0" w:right="0" w:hanging="0"/>
        <w:jc w:val="center"/>
        <w:rPr/>
      </w:pPr>
      <w:r>
        <w:rPr/>
        <w:drawing>
          <wp:inline distT="0" distB="0" distL="0" distR="0">
            <wp:extent cx="5617210" cy="2007870"/>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5617210" cy="2007870"/>
                    </a:xfrm>
                    <a:prstGeom prst="rect">
                      <a:avLst/>
                    </a:prstGeom>
                  </pic:spPr>
                </pic:pic>
              </a:graphicData>
            </a:graphic>
          </wp:inline>
        </w:drawing>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FURTHER — Our Ongoing Phase 1b Clinical Trial in NSCLC Patients with EGFR Activating Mutations including PACC Mutations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are currently enrolling patients in FURTHER, an ongoing, global Phase 1b dose escalation and expansion clinical trial being conducted jointly with Allist. It is intended to evaluate the safety, pharmacokinetics and reduction in tumor size as a result of once-daily furmonertinib when used in locally advanced or metastatic non-squamous EGFRm NSCLC patients that have previously received systemic therapy and whose tumors contain EGFR activating mutations, including both classical and uncommon, as well as HER2 exon 20 insertion mutations. Cohort 4 specifically enrolls patients with EGFR PACC mutations. PACC mutations represent a group of approximately 70 EGFR activating mutations characterized by a structural displacement of the P-loop and/or αC-helix within EGFR’s kinase domain which impact drug binding for third generation EGFR TKIs such as osimertinib. PACC mutations can be identified along with the classical EGFR mutations using commercially available NGS panels. Currently, afatinib, a second-generation EGFR TKI has data supporting its use in two of the approximately 70 PACC mutations (S768I and G719X). Our preclinical data to date suggest that furmonertinib may have activity against a significantly broader number of PACC mutations. In seeking to enroll patients for this trial, we are engaging with medical oncology centers around the globe with experience identifying and enrolling EGFRm patients on clinical trials. The first stage of the FURTHER clinical trial enrolled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broad group of EGFRm NSCLC patients to evaluate pharmacokinetics and safety in patients outside of China and identify a dose for the expansion cohorts shown below.</w:t>
      </w:r>
    </w:p>
    <w:p>
      <w:pPr>
        <w:pStyle w:val="TextBody"/>
        <w:bidi w:val="0"/>
        <w:spacing w:before="0" w:after="0"/>
        <w:ind w:left="0" w:right="0" w:hanging="0"/>
        <w:jc w:val="center"/>
        <w:rPr/>
      </w:pPr>
      <w:r>
        <w:rPr/>
        <w:drawing>
          <wp:inline distT="0" distB="0" distL="0" distR="0">
            <wp:extent cx="5675630" cy="3796030"/>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5675630" cy="3796030"/>
                    </a:xfrm>
                    <a:prstGeom prst="rect">
                      <a:avLst/>
                    </a:prstGeom>
                  </pic:spPr>
                </pic:pic>
              </a:graphicData>
            </a:graphic>
          </wp:inline>
        </w:drawing>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sz w:val="20"/>
              </w:rPr>
              <w:t>Cohort One</w:t>
            </w:r>
            <w:r>
              <w:rPr>
                <w:caps w:val="false"/>
                <w:smallCaps w:val="false"/>
              </w:rPr>
              <w:t xml:space="preserve"> </w:t>
            </w:r>
            <w:r>
              <w:rPr>
                <w:rFonts w:ascii="Times New Roman;Times;serif" w:hAnsi="Times New Roman;Times;serif"/>
                <w:b w:val="false"/>
                <w:i w:val="false"/>
                <w:caps w:val="false"/>
                <w:smallCaps w:val="false"/>
                <w:sz w:val="20"/>
              </w:rPr>
              <w:t>is designed to enroll 20 patients with locally advanced or metastatic EGFR exon 20 insertion positive NSCLC who have previously received systemic treatment and may have received prior EGFRm targeting TKI therapeutic or amivantamab. Patients in Cohort One are to receive 240 mg furmonertinib once daily.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sz w:val="20"/>
              </w:rPr>
              <w:t>Cohort Two</w:t>
            </w:r>
            <w:r>
              <w:rPr>
                <w:caps w:val="false"/>
                <w:smallCaps w:val="false"/>
              </w:rPr>
              <w:t xml:space="preserve"> </w:t>
            </w:r>
            <w:r>
              <w:rPr>
                <w:rFonts w:ascii="Times New Roman;Times;serif" w:hAnsi="Times New Roman;Times;serif"/>
                <w:b w:val="false"/>
                <w:i w:val="false"/>
                <w:caps w:val="false"/>
                <w:smallCaps w:val="false"/>
                <w:sz w:val="20"/>
              </w:rPr>
              <w:t>is designed to enroll 20 patients with locally advanced or metastatic HER2 exon 20 insertion positive NSCLC, a mutation and patient population that is distinct from the exon 20 mutation and patient population. Patients in Cohort Two will have previously received systemic treatment and are to receive 240 mg furmonertinib once daily.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sz w:val="20"/>
              </w:rPr>
              <w:t>Cohort Three</w:t>
            </w:r>
            <w:r>
              <w:rPr>
                <w:caps w:val="false"/>
                <w:smallCaps w:val="false"/>
              </w:rPr>
              <w:t xml:space="preserve"> </w:t>
            </w:r>
            <w:r>
              <w:rPr>
                <w:rFonts w:ascii="Times New Roman;Times;serif" w:hAnsi="Times New Roman;Times;serif"/>
                <w:b w:val="false"/>
                <w:i w:val="false"/>
                <w:caps w:val="false"/>
                <w:smallCaps w:val="false"/>
                <w:sz w:val="20"/>
              </w:rPr>
              <w:t>is designed to enroll 20 patients with locally advanced or metastatic NSCLC with an EGFR-activating mutation other than exon 20 insertion or PACC mutations who have previously received systemic treatment. Patients with classical EGFRm must have received prior osimertinib therapy. Participants in Cohort Three are to receive 240 mg furmonertinib once daily.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sz w:val="20"/>
              </w:rPr>
              <w:t>Cohort Four</w:t>
            </w:r>
            <w:r>
              <w:rPr>
                <w:caps w:val="false"/>
                <w:smallCaps w:val="false"/>
              </w:rPr>
              <w:t xml:space="preserve"> </w:t>
            </w:r>
            <w:r>
              <w:rPr>
                <w:rFonts w:ascii="Times New Roman;Times;serif" w:hAnsi="Times New Roman;Times;serif"/>
                <w:b w:val="false"/>
                <w:i w:val="false"/>
                <w:caps w:val="false"/>
                <w:smallCaps w:val="false"/>
                <w:sz w:val="20"/>
              </w:rPr>
              <w:t>is designed to enroll 60 patients with locally advanced or metastatic NSCLC with EGFR PACC mutations who are TKI-treatment naive. Patients in Cohort Four are randomized into two groups, one group of up to 30 patients to receive 160 mg furmonertinib once-daily and the other group of up to 30 patients administered 240 mg furmonertinib once-daily.</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Pharmacokinetic data obtained in the first stage of the FURTHER clinical trial as of June 15, 2023 were consistent with initial pharmacokinetic data obtained in the FAVOUR clinical trial as of June 15, 2023 with similar steady-state levels of furmonertinib and its major metabolite, AST5902 (see figure below). The AEs in the FURTHER clinical trial have been consistent with the EGFR targeted TKI class in general, with diarrhea, stomatitis and rash being the most commonly observed TRAEs. The frequency of dose reduction and discontinuation due to AEs has remained low. Initial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evidence of reduction in tumor size has been observed, with confirmed and unconfirmed partial responses to furmonertinib noted in NSCLC patients with mutations involving EGFR exon 20 insertions.</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Furmonertinib has shown similar drug levels at steady state in both the FAVOUR and the FURTHER clinical trials</w:t>
      </w:r>
    </w:p>
    <w:p>
      <w:pPr>
        <w:pStyle w:val="TextBody"/>
        <w:bidi w:val="0"/>
        <w:spacing w:before="0" w:after="0"/>
        <w:ind w:left="0" w:right="0" w:hanging="0"/>
        <w:jc w:val="center"/>
        <w:rPr/>
      </w:pPr>
      <w:r>
        <w:rPr/>
        <w:drawing>
          <wp:inline distT="0" distB="0" distL="0" distR="0">
            <wp:extent cx="2604770" cy="2693670"/>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1"/>
                    <a:stretch>
                      <a:fillRect/>
                    </a:stretch>
                  </pic:blipFill>
                  <pic:spPr bwMode="auto">
                    <a:xfrm>
                      <a:off x="0" y="0"/>
                      <a:ext cx="2604770" cy="2693670"/>
                    </a:xfrm>
                    <a:prstGeom prst="rect">
                      <a:avLst/>
                    </a:prstGeom>
                  </pic:spPr>
                </pic:pic>
              </a:graphicData>
            </a:graphic>
          </wp:inline>
        </w:drawing>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Reduction in tumor size observed in preclinical studies with furmonertinib in uncommon EGFR mutations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advanced furmonertinib into clinical trials as a potential treatment for EGFR mutation-positive NSCLC involving uncommon mutations based on compelling data demonstrating reduction in tumor size in preclinical studies using mouse xenografts, as presented below.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is detailed in the illustration presented below, in this LU0387 patient derived tumor xenograft model with an EGFR exon 20 insertion mutation H773_V774insNPH, once daily oral dosing of furmonertinib at 20 mg/kg, 30 mg/kg or 50 mg/kg, which equates to an approximate human dose of 40 mg, 160 mg or 240 mg respectively, was observed to induce significant tumor growth inhibition with regression of tumors at the 50 mg/kg dose with minimum change to bodyweight.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Furmonertinib displayed reduction in tumor size in EGFR exon 20 insertion mutations tumor model</w:t>
      </w:r>
    </w:p>
    <w:tbl>
      <w:tblPr>
        <w:tblW w:w="8982" w:type="dxa"/>
        <w:jc w:val="center"/>
        <w:tblInd w:w="0" w:type="dxa"/>
        <w:tblLayout w:type="fixed"/>
        <w:tblCellMar>
          <w:top w:w="0" w:type="dxa"/>
          <w:left w:w="0" w:type="dxa"/>
          <w:bottom w:w="0" w:type="dxa"/>
          <w:right w:w="0" w:type="dxa"/>
        </w:tblCellMar>
      </w:tblPr>
      <w:tblGrid>
        <w:gridCol w:w="4469"/>
        <w:gridCol w:w="326"/>
        <w:gridCol w:w="4187"/>
      </w:tblGrid>
      <w:tr>
        <w:trPr/>
        <w:tc>
          <w:tcPr>
            <w:tcW w:w="4469" w:type="dxa"/>
            <w:tcBorders/>
            <w:vAlign w:val="center"/>
          </w:tcPr>
          <w:p>
            <w:pPr>
              <w:pStyle w:val="TableContents"/>
              <w:bidi w:val="0"/>
              <w:spacing w:before="0" w:after="0"/>
              <w:ind w:left="0" w:right="0" w:hanging="0"/>
              <w:jc w:val="center"/>
              <w:rPr/>
            </w:pPr>
            <w:r>
              <w:rPr/>
              <w:drawing>
                <wp:inline distT="0" distB="0" distL="0" distR="0">
                  <wp:extent cx="2773680" cy="1158240"/>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2773680" cy="1158240"/>
                          </a:xfrm>
                          <a:prstGeom prst="rect">
                            <a:avLst/>
                          </a:prstGeom>
                        </pic:spPr>
                      </pic:pic>
                    </a:graphicData>
                  </a:graphic>
                </wp:inline>
              </w:drawing>
            </w:r>
          </w:p>
        </w:tc>
        <w:tc>
          <w:tcPr>
            <w:tcW w:w="326" w:type="dxa"/>
            <w:tcBorders/>
            <w:vAlign w:val="center"/>
          </w:tcPr>
          <w:p>
            <w:pPr>
              <w:pStyle w:val="TableContents"/>
              <w:bidi w:val="0"/>
              <w:spacing w:before="0" w:after="0"/>
              <w:ind w:left="0" w:right="0" w:hanging="0"/>
              <w:jc w:val="left"/>
              <w:rPr/>
            </w:pPr>
            <w:r>
              <w:rPr/>
              <w:t>    </w:t>
            </w:r>
          </w:p>
        </w:tc>
        <w:tc>
          <w:tcPr>
            <w:tcW w:w="4187" w:type="dxa"/>
            <w:tcBorders/>
            <w:vAlign w:val="center"/>
          </w:tcPr>
          <w:p>
            <w:pPr>
              <w:pStyle w:val="TableContents"/>
              <w:bidi w:val="0"/>
              <w:spacing w:before="0" w:after="0"/>
              <w:ind w:left="0" w:right="0" w:hanging="0"/>
              <w:jc w:val="center"/>
              <w:rPr/>
            </w:pPr>
            <w:r>
              <w:rPr/>
              <w:drawing>
                <wp:inline distT="0" distB="0" distL="0" distR="0">
                  <wp:extent cx="2575560" cy="1264920"/>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2575560" cy="1264920"/>
                          </a:xfrm>
                          <a:prstGeom prst="rect">
                            <a:avLst/>
                          </a:prstGeom>
                        </pic:spPr>
                      </pic:pic>
                    </a:graphicData>
                  </a:graphic>
                </wp:inline>
              </w:drawing>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Similar reduction in tumor size was observed in a Ba/F3 subcutaneous tumor xenograft model harboring a G724S PACC mutation as shown below. This PACC mutation is less sensitive to furmonertinib than other PACC mutations based on cell line data. The oral administration of 15 mg/kg, 30 mg/kg or 50 mg/kg furmonertinib one time per day produced pronounced significant inhibition of tumor growth with regression of tumors at the two higher doses. We believe the limited loss of body weight suggests that the drug was generally well tolerated.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 xml:space="preserve">Tumor growth inhibition was observed in an EGFR G724S PACC mutation tumor model with furmonertinib </w:t>
      </w:r>
    </w:p>
    <w:tbl>
      <w:tblPr>
        <w:tblW w:w="8994" w:type="dxa"/>
        <w:jc w:val="left"/>
        <w:tblInd w:w="0" w:type="dxa"/>
        <w:tblLayout w:type="fixed"/>
        <w:tblCellMar>
          <w:top w:w="0" w:type="dxa"/>
          <w:left w:w="0" w:type="dxa"/>
          <w:bottom w:w="0" w:type="dxa"/>
          <w:right w:w="0" w:type="dxa"/>
        </w:tblCellMar>
      </w:tblPr>
      <w:tblGrid>
        <w:gridCol w:w="4397"/>
        <w:gridCol w:w="266"/>
        <w:gridCol w:w="4331"/>
      </w:tblGrid>
      <w:tr>
        <w:trPr/>
        <w:tc>
          <w:tcPr>
            <w:tcW w:w="4397" w:type="dxa"/>
            <w:tcBorders/>
            <w:vAlign w:val="center"/>
          </w:tcPr>
          <w:p>
            <w:pPr>
              <w:pStyle w:val="TableContents"/>
              <w:bidi w:val="0"/>
              <w:spacing w:before="0" w:after="0"/>
              <w:ind w:left="0" w:right="0" w:hanging="0"/>
              <w:jc w:val="center"/>
              <w:rPr/>
            </w:pPr>
            <w:r>
              <w:rPr/>
              <w:drawing>
                <wp:inline distT="0" distB="0" distL="0" distR="0">
                  <wp:extent cx="2727960" cy="1203960"/>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2727960" cy="1203960"/>
                          </a:xfrm>
                          <a:prstGeom prst="rect">
                            <a:avLst/>
                          </a:prstGeom>
                        </pic:spPr>
                      </pic:pic>
                    </a:graphicData>
                  </a:graphic>
                </wp:inline>
              </w:drawing>
            </w:r>
          </w:p>
        </w:tc>
        <w:tc>
          <w:tcPr>
            <w:tcW w:w="266" w:type="dxa"/>
            <w:tcBorders/>
            <w:vAlign w:val="center"/>
          </w:tcPr>
          <w:p>
            <w:pPr>
              <w:pStyle w:val="TableContents"/>
              <w:bidi w:val="0"/>
              <w:spacing w:before="0" w:after="0"/>
              <w:ind w:left="0" w:right="0" w:hanging="0"/>
              <w:jc w:val="left"/>
              <w:rPr/>
            </w:pPr>
            <w:r>
              <w:rPr/>
              <w:t>   </w:t>
            </w:r>
          </w:p>
        </w:tc>
        <w:tc>
          <w:tcPr>
            <w:tcW w:w="4331" w:type="dxa"/>
            <w:tcBorders/>
            <w:vAlign w:val="center"/>
          </w:tcPr>
          <w:p>
            <w:pPr>
              <w:pStyle w:val="TableContents"/>
              <w:bidi w:val="0"/>
              <w:spacing w:before="0" w:after="0"/>
              <w:ind w:left="0" w:right="0" w:hanging="0"/>
              <w:jc w:val="center"/>
              <w:rPr/>
            </w:pPr>
            <w:r>
              <w:rPr/>
              <w:drawing>
                <wp:inline distT="0" distB="0" distL="0" distR="0">
                  <wp:extent cx="2667000" cy="1158240"/>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2667000" cy="1158240"/>
                          </a:xfrm>
                          <a:prstGeom prst="rect">
                            <a:avLst/>
                          </a:prstGeom>
                        </pic:spPr>
                      </pic:pic>
                    </a:graphicData>
                  </a:graphic>
                </wp:inline>
              </w:drawing>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i/>
          <w:sz w:val="20"/>
        </w:rPr>
        <w:t>in vivo</w:t>
      </w:r>
      <w:r>
        <w:rPr>
          <w:rFonts w:ascii="Times New Roman;Times;serif" w:hAnsi="Times New Roman;Times;serif"/>
          <w:sz w:val="20"/>
        </w:rPr>
        <w:t xml:space="preserve"> efficacy of furmonertinib was also evaluated in a subcutaneous Ba/F3 tumor xenograft model with a HER2 exon 20 insertion mutation V777_G778insGC as illustrated below. B-NDG mice administered an oral dose of 15 mg/kg, 30 mg/kg or 50 mg/kg furmonertinib once daily were observed to exhibit significant tumor growth inhibition with regression at the two higher doses. Moreover, furmonertinib appeared generally well tolerated with minimal change in body weight.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Reduction in tumor size was observed in a HER2 exon 20 insertion mutation tumor model with furmonertinib</w:t>
      </w:r>
    </w:p>
    <w:tbl>
      <w:tblPr>
        <w:tblW w:w="9090" w:type="dxa"/>
        <w:jc w:val="center"/>
        <w:tblInd w:w="0" w:type="dxa"/>
        <w:tblLayout w:type="fixed"/>
        <w:tblCellMar>
          <w:top w:w="0" w:type="dxa"/>
          <w:left w:w="0" w:type="dxa"/>
          <w:bottom w:w="0" w:type="dxa"/>
          <w:right w:w="0" w:type="dxa"/>
        </w:tblCellMar>
      </w:tblPr>
      <w:tblGrid>
        <w:gridCol w:w="4529"/>
        <w:gridCol w:w="326"/>
        <w:gridCol w:w="4235"/>
      </w:tblGrid>
      <w:tr>
        <w:trPr/>
        <w:tc>
          <w:tcPr>
            <w:tcW w:w="4529" w:type="dxa"/>
            <w:tcBorders/>
            <w:vAlign w:val="center"/>
          </w:tcPr>
          <w:p>
            <w:pPr>
              <w:pStyle w:val="TableContents"/>
              <w:bidi w:val="0"/>
              <w:spacing w:before="0" w:after="0"/>
              <w:ind w:left="0" w:right="0" w:hanging="0"/>
              <w:jc w:val="center"/>
              <w:rPr/>
            </w:pPr>
            <w:r>
              <w:rPr/>
              <w:drawing>
                <wp:inline distT="0" distB="0" distL="0" distR="0">
                  <wp:extent cx="2811780" cy="1226820"/>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6"/>
                          <a:stretch>
                            <a:fillRect/>
                          </a:stretch>
                        </pic:blipFill>
                        <pic:spPr bwMode="auto">
                          <a:xfrm>
                            <a:off x="0" y="0"/>
                            <a:ext cx="2811780" cy="1226820"/>
                          </a:xfrm>
                          <a:prstGeom prst="rect">
                            <a:avLst/>
                          </a:prstGeom>
                        </pic:spPr>
                      </pic:pic>
                    </a:graphicData>
                  </a:graphic>
                </wp:inline>
              </w:drawing>
            </w:r>
          </w:p>
        </w:tc>
        <w:tc>
          <w:tcPr>
            <w:tcW w:w="326" w:type="dxa"/>
            <w:tcBorders/>
            <w:vAlign w:val="center"/>
          </w:tcPr>
          <w:p>
            <w:pPr>
              <w:pStyle w:val="TableContents"/>
              <w:bidi w:val="0"/>
              <w:spacing w:before="0" w:after="0"/>
              <w:ind w:left="0" w:right="0" w:hanging="0"/>
              <w:jc w:val="left"/>
              <w:rPr/>
            </w:pPr>
            <w:r>
              <w:rPr/>
              <w:t>    </w:t>
            </w:r>
          </w:p>
        </w:tc>
        <w:tc>
          <w:tcPr>
            <w:tcW w:w="4235" w:type="dxa"/>
            <w:tcBorders/>
            <w:vAlign w:val="center"/>
          </w:tcPr>
          <w:p>
            <w:pPr>
              <w:pStyle w:val="TableContents"/>
              <w:bidi w:val="0"/>
              <w:spacing w:before="0" w:after="0"/>
              <w:ind w:left="0" w:right="0" w:hanging="0"/>
              <w:jc w:val="center"/>
              <w:rPr/>
            </w:pPr>
            <w:r>
              <w:rPr/>
              <w:drawing>
                <wp:inline distT="0" distB="0" distL="0" distR="0">
                  <wp:extent cx="2606040" cy="1158240"/>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7"/>
                          <a:stretch>
                            <a:fillRect/>
                          </a:stretch>
                        </pic:blipFill>
                        <pic:spPr bwMode="auto">
                          <a:xfrm>
                            <a:off x="0" y="0"/>
                            <a:ext cx="2606040" cy="1158240"/>
                          </a:xfrm>
                          <a:prstGeom prst="rect">
                            <a:avLst/>
                          </a:prstGeom>
                        </pic:spPr>
                      </pic:pic>
                    </a:graphicData>
                  </a:graphic>
                </wp:inline>
              </w:drawing>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FAVOUR — Ongoing Phase 1b Clinical Trial in NSCLC Patients with EGFR Exon 20 Insertion Mutations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FAVOUR clinical trial is an ongoing 90-patient, Phase 1b clinical trial being conducted by Allist in China that is intended to assess the safety and efficacy of furmonertinib in locally advanced or metastatic NSCLC patients who have EGFR exon 20 insertion mutations. This 90-patient clinical trial consists of 3 treatment cohorts of 30 patients each. Eligibility criteria include both adult patients with one or more measurable lesions who are either treatment-naïve, or first-line patients, or have previously received systemic therapy. Patients with asymptomatic metastases involving the CNS are allowed to participate in the trial. First-line patients receive 240 mg furmonertinib once daily. Patients that have received prior treatment are randomized to receive either 160 mg or 240 mg of furmonertinib once daily. The primary endpoint of this trial is ORR as measured by the Response Evaluation Criteria In Solid Tumors (version 1.1) by Blinded Independent Central Review. Secondary endpoints include DOR sustained, disease controlled without progression of the disease (DCR), PFS, overall survival (OS) and safety. OS is not reported due to the data being immature as of the data cutoff date of June 15, 2023. Follow-up evaluations with trial participants are conducted every six weeks. In the treatment-naïve population, furmonertinib is being evaluated as a first-line therapy. The baseline characteristics of the 86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patients enrolled in the FAVOUR clinical trial as of June 15, 2023 are described in the following table. Allist expects to release final results of the primary analysis from the FAVOUR study in 2024.</w:t>
      </w:r>
    </w:p>
    <w:p>
      <w:pPr>
        <w:pStyle w:val="TextBody"/>
        <w:bidi w:val="0"/>
        <w:spacing w:before="0" w:after="0"/>
        <w:ind w:left="0" w:right="0" w:hanging="0"/>
        <w:jc w:val="center"/>
        <w:rPr/>
      </w:pPr>
      <w:r>
        <w:rPr/>
        <w:drawing>
          <wp:inline distT="0" distB="0" distL="0" distR="0">
            <wp:extent cx="5791200" cy="2209800"/>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18"/>
                    <a:stretch>
                      <a:fillRect/>
                    </a:stretch>
                  </pic:blipFill>
                  <pic:spPr bwMode="auto">
                    <a:xfrm>
                      <a:off x="0" y="0"/>
                      <a:ext cx="5791200" cy="2209800"/>
                    </a:xfrm>
                    <a:prstGeom prst="rect">
                      <a:avLst/>
                    </a:prstGeom>
                  </pic:spPr>
                </pic:pic>
              </a:graphicData>
            </a:graphic>
          </wp:inline>
        </w:drawing>
      </w:r>
    </w:p>
    <w:p>
      <w:pPr>
        <w:pStyle w:val="HorizontalLine"/>
        <w:pBdr>
          <w:bottom w:val="single" w:sz="6" w:space="0" w:color="000000"/>
        </w:pBdr>
        <w:bidi w:val="0"/>
        <w:spacing w:before="0" w:after="0"/>
        <w:ind w:left="0" w:right="7654" w:hanging="0"/>
        <w:jc w:val="left"/>
        <w:rPr/>
      </w:pPr>
      <w:r>
        <w:rPr/>
      </w:r>
    </w:p>
    <w:tbl>
      <w:tblPr>
        <w:tblW w:w="4480" w:type="dxa"/>
        <w:jc w:val="left"/>
        <w:tblInd w:w="0" w:type="dxa"/>
        <w:tblLayout w:type="fixed"/>
        <w:tblCellMar>
          <w:top w:w="0" w:type="dxa"/>
          <w:left w:w="0" w:type="dxa"/>
          <w:bottom w:w="0" w:type="dxa"/>
          <w:right w:w="0" w:type="dxa"/>
        </w:tblCellMar>
      </w:tblPr>
      <w:tblGrid>
        <w:gridCol w:w="110"/>
        <w:gridCol w:w="4370"/>
      </w:tblGrid>
      <w:tr>
        <w:trPr/>
        <w:tc>
          <w:tcPr>
            <w:tcW w:w="110" w:type="dxa"/>
            <w:tcBorders/>
            <w:vAlign w:val="center"/>
          </w:tcPr>
          <w:p>
            <w:pPr>
              <w:pStyle w:val="TableContents"/>
              <w:bidi w:val="0"/>
              <w:spacing w:before="0" w:after="240"/>
              <w:jc w:val="left"/>
              <w:rPr>
                <w:rFonts w:ascii="Times New Roman;Times;serif" w:hAnsi="Times New Roman;Times;serif"/>
                <w:sz w:val="16"/>
              </w:rPr>
            </w:pPr>
            <w:r>
              <w:rPr>
                <w:rFonts w:ascii="Times New Roman;Times;serif" w:hAnsi="Times New Roman;Times;serif"/>
                <w:sz w:val="16"/>
              </w:rPr>
              <w:t>*</w:t>
            </w:r>
          </w:p>
        </w:tc>
        <w:tc>
          <w:tcPr>
            <w:tcW w:w="4370" w:type="dxa"/>
            <w:tcBorders/>
            <w:vAlign w:val="center"/>
          </w:tcPr>
          <w:p>
            <w:pPr>
              <w:pStyle w:val="TableContents"/>
              <w:bidi w:val="0"/>
              <w:spacing w:before="0" w:after="240"/>
              <w:jc w:val="left"/>
              <w:rPr>
                <w:rFonts w:ascii="Times New Roman;Times;serif" w:hAnsi="Times New Roman;Times;serif"/>
                <w:sz w:val="16"/>
              </w:rPr>
            </w:pPr>
            <w:r>
              <w:rPr>
                <w:rFonts w:ascii="Times New Roman;Times;serif" w:hAnsi="Times New Roman;Times;serif"/>
                <w:sz w:val="16"/>
              </w:rPr>
              <w:t>Eastern Cooperative Oncology Group performance status scale</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of June 15, 2023, initial interim data was available from the 80 patients who have had measurable disease at baseline by blinded independent central review committee, had received at least two tumor assessments, had progressive disease or death, or discontinued from treatment. Of these 80 patients 28 are in the treatment-naïve patient group and 52 were previously treated, split evenly between the 160 mg and the 240 mg cohort. Safety data were available for all 86 patients. Based on these data, reduction in tumor size was observed across all cohorts. Confirmed ORRs (defined as a reduction in tumor size of at least 30% from the baseline in a patient without evidence of progression) were 79% among the treatment-naïve patients cohort, 46% among the previously treated 240 mg cohort and 39% in the previously treated 160 mg cohort. Median DOR was 15.2 months in treatment-naïve patients, 13.1 months in the 240 mg previously treated cohort and 9.7 months in the 160 mg previously treated cohort. Median PFS was 10.7 months in the treatment-naïve patients, 7.0 months in the 240 mg previously treated cohort and 5.7 months in the 160 mg previously treated cohort. The disease control rate (DCR), which includes complete responses, partial responses and stable disease, was 100%, 92% and 85% for each of these respective trial cohorts. These initial interim PFS and DOR data continue to mature with patients continuing in the clinical trial. Interim data from clinical trials may change as more patient data becomes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available and are subject to audit and verification procedures that could result in material changes in the final data. The following table describes these data.</w:t>
      </w:r>
    </w:p>
    <w:p>
      <w:pPr>
        <w:pStyle w:val="TextBody"/>
        <w:bidi w:val="0"/>
        <w:spacing w:before="0" w:after="0"/>
        <w:ind w:left="0" w:right="0" w:hanging="0"/>
        <w:jc w:val="center"/>
        <w:rPr/>
      </w:pPr>
      <w:r>
        <w:rPr/>
        <w:drawing>
          <wp:inline distT="0" distB="0" distL="0" distR="0">
            <wp:extent cx="5791200" cy="2806700"/>
            <wp:effectExtent l="0" t="0" r="0" b="0"/>
            <wp:docPr id="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 descr=""/>
                    <pic:cNvPicPr>
                      <a:picLocks noChangeAspect="1" noChangeArrowheads="1"/>
                    </pic:cNvPicPr>
                  </pic:nvPicPr>
                  <pic:blipFill>
                    <a:blip r:embed="rId19"/>
                    <a:stretch>
                      <a:fillRect/>
                    </a:stretch>
                  </pic:blipFill>
                  <pic:spPr bwMode="auto">
                    <a:xfrm>
                      <a:off x="0" y="0"/>
                      <a:ext cx="5791200" cy="2806700"/>
                    </a:xfrm>
                    <a:prstGeom prst="rect">
                      <a:avLst/>
                    </a:prstGeom>
                  </pic:spPr>
                </pic:pic>
              </a:graphicData>
            </a:graphic>
          </wp:inline>
        </w:drawing>
      </w:r>
    </w:p>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extent of change in tumor size was evaluated across patients and shown in the figure below. Median tumor size reduction of 51% was observed in the treatment-naïve patients cohort, 54% was observed among pretreated patients in the 240 mg cohort and 36% in the pretreated 160 mg patient cohort. Patients on average achieved greater tumor size reduction in the 240 mg dose versus the 160 mg dose. Tumor size reduction was observed across the different locations of the exon 20 insertion (near loop, far loop and helical mutations).</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Tumor size reduction was observed in all EGFR exon 20 insertion mutation subtypes with furmonertinib</w:t>
      </w:r>
    </w:p>
    <w:p>
      <w:pPr>
        <w:pStyle w:val="TextBody"/>
        <w:bidi w:val="0"/>
        <w:spacing w:before="0" w:after="0"/>
        <w:ind w:left="0" w:right="0" w:hanging="0"/>
        <w:jc w:val="center"/>
        <w:rPr/>
      </w:pPr>
      <w:r>
        <w:rPr/>
        <w:drawing>
          <wp:inline distT="0" distB="0" distL="0" distR="0">
            <wp:extent cx="5791200" cy="2324100"/>
            <wp:effectExtent l="0" t="0" r="0" b="0"/>
            <wp:docPr id="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 descr=""/>
                    <pic:cNvPicPr>
                      <a:picLocks noChangeAspect="1" noChangeArrowheads="1"/>
                    </pic:cNvPicPr>
                  </pic:nvPicPr>
                  <pic:blipFill>
                    <a:blip r:embed="rId20"/>
                    <a:stretch>
                      <a:fillRect/>
                    </a:stretch>
                  </pic:blipFill>
                  <pic:spPr bwMode="auto">
                    <a:xfrm>
                      <a:off x="0" y="0"/>
                      <a:ext cx="5791200" cy="2324100"/>
                    </a:xfrm>
                    <a:prstGeom prst="rect">
                      <a:avLst/>
                    </a:prstGeom>
                  </pic:spPr>
                </pic:pic>
              </a:graphicData>
            </a:graphic>
          </wp:inline>
        </w:drawing>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Responses occurred rapidly with most patients having a partial response by the first tumor assessment at six weeks with responses ongoing in many patients as denoted in the figure below.</w:t>
      </w:r>
    </w:p>
    <w:p>
      <w:pPr>
        <w:pStyle w:val="TextBody"/>
        <w:bidi w:val="0"/>
        <w:spacing w:before="0" w:after="0"/>
        <w:ind w:left="0" w:right="0" w:hanging="0"/>
        <w:jc w:val="center"/>
        <w:rPr/>
      </w:pPr>
      <w:r>
        <w:rPr/>
        <w:drawing>
          <wp:inline distT="0" distB="0" distL="0" distR="0">
            <wp:extent cx="5629910" cy="3030220"/>
            <wp:effectExtent l="0" t="0" r="0" b="0"/>
            <wp:docPr id="2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0" descr=""/>
                    <pic:cNvPicPr>
                      <a:picLocks noChangeAspect="1" noChangeArrowheads="1"/>
                    </pic:cNvPicPr>
                  </pic:nvPicPr>
                  <pic:blipFill>
                    <a:blip r:embed="rId21"/>
                    <a:stretch>
                      <a:fillRect/>
                    </a:stretch>
                  </pic:blipFill>
                  <pic:spPr bwMode="auto">
                    <a:xfrm>
                      <a:off x="0" y="0"/>
                      <a:ext cx="5629910" cy="3030220"/>
                    </a:xfrm>
                    <a:prstGeom prst="rect">
                      <a:avLst/>
                    </a:prstGeom>
                  </pic:spPr>
                </pic:pic>
              </a:graphicData>
            </a:graphic>
          </wp:inline>
        </w:drawing>
      </w:r>
    </w:p>
    <w:p>
      <w:pPr>
        <w:pStyle w:val="TextBody"/>
        <w:bidi w:val="0"/>
        <w:spacing w:before="0" w:after="24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Furmonertinib was observed to be generally well tolerated and demonstrated safety results similar to prior furmonertinib trials. As of June 15, 2023, the following six (n=86) TRSAEs were observed: abnormal hepatic function (1), decreased platelet count (2), abnormal uterine bleeding (1), interstitial lung disease (1) and diarrhea (1). As of June 15, 2023, the following 21 (n=86) treatment-emergent serious adverse events (TESAEs) were observed: pleural effusion (6), pulmonary embolism (2), dyspnoea (1), interstitial lung diseases (1), decreased platelet count (2), increase lipase (1), pericardial effusion (3), pneumonia (3), cerebral infarction (1), abnormal uterine bleeding (1), depression (1), abnormal hepatic function (1), diarrhea (1), colon adenocarcinoma (1) and venous thrombosis (1). When AEs occurred, they were generally consistent with known class effects of EGFR TKIs. TRAEs of Grade 3 or higher deemed related to the study drug were noted in 13% among treatment-naïve patients, and 18% and 29% among previously treated patients dosed at the 160 mg and 240 mg daily level, respectively. TRAEs that led to dose interruption occurred in 14% of patients who received a 160 mg daily dose, 32% among previously treated patients who received a 240 mg daily dose and 23% among patients in the first-lint patient cohort. TRAEs that led to a reduction in dose occurred in 13% of untreated patients at the 240 mg dose and 11% and 18% among previously treated patients who received a 160 mg or 240 mg daily dose, respectively. The rate of trial discontinuation related to TRAEs was low, with only two trial patients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ending trial participation because of AEs across all treatment cohorts. The table below summarizes this safety and tolerability data as of June 15, 2023:</w:t>
      </w:r>
    </w:p>
    <w:p>
      <w:pPr>
        <w:pStyle w:val="TextBody"/>
        <w:bidi w:val="0"/>
        <w:spacing w:before="0" w:after="0"/>
        <w:ind w:left="0" w:right="0" w:hanging="0"/>
        <w:jc w:val="center"/>
        <w:rPr/>
      </w:pPr>
      <w:r>
        <w:rPr/>
        <w:drawing>
          <wp:inline distT="0" distB="0" distL="0" distR="0">
            <wp:extent cx="5791200" cy="2247900"/>
            <wp:effectExtent l="0" t="0" r="0" b="0"/>
            <wp:docPr id="2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1" descr=""/>
                    <pic:cNvPicPr>
                      <a:picLocks noChangeAspect="1" noChangeArrowheads="1"/>
                    </pic:cNvPicPr>
                  </pic:nvPicPr>
                  <pic:blipFill>
                    <a:blip r:embed="rId22"/>
                    <a:stretch>
                      <a:fillRect/>
                    </a:stretch>
                  </pic:blipFill>
                  <pic:spPr bwMode="auto">
                    <a:xfrm>
                      <a:off x="0" y="0"/>
                      <a:ext cx="5791200" cy="2247900"/>
                    </a:xfrm>
                    <a:prstGeom prst="rect">
                      <a:avLst/>
                    </a:prstGeom>
                  </pic:spPr>
                </pic:pic>
              </a:graphicData>
            </a:graphic>
          </wp:inline>
        </w:drawing>
      </w:r>
    </w:p>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most frequent TRAEs as of June 15, 2023 are detailed in the table below. The majority of these AEs were grade 1 or 2 and commonly associated with EGFR TKIs as a class.</w:t>
      </w:r>
    </w:p>
    <w:p>
      <w:pPr>
        <w:pStyle w:val="TextBody"/>
        <w:bidi w:val="0"/>
        <w:spacing w:before="0" w:after="0"/>
        <w:ind w:left="0" w:right="0" w:hanging="0"/>
        <w:jc w:val="center"/>
        <w:rPr/>
      </w:pPr>
      <w:r>
        <w:rPr/>
        <w:drawing>
          <wp:inline distT="0" distB="0" distL="0" distR="0">
            <wp:extent cx="5791200" cy="2425700"/>
            <wp:effectExtent l="0" t="0" r="0" b="0"/>
            <wp:docPr id="2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2" descr=""/>
                    <pic:cNvPicPr>
                      <a:picLocks noChangeAspect="1" noChangeArrowheads="1"/>
                    </pic:cNvPicPr>
                  </pic:nvPicPr>
                  <pic:blipFill>
                    <a:blip r:embed="rId23"/>
                    <a:stretch>
                      <a:fillRect/>
                    </a:stretch>
                  </pic:blipFill>
                  <pic:spPr bwMode="auto">
                    <a:xfrm>
                      <a:off x="0" y="0"/>
                      <a:ext cx="5791200" cy="2425700"/>
                    </a:xfrm>
                    <a:prstGeom prst="rect">
                      <a:avLst/>
                    </a:prstGeom>
                  </pic:spPr>
                </pic:pic>
              </a:graphicData>
            </a:graphic>
          </wp:inline>
        </w:drawing>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SHP2 Combination Trial — Ongoing Phase 1b Clinical Trial in Classical EGFRm NSCLC Patients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SHP2 is a protein tyrosine phosphatase that has an important role in the signaling pathway downstream of EGFR. Activating SHP2 mutations have been observed in breast, lung and colorectal cancers, among others, which underscores the central role of SHP2 in tumor cells in transmitting growth signals to rat sarcoma RAS (see figure below). Besides transmitting growth signals from EGFR, SHP2 also participates in signal transduction processes of other receptor tyrosine kinase that can confer resistance to EGFR TKI such as MET. In preclinical EGFRm NSCLC tumor xenograft models small molecular inhibitors of SHP2 can further potentiate the activity of EGFR TKI and overcome resistance conferred by activated MET signaling. We therefore believe that the combination of furmonertinib with a potent and specific SHP2 inhibitor may further potentiate furmonertinib activity and prevent the outgrowth of resistant tumor cells. We have therefore initiated a Phase 1b clinical trial combining furmonertinib with a SHP2 inhibitor ICP-189 being developed by InnoCare. Preclinical studies with osimertinib demonstrated the encouraging activity of this combination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preventing resistance from developing and we believe similar results will be obtained in preclinical studies with furmonertinib based on a common mechanism of action.</w:t>
      </w:r>
    </w:p>
    <w:p>
      <w:pPr>
        <w:pStyle w:val="TextBody"/>
        <w:bidi w:val="0"/>
        <w:spacing w:before="0" w:after="0"/>
        <w:ind w:left="0" w:right="0" w:hanging="0"/>
        <w:jc w:val="center"/>
        <w:rPr/>
      </w:pPr>
      <w:r>
        <w:rPr/>
        <w:drawing>
          <wp:inline distT="0" distB="0" distL="0" distR="0">
            <wp:extent cx="4775200" cy="4851400"/>
            <wp:effectExtent l="0" t="0" r="0" b="0"/>
            <wp:docPr id="2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3" descr=""/>
                    <pic:cNvPicPr>
                      <a:picLocks noChangeAspect="1" noChangeArrowheads="1"/>
                    </pic:cNvPicPr>
                  </pic:nvPicPr>
                  <pic:blipFill>
                    <a:blip r:embed="rId24"/>
                    <a:stretch>
                      <a:fillRect/>
                    </a:stretch>
                  </pic:blipFill>
                  <pic:spPr bwMode="auto">
                    <a:xfrm>
                      <a:off x="0" y="0"/>
                      <a:ext cx="4775200" cy="4851400"/>
                    </a:xfrm>
                    <a:prstGeom prst="rect">
                      <a:avLst/>
                    </a:prstGeom>
                  </pic:spPr>
                </pic:pic>
              </a:graphicData>
            </a:graphic>
          </wp:inline>
        </w:drawing>
      </w:r>
    </w:p>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Phase 1b trial is designed to evaluate the safety, pharmacokinetics and preliminary efficacy of the furmonertinib-ICP-189 combination in EGFRm NSCLC involving classical mutations and we dosed the first patient in March 2024. An expansion cohort in patients previously treated with a third-generation EGFR TKI is planned once a dose and schedule for drug administration has been determined, with potential proof of concept in second-line classical EGFRm NSCLC in 2026, and 2027 in a planned EGFR-TKI naïve first-line therapy cohort.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Planned Adjuvant Study in NSCLC Patients with Uncommon EGFRm, including Exon 20 Insertion and PACC Mutations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intend to initiate a single multicenter, randomized, global pivotal Phase 3 clinical trial to investigate the potential benefit of furmonertinib when administered to adult patients with Stage Ib to IIIa EGFRm NSCLC, after surgical resection. We intend to restrict eligibility in this clinical trial to patients with uncommon EGFR mutations including PACC, exon 20 insertion and other uncommon EGFRm. Participants are to be randomized on a 1:1 basis to receive either furmonertinib or placebo for three years and stratified based on stage of disease, mutation type and geographic origin. Participants are to receive furmonertinib daily over a three-year period with the primary endpoint to be disease free survival with secondary endpoints being OS and safety. We are targeting enrollment into this clinical trial to commence in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FURLONG — Completed Phase 3 Clinical Trial in Classical EGFRm First-Line NSCLC Patients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FURLONG was a 358-patient randomized, double-blinded, multi-center clinical trial with an active control arm, conducted in China by Allist, designed to compare the safety and efficacy of once daily dosing of 80 mg furmonertinib to 250 mg of gefitinib as first-line therapy in patients with locally advanced or metastatic NSCLC with classical EGFRm. Data from this trial supported the 2022 approval of furmonertinib in China for this patient population. The 358 patients enrolled in this Phase 3 trial were randomized on a 1:1 basis to receive either 80 mg of furmonertinib or 250 mg gefitinib orally as monotherapy in three-week cycles. All patients in the FURLONG clinical trial had either advanced Stage 3 or Stage 4 disease. Each cohort enrolled a similar number of women and non-smokers and the distribution of classical mutation type was comparable, as was the number of patients with metastatic disease involving the central nervous system. The patient demographic information is illustrated below.</w:t>
      </w:r>
    </w:p>
    <w:p>
      <w:pPr>
        <w:pStyle w:val="TextBody"/>
        <w:bidi w:val="0"/>
        <w:spacing w:before="0" w:after="0"/>
        <w:ind w:left="0" w:right="0" w:hanging="0"/>
        <w:jc w:val="center"/>
        <w:rPr/>
      </w:pPr>
      <w:r>
        <w:rPr/>
        <w:drawing>
          <wp:inline distT="0" distB="0" distL="0" distR="0">
            <wp:extent cx="5791200" cy="2362200"/>
            <wp:effectExtent l="0" t="0" r="0" b="0"/>
            <wp:docPr id="2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4" descr=""/>
                    <pic:cNvPicPr>
                      <a:picLocks noChangeAspect="1" noChangeArrowheads="1"/>
                    </pic:cNvPicPr>
                  </pic:nvPicPr>
                  <pic:blipFill>
                    <a:blip r:embed="rId25"/>
                    <a:stretch>
                      <a:fillRect/>
                    </a:stretch>
                  </pic:blipFill>
                  <pic:spPr bwMode="auto">
                    <a:xfrm>
                      <a:off x="0" y="0"/>
                      <a:ext cx="5791200" cy="2362200"/>
                    </a:xfrm>
                    <a:prstGeom prst="rect">
                      <a:avLst/>
                    </a:prstGeom>
                  </pic:spPr>
                </pic:pic>
              </a:graphicData>
            </a:graphic>
          </wp:inline>
        </w:drawing>
      </w:r>
    </w:p>
    <w:p>
      <w:pPr>
        <w:pStyle w:val="HorizontalLine"/>
        <w:pBdr>
          <w:bottom w:val="single" w:sz="6" w:space="0" w:color="000000"/>
        </w:pBdr>
        <w:bidi w:val="0"/>
        <w:spacing w:before="0" w:after="0"/>
        <w:ind w:left="0" w:right="7654" w:hanging="0"/>
        <w:jc w:val="left"/>
        <w:rPr/>
      </w:pPr>
      <w:r>
        <w:rPr/>
      </w:r>
    </w:p>
    <w:tbl>
      <w:tblPr>
        <w:tblW w:w="4480" w:type="dxa"/>
        <w:jc w:val="left"/>
        <w:tblInd w:w="0" w:type="dxa"/>
        <w:tblLayout w:type="fixed"/>
        <w:tblCellMar>
          <w:top w:w="0" w:type="dxa"/>
          <w:left w:w="0" w:type="dxa"/>
          <w:bottom w:w="0" w:type="dxa"/>
          <w:right w:w="0" w:type="dxa"/>
        </w:tblCellMar>
      </w:tblPr>
      <w:tblGrid>
        <w:gridCol w:w="110"/>
        <w:gridCol w:w="4370"/>
      </w:tblGrid>
      <w:tr>
        <w:trPr/>
        <w:tc>
          <w:tcPr>
            <w:tcW w:w="110" w:type="dxa"/>
            <w:tcBorders/>
            <w:vAlign w:val="center"/>
          </w:tcPr>
          <w:p>
            <w:pPr>
              <w:pStyle w:val="TableContents"/>
              <w:bidi w:val="0"/>
              <w:spacing w:before="0" w:after="240"/>
              <w:jc w:val="left"/>
              <w:rPr>
                <w:rFonts w:ascii="Times New Roman;Times;serif" w:hAnsi="Times New Roman;Times;serif"/>
                <w:sz w:val="16"/>
              </w:rPr>
            </w:pPr>
            <w:r>
              <w:rPr>
                <w:rFonts w:ascii="Times New Roman;Times;serif" w:hAnsi="Times New Roman;Times;serif"/>
                <w:sz w:val="16"/>
              </w:rPr>
              <w:t>*</w:t>
            </w:r>
          </w:p>
        </w:tc>
        <w:tc>
          <w:tcPr>
            <w:tcW w:w="4370" w:type="dxa"/>
            <w:tcBorders/>
            <w:vAlign w:val="center"/>
          </w:tcPr>
          <w:p>
            <w:pPr>
              <w:pStyle w:val="TableContents"/>
              <w:bidi w:val="0"/>
              <w:spacing w:before="0" w:after="240"/>
              <w:jc w:val="left"/>
              <w:rPr>
                <w:rFonts w:ascii="Times New Roman;Times;serif" w:hAnsi="Times New Roman;Times;serif"/>
                <w:sz w:val="16"/>
              </w:rPr>
            </w:pPr>
            <w:r>
              <w:rPr>
                <w:rFonts w:ascii="Times New Roman;Times;serif" w:hAnsi="Times New Roman;Times;serif"/>
                <w:sz w:val="16"/>
              </w:rPr>
              <w:t>Eastern Cooperative Oncology Group performance status scale</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Furmonertinib demonstrated improved efficacy results as compared to gefitinib in the FURLONG clinical trial</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Furmonertinib demonstrated clinically meaningful and statistically significant therapeutic benefit as compared to gefitinib in the FURLONG clinical trial. In this clinical trial, we saw patients with furmonertinib lived longer without progression of disease. Median PFS in the patient cohort that was treated with furmonertinib was 20.8 months as compared to 11.1 months for the cohort that received gefitinib, representing a hazard ratio of 0.443 with p value &lt;0.0001. The ORR in the furmonertinib cohort, which included clinical trial participants exhibiting either a complete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response or a partial response to therapy, was 89% as compared to 84% in the gefitinib arm of the trial. The Kaplan-Meier curve of progression free survival in both cohorts is illustrated in the chart presented below.</w:t>
      </w:r>
    </w:p>
    <w:p>
      <w:pPr>
        <w:pStyle w:val="TextBody"/>
        <w:bidi w:val="0"/>
        <w:spacing w:before="0" w:after="0"/>
        <w:ind w:left="0" w:right="0" w:hanging="0"/>
        <w:jc w:val="center"/>
        <w:rPr/>
      </w:pPr>
      <w:r>
        <w:rPr/>
        <w:drawing>
          <wp:inline distT="0" distB="0" distL="0" distR="0">
            <wp:extent cx="5727700" cy="2705100"/>
            <wp:effectExtent l="0" t="0" r="0" b="0"/>
            <wp:docPr id="2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5" descr=""/>
                    <pic:cNvPicPr>
                      <a:picLocks noChangeAspect="1" noChangeArrowheads="1"/>
                    </pic:cNvPicPr>
                  </pic:nvPicPr>
                  <pic:blipFill>
                    <a:blip r:embed="rId26"/>
                    <a:stretch>
                      <a:fillRect/>
                    </a:stretch>
                  </pic:blipFill>
                  <pic:spPr bwMode="auto">
                    <a:xfrm>
                      <a:off x="0" y="0"/>
                      <a:ext cx="5727700" cy="2705100"/>
                    </a:xfrm>
                    <a:prstGeom prst="rect">
                      <a:avLst/>
                    </a:prstGeom>
                  </pic:spPr>
                </pic:pic>
              </a:graphicData>
            </a:graphic>
          </wp:inline>
        </w:drawing>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Furmonertinib demonstrated improved safety results as compared to gefitinib in the FURLONG clinical trial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Furmonertinib also demonstrated favorable safety results as compared to gefitinib in the FURLONG clinical trial. Despite an extended median duration of exposure to furmonertinib of 18.3 months as compared to 11.2 months among patients in the gefitinib cohort, furmonertinib administration resulted in fewer Grade 3 TRAEs as compared to gefitinib, 11.2% versus 17.9%, and fewer treatment-related serious adverse events, 5.6% versus 6.1%. The following TRSAEs were observed in ten patients (n=178) in the FURLONG study: increased alanine aminotransferase (4), increased aspartate aminotransferase (3), cerebral infraction (2), abnormal hepatic function (1), decreased blood fibrinogen (1), decreased platelet count (1), diarrhea (1), cholecystitis (1), cholelithiasis (1), pancreatitis (1), gastroenteritis (1), and gastritis (1). The following TESAEs were observed in 44 patients (n=178) in the FURLONG study: pleural effusion (5), cerebral infarction (5), increased alanine aminotransferase (4), increased aspartate aminotransferase (3), pneumonia (3), dyspnoea (2), respiratory failure (2), pulmonary embolism (2), abnormal hepatic function (1), decreased blood fibrinogen (1), decreased platelet count (1), diarrhea (1), cholecystitis (1), cholelithiasis (1), pancreatitis (1), gastroenteritis (1), gastritis (1), and death (1). The rate of trial discontinuation related to TRAEs was 3.4%, with six trial patients ending trial participation because of AEs, one as a result of each of interstitial lung disease, hyperbilirubinemia, visual impairment, ECG QT prolongation, ALT/AST elevation and decreased platelet count.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Furmonertinib exhibited superior efficacy results in the treatment of CNS metastases in the FURLONG clinical trial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Of the 358 patients enrolled in FURLONG, 60 had measurable CNS lesions that could be evaluated. Among trial participants with measurable CNS metastases, furmonertinib produced a confirmed CNS metastases specific ORR of 91% vs. 65% for gefitinib. In the full analysis set of 133 patients who had measurable or non-measurable CNS metastases the median CNS metastases specific progression free survival was 20.8 months for furmonertinib versus 9.8 months for the cohort that received gefitinib. Additionally, in a post-hoc analysis of patients that did not present with CNS lesions at enrollment, none of the patients who were treated with furmonertinib developed new lesions related to CNS metastases during the trial period. Among gefitinib patients, 8 trial participants developed such lesions. We believe this difference reflects furmonertinib’s enhanced potential to cross the blood-brain barrier which we believe may enable the prevention of CNS metastases.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Molecular Structure of Furmonertinib</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molecular structure of furmonertinib is shown below. Furmonertinib contains an acrylamide side chain to confer irreversible binding to the EGFR kinase domain that may result in prolonged target inhibition and a flexible trifluoroethoxy side chain linked to a pyridine to provide additional contact points in the drug binding pocket, which we believe may enable improved binding across EGFR mutants as modeled below. It is believed that these two features of furmonertinib work together to enable broad inhibition of both classical and uncommon EGFR mutations such as exon 20 insertions and PACC mutations. In addition, the active metabolite of furmonertinib, AST5902 retained mutation specificity </w:t>
      </w:r>
      <w:r>
        <w:rPr>
          <w:rFonts w:ascii="Times New Roman;Times;serif" w:hAnsi="Times New Roman;Times;serif"/>
          <w:i/>
          <w:sz w:val="20"/>
        </w:rPr>
        <w:t>in vitro</w:t>
      </w:r>
      <w:r>
        <w:rPr>
          <w:rFonts w:ascii="Times New Roman;Times;serif" w:hAnsi="Times New Roman;Times;serif"/>
          <w:sz w:val="20"/>
        </w:rPr>
        <w:t>, which we believe may minimize toxicity due to EGFR inhibition in non-cancer cells.</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The molecular structure of furmonertinib contains numerous advantageous features</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The chemical structure of Furmonertinib</w:t>
      </w:r>
    </w:p>
    <w:p>
      <w:pPr>
        <w:pStyle w:val="TextBody"/>
        <w:bidi w:val="0"/>
        <w:spacing w:before="0" w:after="0"/>
        <w:ind w:left="0" w:right="0" w:hanging="0"/>
        <w:jc w:val="center"/>
        <w:rPr/>
      </w:pPr>
      <w:r>
        <w:rPr/>
        <w:drawing>
          <wp:inline distT="0" distB="0" distL="0" distR="0">
            <wp:extent cx="4445000" cy="2527300"/>
            <wp:effectExtent l="0" t="0" r="0" b="0"/>
            <wp:docPr id="2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6" descr=""/>
                    <pic:cNvPicPr>
                      <a:picLocks noChangeAspect="1" noChangeArrowheads="1"/>
                    </pic:cNvPicPr>
                  </pic:nvPicPr>
                  <pic:blipFill>
                    <a:blip r:embed="rId27"/>
                    <a:stretch>
                      <a:fillRect/>
                    </a:stretch>
                  </pic:blipFill>
                  <pic:spPr bwMode="auto">
                    <a:xfrm>
                      <a:off x="0" y="0"/>
                      <a:ext cx="4445000" cy="2527300"/>
                    </a:xfrm>
                    <a:prstGeom prst="rect">
                      <a:avLst/>
                    </a:prstGeom>
                  </pic:spPr>
                </pic:pic>
              </a:graphicData>
            </a:graphic>
          </wp:inline>
        </w:drawing>
      </w:r>
    </w:p>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A trifluoroethoxy side chain was included to provide additional contact points across different EGFR mutant subtypes</w:t>
      </w:r>
    </w:p>
    <w:p>
      <w:pPr>
        <w:pStyle w:val="TextBody"/>
        <w:bidi w:val="0"/>
        <w:spacing w:before="0" w:after="0"/>
        <w:ind w:left="0" w:right="0" w:hanging="0"/>
        <w:jc w:val="center"/>
        <w:rPr/>
      </w:pPr>
      <w:r>
        <w:rPr/>
        <w:drawing>
          <wp:inline distT="0" distB="0" distL="0" distR="0">
            <wp:extent cx="5791200" cy="2120900"/>
            <wp:effectExtent l="0" t="0" r="0" b="0"/>
            <wp:docPr id="2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7" descr=""/>
                    <pic:cNvPicPr>
                      <a:picLocks noChangeAspect="1" noChangeArrowheads="1"/>
                    </pic:cNvPicPr>
                  </pic:nvPicPr>
                  <pic:blipFill>
                    <a:blip r:embed="rId28"/>
                    <a:stretch>
                      <a:fillRect/>
                    </a:stretch>
                  </pic:blipFill>
                  <pic:spPr bwMode="auto">
                    <a:xfrm>
                      <a:off x="0" y="0"/>
                      <a:ext cx="5791200" cy="2120900"/>
                    </a:xfrm>
                    <a:prstGeom prst="rect">
                      <a:avLst/>
                    </a:prstGeom>
                  </pic:spPr>
                </pic:pic>
              </a:graphicData>
            </a:graphic>
          </wp:inline>
        </w:drawing>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Aarvik Antibody Drug Conjugate Collaboration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ADCs have emerged as an important therapeutic approach to delivering potent chemotherapy more directly to tumor cells which express a target on its cell surface while avoiding toxicity to normal cells which express the target at lower levels. However, currently available ADCs that utilize conventional antibodies that bind a single target as the drug delivery vehicle are still plaqued by dose limiting and chronic toxicities. In addition target expression tends to be heterogeneous within a tumor which can limit efficacy and/or restrict ADC use to only tumors that have high and mostly homogenous target expression.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 overcome the limitations of conventional ADCs we are advancing the development of next-generation ADCs through a research collaboration with Aarvik. Leveraging Aarvik’s proprietary multi-target, multivalent antibody and site-specific conjugation platform, we have an ongoing research collaboration in an effort to develop an ADC that is potentially both safer and more effective than a conventional single target bivalent ADC. We anticipate identification of a lead candidate for IND-enabling studies in late 2024 or early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Licenses, Partnerships and Collaborations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Allist Agreements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Global Technology Transfer and License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June 30, 2021 (the Effective Date), we entered into a Global Technology Transfer and License Agreement with Allist, as amended on November 6, 2023 (the Allist License Agreement), pursuant to which (i) Allist granted to us an exclusive (even as to Allist and its affiliates), royalty-bearing, sublicensable license under certain intellectual property (including patents and know-how) owned or controlled by Allist to develop, manufacture and commercialize any product (the Licensed Product) containing furmonertinib or any of its salts or derivatives as an active ingredient (the Licensed Compound), for all uses (the Field), in all countries and territories (the Licensed Territory) other than greater China, which includes mainland China, Hong Kong, Macau and Taiwan (the Retained Territory); and (ii) we granted Allist a non-exclusive sublicensable license to use (1) any information, data and results that relate solely and exclusively to the Licensed Product and which we generate or collect in the conduct of clinical trials or preclinical activities in the Licensed Territory and (2) any improvements or enhancements that we make or discover under the License Agreement to the know-how licensed to us and is owned or controlled by us, to develop, manufacture, and commercialize the Licensed Compound and the Licensed Product for all uses in the Retained Territory.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parties have appointed a joint collaboration committee, comprised of representatives from both us and Allist (the Collaboration Committee), to oversee the parties’ development activities related to the Licensed Compound under the Allist License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the terms of the Allist License Agreement, we are required to use commercially reasonable efforts to (i) develop the Licensed Product in the Licensed Territory, (ii) prepare and submit regulatory filings and seek regulatory approvals in all major market countries in the Licensed Territory and (iii) perform all commercialization activities for the Licensed Product in each country in the Licensed Territory in which the Licensed Product has received regulatory approval, and we are solely responsible for all the expenses associated with the foregoing (i)-(iii). We are also responsible for the manufacture and supply of the Licensed Product in the Licensed Territory, by ourselves or through a third-party manufacturer, for the purpose of conducting clinical trials, obtaining regulatory approval and commercializing the Licensed Product in the Licensed Territory.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consideration of the licenses and rights granted to us under the Allist License Agreement, we granted to Allist a total of 1,276,250 shares of common stock for a purchase price of $0.0001 per share pursuant to that certain Subscription Agreement executed concurrently with the Allist License Agreement.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additional consideration for the licenses and rights granted to us under the Allist License Agreement, we made an upfront, non-creditable and non-refundable cash payment of $40.0 million to Allist on the Effective Date (the Initial Payment). We are obligated to make development and regulatory approval milestone payments to Allist upon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achievement of specific milestone events related to the Licensed Product in an aggregate amount up to $110.0 million, and commercial milestone payments to Allist upon the achievement of specified net sales thresholds of the Licensed Product in an aggregate amount up to $655.0 million. In 2023, we made a $5.0 million payment to Allist after we met a clinical milestone under the Allist License Agreement. We are also obligated to pay Allist tiered royalties ranging from high single digits to low mid-teens percentages on an incremental aggregated net sales basis on the net sales of any Licensed Products in the Licensed Territory made by or on behalf of us or our sublicensees. Our obligation to pay royalties for each Licensed Product begins from the date of the first commercial sale of such Licensed Product in a given country and extends until the latest of (i) the expiration of the last valid patent claim related to such Licensed Product’s composition or approved indications in such country, (ii) the termination of any regulatory-based exclusivity period in such country, or (iii) ten years after the initial commercial sale of such Licensed Product in such country (the Allist License Royalty Term). Our obligation to make milestone payments also ceases upon the expiration of the Allist License Royalty Term on a product-by-product and country-by-country basis.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Allist License Agreement will remain in force until the earlier occurrence of (i) the expiration of our obligation to pay royalties for all Licensed Products and (ii) the date that the Allist License Agreement is terminated pursuant to its early termination provisions (the Term). Either party has the right to terminate the Allist License Agreement, subject to specified cure periods, for the material breach by the other party or the bankruptcy or insolvency of the other party. In addition, we have the right to terminate the Allist License Agreement upon 60 days’ prior written notice to Allist at any time, at our sole discretion, either in its entirety or on a Licensed Product-by-Licensed Product and country-by-country basis. Upon termination of the License Agreement, Allist will have certain specified reversion rights with respect to the Licensed Product if the termination is for any reason other than by us for the material breach by Allist, and if the termination is by us for the material breach by Allist, we would have the right to continue under the License Agreement in lieu of termination but with our milestone and royalty payment obligations being substantially reduced.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Joint Clinical Collaboration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December 24, 2021, we entered into a Joint Clinical Collaboration Agreement (the Allist Collaboration Agreement) with Allist to govern the conduct of any global clinical trials to be conducted with the Licensed Products as specified in the Allist License Agreement (each, a Global Study). Pursuant to the Allist Collaboration Agreement, if either party or both parties wish to jointly conduct a Global Study, one or both parties (as the case may be) shall prepare and submit the proposed strategy, protocol design, budget, proposal for budget sharing and internal process timeline for such proposed Global Study to the Collaboration Committee that was appointed pursuant to the Allist License Agreement for its review at least 90 days in advance of the applicable protocol filing with the relevant regulatory authorities. Upon the approval by the collaboration committee of a development plan for the proposed Global Study that includes the allocation of the sponsorship for the conduct of the proposed Global Study and other details for conducting the proposed Global Study as specified in the Allist Collaboration Agreement, the proposed Global Study shall be deemed to be a “Joint Global Study” and such development plan a “Joint Global Development Plan.” The parties have agreed in the Allist Collaboration Agreement that (i) we will be the sponsor of any Joint Global Study in the Licensed Territory (as defined in the Allist License Agreement), (ii) Allist will be the sponsor of any Joint Global Study in the PRC (as defined in the Allist License Agreement) and (iii) the Collaboration Committee shall designate the party that will be the sponsor of any Joint Global Study in certain territories (Joint Territories). The parties will mutually agree on the global regulatory strategy for each Joint Global Study. The party that is the sponsor of a Joint Global Study will be responsible for (1) selecting the sites and investigators to be used in the conduct of the applicable Joint Global Study, and (2) developing strategies for, and preparing and submitting, all regulatory filings and applications for regulatory approval for the Licensed Products, in the sponsor’s sponsored territory, except that Allist shall be responsible for developing strategies for, and preparing and submitting, all regulatory filings and applications for regulatory approval for the Licensed Products in the Joint Territories regardless of whether we are the sponsor in these territories. The parties will review the budget for each Joint Global Study and agree through the Collaboration Committee on the model to be used to share the expenses to be incurred in the conduct of such Joint Global Study.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Subject to applicable cure periods, the Allist Collaboration Agreement may be terminated by a party upon a material breach of the Allist Collaboration Agreement by the other party.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Aarvik Research Collaboration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December 21, 2021, we entered into a Research Collaboration Agreement, as amended effective June 30, 2023 (the Aarvik Collaboration Agreement), with Aarvik, pursuant to which we and Aarvik agreed to collaborate on the discovery and characterization of novel ADCs with a goal to identify ADCs that may be suitable for further development by us in accordance with the applicable statements of work (each a SOW, collectively, the SOWs) until the completion of all activities in accordance with the applicable SOWs (collectively, the Aarvik Collaboration).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parties have appointed a joint research committee, comprised of our representatives and representatives from Aarvik, to oversee the parties’ research collaboration activities under the Aarvik Collaboration Agreement. Aarvik has agreed, during the term of the Aarvik Collaboration and following our exercise of the Option (as defined herein), to certain exclusivity and ownership provisions with respect to ADCs.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the Aarvik Collaboration Agreement, Aarvik has granted us an exclusive option (the Option) to obtain the exclusive rights to certain of Aarvik’s intellectual property and the option to acquire certain of Aarvik’s intellectual property for the research, development, manufacture, use, commercialization, or other exploitation of the ADCs related to (i) the two agreed targets to which the compounds being developed under the Aarvik Collaboration bind, which we refer to as the Target Pair and (ii) one of the targets in the Target Pair in certain indications, and to acquire certain intellectual property generated during the Aarvik Collaboration (Collaboration IP). We have not yet selected the indication or indications that we would pursue in the collaboration and anticipate doing so in connection with the identification of a lead candidate for IND-enabling studies. Upon our exercise of the Option, if made, we will have the exclusive and worldwide right to develop, manufacture and commercialize any product containing an ADC generated within the Aarvik Collaboration, as well as antibodies incorporated into such ADC.</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the Aarvik Collaboration Agreement, we are required to pay Aarvik a collaboration execution fee and research fees as provided in the SOWs in an aggregate of up to $3.4 million (based on estimated research fees), of which we have incurred $1.7 million through December 31, 2023. We further agreed to reimburse Aarvik for actual costs incurred in procuring other materials Aarvik will actually use in performing activities under the applicable SOWs. If we exercise the Option, we are required to make a one-time non-refundable option exercise payment of low single-digit millions and we will be obligated to make milestone payments to Aarvik upon the achievement of specific regulatory and sales milestone events related to the Aarvik Collaboration as specified and determined in the Aarvik Collaboration Agreement. Combined regulatory milestone payments and sales milestone payments will not exceed $98.0 million per product. During the Aarvik Collaboration Royalty Term (as defined below), we are also obligated to pay Aarvik tiered royalties on aggregate net sales of products developed under the Aarvik Collaboration and commercialized by us or on our behalf at royalty rates in the mid-single digits, and we must also pay to Aarvik’s upstream licensor a royalty of less than 1% on such net sales. Our obligation to pay royalties for each product, calculated on a product-by-product and jurisdiction-by-jurisdiction basis, begins from the date of the first commercial sale of each product within a given jurisdiction and extends until the earliest of (a) the first approval of a biosimilar product related to such product in such jurisdiction, which is made and sold by a different company, meeting specific government regulatory standards, (b) an anniversary of the date of the first commercial sale of such product in such jurisdiction, or (c) the expiration of the last valid claim of a patent included in the Collaboration IP that pertains to the any ADC generated within Aarvik Collaboration or any derivative thereof featured in such product within such jurisdiction (the Aarvik Collaboration Royalty Term).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we exercise the Option, we must use commercially reasonable efforts to (a) file an IND within 24 months of completion of Aarvik’s transfer of certain documentation relating to Aarvik’s intellectual property; and (b) initiate a Phase 2 clinical trial within 24 months after completion of a Phase 1 Clinical Trial, or initiate a Phase 2b Clinical Trial within 24 months after completion of a combined Phase 1/2 a Clinical Trial; in each case subject to certain exceptions. If we fail to use commercially reasonable efforts to meet these key milestones with respect to an agreed Target Pair, then Aarvik’s sole remedy is for us to assign back to Aarvik the Collaboration IP as it relates to the Target Pair.</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Aarvik Collaboration Agreement will remain in full force and effect until the expiration of all Aarvik Collaboration Royalty Terms for all products under the Aarvik Collaboration Agreement, unless terminated earlier. On a jurisdiction-by-jurisdiction and product-by-product basis, following the expiration of the Aarvik Collaboration Royalty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Term, the license granted to us hereunder will become nonexclusive, perpetual, irrevocable, fully-paid and royalty-free. The Aarvik Collaboration Agreement will terminate if we do not exercise the Option during the option period. We can terminate the Aarvik Collaboration Agreement for convenience after we exercise the Option. Either party can terminate the Aarvik Collaboration Agreement for material breach that is not cured within a specified period, or for the other party’s insolvency or certain bankruptcy events. Upon termination of the Aarvik Collaboration Agreement with respect to the Target Pair or any given product, the licenses granted by Aarvik will terminate with respect to the applicable terminated Target Pair or product, and unless the Aarvik Collaboration Agreement is terminated by us for Aarvik’s uncured breach or insolvency, then the Collaboration IP will be assigned back to Aarvik. If the Aarvik Collaboration Agreement is terminated only with respect to a particular jurisdiction (but not all jurisdictions) and a specific Target Pair or product, then we will grant to Aarvik an exclusive and fully paid-up right and license to use the Collaboration IP with respect to the terminated Target Pair or product in such jurisdiction.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InnoCare Clinical Collaboration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June 23, 2023, we entered into a Clinical Collaboration Agreement (the InnoCare Collaboration Agreement) with InnoCare, pursuant to which we and InnoCare agreed to contribute resources to a clinical trial evaluating the use of furmonertinib in combination with InnoCare’s ICP-189, a SHP2i (the InnoCare Collaboration Clinical Trial). Pursuant to the InnoCare Collaboration Agreement, we and InnoCare have mutually granted to each other a non-exclusive license to certain of the granting party’s intellectual property solely for the purpose of conducting the InnoCare Collaboration Clinical Trial.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the InnoCare Collaboration Agreement, InnoCare has the right to use furmonertinib solely for the InnoCare Collaboration Clinical Trial. We and InnoCare have agreed that InnoCare is the regulatory sponsor for the InnoCare Collaboration Clinical Trial and has the sole right and responsibility to prepare all regulatory filings related to the InnoCare Collaboration Clinical Trial, including the protocol and IND filings, conduct the InnoCare Collaboration Clinical Trial, and communicate with regulatory authorities with respect to the InnoCare Collaboration Clinical Trial.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maintain the right to review, comment on, and approve the protocol and IND related to the InnoCare Collaboration Clinical Trial and have the right to attend InnoCare’s meetings with regulatory authorities regarding the InnoCare Collaboration Clinical Trial. InnoCare must also provide us with periodic updates regarding the InnoCare Collaboration Clinical Trial with respect to progress, safety and toxicity, and data and results.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Upon the completion of the InnoCare Collaboration Clinical Trial, InnoCare will lead the analysis of the results of the InnoCare Collaboration Clinical Trial and will provide us with the final report for the InnoCare Collaboration Clinical Trial for our comments. InnoCare has also agreed to provide us with any raw data generated from the InnoCare Collaboration Clinical Trial to the extent permissible by law. The final report and any raw data (collectively, the InnoCare Collaboration Report) from the InnoCare Collaboration Clinical Trial are jointly owned by us and InnoCare. We may not, without InnoCare’s prior consent, use the InnoCare Collaboration Report for purposes of developing or commercializing ICP- 189 alone or in combination with furmonertinib. InnoCare may not, without our prior consent, use the InnoCare Collaboration Report for purposes of developing or commercializing furmonertinib alone or in combination with ICP-189.</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Under the InnoCare Collaboration Agreement, we and InnoCare have agreed to equally share all incurred costs associated with the InnoCare Collaboration Clinical Trial in accordance with a mutually agreed upon budget and have agreed to provide each other with periodic expense reports detailing costs related to the InnoCare Collaboration Clinical Trial. As of December 31, 2023, we recognized approximately $0.2 million of research and development expenses related to incurred costs associated with the InnoCare Collaboration Clinical Trial. We and InnoCare have agreed to discuss such expense reports and determine the calculation of net amounts owed by one party to the other to ensure the appropriate equal sharing of costs associated with the InnoCare Collaboration Clinical Trial. If we or InnoCare become aware of any costs that may be in excess of the costs set out in the budget for the InnoCare Collaboration Clinical Trial, then the respective party shall notify the other party and we and InnoCare shall discuss such costs in order to determine if such costs are permissible. InnoCare shall have the sole right to make the final decision on matters relating to the excess costs related to the InnoCare Collaboration Clinical Trial; however, we maintain the right to opt out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participating in the InnoCare Collaboration Clinical Trial if the costs surpass a certain threshold above the budget, provided that we will not have rights to the InnoCare Collaboration Report.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InnoCare Collaboration Agreement will remain in full force and effect until the delivery of the InnoCare Collaboration Report, unless terminated earlier. The InnoCare Collaboration Agreement may be terminated for material breach upon written notice with a period to cure such material breach. The InnoCare Collaboration Agreement may also be terminated immediately by either party if either one believes that there is a material safety issue in the conduct of the InnoCare Collaboration Clinical Trial that cannot be resolved by a protocol amendment satisfactory to both parties after discussion thereof.</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Manufacturing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oversee and manage third party CMOs to support development and manufacture of product candidates for our clinical trials, and, if we receive marketing approval, we will rely on such manufacturers to meet commercial demand. We expect this strategy will enable us to maintain a more efficient infrastructure, avoiding dependence on our own manufacturing facility and equipment, while simultaneously enabling us to focus our expertise on the clinical development and future commercialization of our products.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Currently, we rely on, and have agreements with, two third-party contract manufacturers, Zhejiang Raybow Pharmaceutical Company., Ltd. (Raybow) and WuXi SynTheAll Pharmaceutical company, Ltd. (WuXi STA) to supply the drug substance for furmonertinib to be used in planned clinical trials and with WuXi STA, with whom we have executed technology transfer related to the manufacture of drug product, to manufacture the clinical trial supplies of furmonertinib drug product. Both of our third-party contract manufacturers are located in China, but WuXi STA has manufacturing capabilities globally, including in the United States and Europe. We expect to enter into commercial supply agreements with WuXi STA for both drug substance and drug product prior to any potential approval of furmonertinib.</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Furmonertinib drug product is manufactured via conventional pharmaceutical processing procedures, employing commercially available excipients and packaging materials. The procedure and equipment employed for manufacture and analysis are consistent with standard organic synthesis or pharmaceutical production, and are transferable to a range of manufacturing facilities, if needed. We intend to also maintain the current drug substance manufacturer as part of our supply chain strategy.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light of the recently introduced BIOSECURE Act, which, if enacted, would prohibit federal agencies from entering into procurement contracts with an entity that uses biotechnology equipment or services from a biotechnology company of concern, we are taking measures to strengthen our supply chain in the event that Raybow, WuXi STA or one of our other manufacturers is impacted. We intend to identify alternative potential manufacturers to ensure we have a sufficient stockpile of drug substance and drug product in the United States. We will also continue to closely monitor geopolitical risk and implement additional mitigations and supply chain redundancies, as needed. See the risk factor entitled “We currently rely on a Chinese third party for the manufacture of furmonertinib for clinical development and expect to continue to rely on third parties for the foreseeable future. This reliance on third parties increases the risk that we will not have sufficient quantities of furmonertinib or such quantities at an acceptable cost, which could delay, prevent or impair our development or potential commercialization efforts.”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biotechnology and pharmaceutical industries have made substantial investments in recent years into the rapid development of novel treatments for NSCLC.</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face substantial competition from multiple sources, including large and specialty pharmaceutical and biotechnology companies, academic research institutions and governmental agencies and public and private research institutions. Our competitors compete with us on the level of the technologies employed, or on the level of development of product candidates. In addition, many small biotechnology companies have formed collaborations with large, established companies to (i) obtain support for their research, development and commercialization of products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(ii) combine several treatment approaches to develop longer lasting or more efficacious treatments that may potentially directly compete with our current or future product candidates. We anticipate that we will continue to face increasing competition as new therapies and combinations thereof, technologies and data emerge within the field of oncology and, furthermore, within the treatment of NSCLC.</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the current standard of care treatments for patients with NSCLC, numerous commercial and academic preclinical studies and clinical trials are being undertaken by a large number of parties to assess novel technologies and product candidates.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Companies that compete with us directly on the level of commercialization or development of product candidates targeting EGFR mutation-positive NSCLC include, but are not limited to, AstraZeneca, Johnson &amp; Johnson, Takeda Pharmaceutical Company Limited, Blueprint Medicines Corp, Dizal Pharmaceutical, Oric Pharmaceuticals, Black Diamond Therapeutics, Inc., Taiho Pharmaceutical Co., Ltd., Boehringer Ingelheim and Bayer AG. In October 2023, Johnson &amp; Johnson presented the results of the Phase 3 PAPILLON study of chemotherapy in combination the anti-EGFR anti-MET bispecific antibody amivantamab in first-line NSCLC patents with EGFR exon 20 insertion mutations, and announced in July 2023 that the PAPILLON study met its primary endpoint. In October 2023, Dizal Pharmaceutical and Oric Pharmaceuticals provided updates on their oral EGFR inhibitors sunvozertinib and ORIC-114, respectively, each of which is being studied in Phase 1 trials in first-line NSCLC patients with EGFR exon 20 insertion mutations.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Many of our competitors, either alone or in combination with their respective strategic partners, have significantly greater financial resources and expertise in research and development, manufacturing, the regulatory approval process and marketing than we do. Mergers and acquisition activity in the pharmaceutical, biopharmaceutical and biotechnology sector is likely to result in greater resource concentration among a smaller number of our competitors. Smaller or early-stage companies may also prove to be significant competitors, particularly through sizeable collaborative arrangements with established companies. These competitors also compete with us in recruiting and retain qualified scientific and management personnel and establishing clinical trial sites and patient registration for clinical trials, as well as in acquiring technologies complementary to, or necessary for, our programs.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commercial opportunity could be reduced or eliminated if one or more of our competitors develop and commercialize products that are safer, more effective, better tolerated, or of greater convenience or economic benefit than our proposed product offering. Our competitors also may be in a position to obtain FDA or other regulatory approval for their products more rapidly, resulting in a stronger or dominant market position before we are able to enter the market. The key competitive factors affecting the success of all of our programs are likely to be product safety, efficacy, convenience and treatment cost.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Intellectual Property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Intellectual property is of vital importance in our field and in biopharmaceuticals generally. We seek to protect and enhance proprietary technology, inventions and improvements that are commercially important to the development of our business by seeking, maintaining and defending patent rights, whether developed internally or licensed from third parties. We will also seek to rely on regulatory protection afforded through inclusion in expedited development and review, data exclusivity, market exclusivity and patent term extensions where available.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Through our licensor Allist, we have sought and obtained patent protection in the United States and internationally related to furmonertinib. For furmonertinib and our future product candidates our strategy is to pursue patent protection covering compositions of matter and methods of use. In addition, we seek to identify additional means of obtaining patent protection including formulation and dosing regimen-related claims, which may enhance commercial success. We may also rely on trade secrets that may be important to the development of our business. Trade secrets are difficult to protect and provide us with only limited protection. As of December 31, 2023, our intellectual property portfolio includes three issued U.S. patents, twelve issued foreign patents and one pending U.S. patent application and six pending international patent applications related to furmonertinib compositions of the matter and methods of use.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With regard to the furmonertinib molecule itself, we exclusively license from Allist one issued patent in each of the United States, Canada, Europe, Japan and South Korea, as well as a pending U.S. reissue continuation patent application.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These patents and the pending application, if issued, are expected to expire in 2035, assuming payment of all appropriate maintenance, renewal, annuity or other governmental fees, and without taking potential patent term extensions or adjustments into account. The U.S. patent is a reissue patent covering furmonertinib, other compounds represented by a general formula, and a pharmaceutically acceptable salts; it also covers related pharmaceutical compositions, methods for treating an EGFR activating or resistant mutation mediated lung cancer and methods for selectively inhibiting an EGFR activating or resistant mutation over a wild-type EGFR to a lung cancer patient.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With regard to mesylate salts of furmonertinib, we exclusively license from Allist one issued patent in each of the United States, Canada, Europe, Japan and South Korea. The U.S. patent covers mesylate salts of furmonertinib, as well as pharmaceutical compositions, methods for preparing such mesylate salts and methods for treating a patient suffering from cancers. With regard to crystalline forms, we also exclusively license from Allist one issued patent in each of the United States, Canada, Europe, Japan and South Korea. The U.S. patent covers two crystaline forms of mesylate salts of furmonertinib, as well as pharmaceutical compositions, methods for preparing such crystaline forms, and methods for treating a patient suffering from cancers. Collectively, these patents are expected to expire in 2037, assuming payment of all appropriate maintenance, renewal, annuity or other governmental fees and without taking potential patent term extensions or adjustments into account.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With regard to methods of use for furmonertinib, we exclusively license from Allist three Patent Cooperation Treaty (PCT) patent applications. The first two PCT patent applications relate to use of furmonertinib to treat disease, such as NSCLC, in patients (a) having exon 20 insertion mutations or (b) having an HER2 exon 20 insertion mutation and/or EGFR rare mutation, respectively, as well as pharmaceutical compositions containing therapeutically effective amounts of furmonertinib. The third PCT application relates to use of furmonertinib to treat disease, such as NSCLC, in patients having EGFR PACC mutations, as well as pharmaceutical compositions containing therapeutically effective amounts of furmonertinib. Any U.S. or foreign patents issued from national stage filings of the PCT patent applications are expected to expire in 2042 (first two PCTs) or 2043 (third PCT), assuming payment of all appropriate maintenance, renewal, annuity or other governmental fees and that national phase entries are timely made based upon the pending PCT applications and without taking potential patent term extensions or adjustments into account.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may file additional patent applications in support of current and new clinical candidates as well as new platform and core technologies.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commercial success will depend in part on obtaining and maintaining patent protection and trade secret protection of our current and future product candidates and the methods used to develop and manufacture them, as well as successfully defending any such patents against third-party challenges and operating without infringing on the proprietary rights of others. Our ability to stop third parties from making, using, selling, offering to sell or importing our product candidates will depend on the extent to which we have rights under valid and enforceable patents or trade secrets that cover these activities. We cannot be sure that patents will be granted with respect to any of our pending patent applications or with respect to any patent applications filed by us in the future, nor can we be sure that any patents that may be granted to us in the future will be commercially useful in protecting our product candidates, discovery programs and processes. For this and more comprehensive risks related to our intellectual property, please see “Risk Factors — Risks Related to Our Intellectual Property.”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terms of individual patents depend upon the legal term of the patents in the countries in which they are obtained. In most jurisdictions, including the United States, the patent term is 20 years from the earliest date of filing a non-provisional patent application. In the United States, a patent’s term may be lengthened by patent term adjustment, which compensates a patentee for administrative delays by the U.S. Patent and Trademark Office (USPTO), in examining and granting a patent, or may be shortened if a patent is terminally disclaimed over an earlier filed patent. In the United States, the term of a patent that covers an FDA-approved drug may also be eligible for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subject drug candidate is under regulatory review. Patent term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 Similar provisions to extend the term of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patent that covers an approved drug are available in Europe and other foreign jurisdictions. In the future, if and when our products receive FDA approval, we expect to apply for patent term extensions on patents covering those products. We plan to seek patent term extensions to any issued patents we may obtain in any jurisdiction where such patent term extensions are available, however there is no guarantee that the applicable authorities, including the FDA in the United States, will agree with our assessment that such extensions should be granted, and if granted, the length of such extensions. For more information regarding the risks related to our intellectual property, see “Risk Factors — Risks Related to Our Intellectual Property.”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some instances, we may submit patent applications directly to the USPTO as provisional patent applications. Corresponding non-provisional patent applications must be filed not later than 12 months after the provisional application filing date. While we intend to timely file non-provisional patent applications relating to our provisional patent applications, we cannot predict whether any such patent applications will result in the issuance of patents that provide us with any competitive advantage.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U.S. non-provisional applications and PCT applications may claim the benefit of the priority date of earlier filed provisional applications, when applicable. The PCT system allows a single application to be filed within 12 months of the original priority date of the patent application, and to designate all of the PCT member states in which national patent applications can later be pursued based on the international patent application filed under the PCT. The PCT searching authority performs a patentability search and issues a non-binding patentability opinion which can be used to evaluate the chances of success for the national applications in foreign countries prior to having to incur the filing fees. Although a PCT application does not issue as a patent, it allows the applicant to seek protection in any of the member states through national-phase applications. At the end of the period of two and a half years from the first priority date of the patent application, separate patent applications can be pursued in any of the PCT member states either by direct national filing or, in some cases by filing through a regional patent organization, such as the European Patent Office. The PCT system delays expenses, allows a limited evaluation of the chances of success for national/regional patent applications and enables substantial savings where applications are abandoned within the first two and a half years of filing.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all patent applications, we determine claiming strategy on a case-by-case basis. Advice of counsel and our business model and needs are always considered. We seek to file patent applications containing claims for protection of all useful applications of our proprietary technologies and any products, as well as all new applications and/or uses we discover for existing technologies and products, assuming these are strategically valuable. We continuously reassess the number and type of patent applications, as well as the pending and issued patent claims to pursue maximum coverage and value for our processes and compositions, given existing patent office rules and regulations. Further, claims may be modified during patent prosecution to meet our intellectual property and business needs.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recognize that the ability to obtain patent protection and the degree of such protection depends on a number of factors, including the extent of the prior art, the novelty and non-obviousness of the invention, and the ability to satisfy the enablement requirement of the patent laws. In addition, the coverage claimed in a patent application can be significantly reduced before the patent is issued, and its scope can be reinterpreted or further altered even after patent issuance. Consequently, we may not obtain or maintain adequate patent protection for any of our future product candidates or for our technology platform.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addition to patent protection, we also rely on trademark registration, trade secrets, know how, other proprietary information and continuing technological innovation to develop and maintain our competitive position.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However, such confidentiality agreements and invention assignment agreements can be breached and we may not have adequate remedies for any such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trade secrets, know-how and inventions. For more information regarding the risks related to our intellectual property, see “Risk Factors — Risks Related to Our Intellectual Property.”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patent positions of biotechnology companies like ours are generally uncertain and involve complex legal, scientific and factual questions. Our commercial success will also depend in part on not infringing upon the proprietary rights of third parties. Third-party patents could require us to alter our development or commercial strategies, or our products or processes, obtain licenses or cease certain activities. Our breach of any license agreements or our failure to obtain a license to proprietary rights required to develop or commercialize our future products may have a material adverse impact on us. If third parties prepare and file patent applications in the United States that also claim technology to which we have rights, we may have to participate in interference or derivation proceedings in the USPTO to determine priority of invention. For more information, see “Risk Factors — Risks Related to Our Intellectual Property.”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When available to expand market exclusivity, our strategy is to obtain, or license additional intellectual property related to current or contemplated development platforms, core elements of technology and/or clinical candidates.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Government Regulation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 Within the United States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Government authorities in the United States, at the federal, state and local level and in other countries and jurisdictions extensively regulate, among other things, the research, development, testing, manufacture, quality control, approval, packaging, storage, recordkeeping, labeling, advertising, promotion, distribution, marketing, post-approval monitoring and reporting and import and export of pharmaceutical and biological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FDA Approval Process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the United States, pharmaceutical products are subject to extensive regulation by the FDA under the Federal Food, Drug, and Cosmetic Act (FDC Act), its implementing regulations and Biological products are regulated under the FDC Act, the Public Health Service Act (PHS Act), and their implementing regulations. Both drugs and biologics also are subject to other federal, state and local statutes and regulations. Failure to comply with applicable U.S. requirements may subject a company to a variety of administrative or judicial sanctions brought by the FDA and the Department of Justice (DOJ) or other governmental entities. Such sanctions could include, but are not limited to, FDA refusal to approve pending marketing applications, warning or untitled letters, product recalls, product seizures, total or partial suspension of production or distribution, injunctions, fines, civil penalties and criminal prosecution.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Pharmaceutical and biological product development for a new product or certain changes to an approved product in the U.S. typically involves nonclinical laboratory, animal tests and formulation studies conducted according to good laboratory practices and other applicable regulations and guidance; the submission to the FDA of an IND which must become effective before clinical testing may commence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Once a pharmaceutical or biological candidate is identified for development, it enters the preclinical or nonclinical testing stage. Nonclinical tests include laboratory evaluation of product chemistry, formulation and toxicity, as well as potentially animal studies to assess the characteristics and potential safety and activity of the product. The Consolidated Appropriations Act for 2023, signed into law on December 29, 2022, amended both the FDC Act and the PHS Act to specify that nonclinical testing for drugs may, but is no longer required to, include </w:t>
      </w:r>
      <w:r>
        <w:rPr>
          <w:rFonts w:ascii="Times New Roman;Times;serif" w:hAnsi="Times New Roman;Times;serif"/>
          <w:i/>
          <w:sz w:val="20"/>
        </w:rPr>
        <w:t>in vivo</w:t>
      </w:r>
      <w:r>
        <w:rPr>
          <w:rFonts w:ascii="Times New Roman;Times;serif" w:hAnsi="Times New Roman;Times;serif"/>
          <w:sz w:val="20"/>
        </w:rPr>
        <w:t xml:space="preserve"> animal testing. According to the amended language, a sponsor may fulfill nonclinical testing requirements by competing various </w:t>
      </w:r>
      <w:r>
        <w:rPr>
          <w:rFonts w:ascii="Times New Roman;Times;serif" w:hAnsi="Times New Roman;Times;serif"/>
          <w:i/>
          <w:sz w:val="20"/>
        </w:rPr>
        <w:t>in vitro</w:t>
      </w:r>
      <w:r>
        <w:rPr>
          <w:rFonts w:ascii="Times New Roman;Times;serif" w:hAnsi="Times New Roman;Times;serif"/>
          <w:sz w:val="20"/>
        </w:rPr>
        <w:t xml:space="preserve"> assays (e.g., cell-based assays, organ chips, or microphysiological systems), </w:t>
      </w:r>
      <w:r>
        <w:rPr>
          <w:rFonts w:ascii="Times New Roman;Times;serif" w:hAnsi="Times New Roman;Times;serif"/>
          <w:i/>
          <w:sz w:val="20"/>
        </w:rPr>
        <w:t>in silico</w:t>
      </w:r>
      <w:r>
        <w:rPr>
          <w:rFonts w:ascii="Times New Roman;Times;serif" w:hAnsi="Times New Roman;Times;serif"/>
          <w:sz w:val="20"/>
        </w:rPr>
        <w:t xml:space="preserve"> studies (i.e., computer modeling), other human or non-human biology-based tests (e.g., bioprinting), or </w:t>
      </w:r>
      <w:r>
        <w:rPr>
          <w:rFonts w:ascii="Times New Roman;Times;serif" w:hAnsi="Times New Roman;Times;serif"/>
          <w:i/>
          <w:sz w:val="20"/>
        </w:rPr>
        <w:t>in vivo</w:t>
      </w:r>
      <w:r>
        <w:rPr>
          <w:rFonts w:ascii="Times New Roman;Times;serif" w:hAnsi="Times New Roman;Times;serif"/>
          <w:sz w:val="20"/>
        </w:rPr>
        <w:t xml:space="preserve"> animal tests.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results of nonclinical testing are submitted to the FDA as part of an IND along with other information, including information about product chemistry, manufacturing and controls, analytical data and a proposed clinical trial protocol detailing, among other things, the objectives of the clinical trial, the parameters to be used in monitoring safety, and the effectiveness criteria to be evaluated, if the trial includes an efficacy evaluation. Long-term nonclinical tests, such as animal tests of reproductive toxicity and carcinogenicity, may continue after the IND is submitted. A 30-day waiting period after the submission of each IND is required prior to the commencement of clinical testing in humans. If the FDA has not otherwise notified the sponsor of the IND within this 30-day period, then the clinical trial proposed in the IND may begin, unless the FDA, within the 30-day time period, imposes a clinical hold. In such a case, the IND sponsor and the FDA must resolve any outstanding concerns before the clinical trial can begin. Clinical holds also may be imposed by the FDA at any time before or during clinical trials due to safety concerns about ongoing or proposed clinical trials or non-compliance with specific FDA requirements, and the trials may not begin or continue until the FDA notifies the sponsor that the hold has been lifted.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Clinical trials involve the administration of the investigational new drug to healthy volunteers or patients under the supervision of one or more qualified investigators. Clinical trials must be conducted: (i) in compliance with federal regulations; (ii) in compliance with good clinical practice (GCP) (an international standard meant to protect the rights and health of patients and to define the roles of clinical trial sponsors, administrators and monitors), which includes, among other things, the requirement that all research subjects provide their informed consent in writing for their participation in any clinical trial; as well as (iii) under protocols detailing the objectives of the trial, dosing procedures, subject selection and exclusion criteria, the parameters to be used in monitoring safety and the effectiveness criteria to be evaluated. Each protocol involving testing on U.S. patients and subsequent protocol amendments must be submitted to the FDA as part of the IND.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AEs,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study protocol and informed consent information for patients in clinical trials must also be submitted to an independent institutional review board (IRB) or ethics committee for approval at each clinical site before each trial may be initiated, and the IRB must monitor the study until completed and otherwise comply with IRB regulations. The FDA or the sponsor may suspend a clinical trial at any time on various grounds, including a finding that the research subjects or patients are being exposed to an unacceptable health risk. Similarly, an IRB may also require the clinical trial at the site to be halted, either temporarily or permanently (or impose other conditions), for failure to comply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 There are also requirements governing the reporting of ongoing clinical studies and clinical study results to public registries, including clinicaltrials.gov.</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Clinical trials to support new drug applications (NDAs) or biologics license applications (BLAs) for marketing approval of pharmaceutical or biological products, respectively, are typically conducted in three sequential phases, but the phases may overlap or be combined. In Phase 1, the initial introduction of the product candidate into healthy human subjects or patients, the drug is tested to assess metabolism, pharmacokinetics, pharmacological actions, side effects associated with increasing doses, and, if possible, early evidence of effectiveness. Phase 2 usually involves trials in a limited patient population with a specified disease or condition to preliminarily evaluate the effectiveness of the product candidate for a particular indication, determine dosage tolerance and optimum dosage, and to identify possible adverse effects and safety risks. If a product candidate demonstrates evidence of effectiveness and an acceptable safety profile in Phase 2 evaluations, Phase 3 trials are undertaken to further evaluate dosage, obtain substantial evidence of clinical efficacy and further test for safety in a larger number of patients, typically at geographically dispersed clinical trial sites, to permit FDA to evaluate the overall benefit-risk relationship of the product candidate and to provide adequate information for the labeling of the drug. In most cases, the FDA requires two adequate and well-controlled clinical trials to demonstrate the efficacy of the therapeutic product candidate. Results from a single adequate and well-controlled trial may be sufficient in rare instances, such as: (i) where the study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or (ii) when submitted in conjunction with other confirmatory evidence. Moreover, 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Congress also recently amended the FDC Act, as part of the Consolidated Appropriations Act for 2023, in order to require sponsors of a Phase 3 clinical trial, or other “pivotal study” of a new drug or biologic to support marketing authorization, to design and submit a diversity action plan for such clinical trial. The action plan must include the sponsor’s diversity goals for enrollment, as well as a rationale for the goals and a description of how the sponsor will meet them. Sponsors must submit a diversity action plan to the FDA by the time the sponsor submits the relevant clinical trial protocol to the agency for review. The FDA may grant a waiver for some or all of the requirements for a diversity action plan. It is unknown at this time how the diversity action plan may affect Phase 3 trial planning and timing or what specific information FDA will expect in such plans, but if the FDA objects to a sponsor’s diversity action plan or otherwise requires significant changes to be made, it could delay initiation of the relevant clinical trial.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Concurrent with clinical trials, companies usually complete nonclinical animal studies and must also develop additional information about the chemistry and physical characteristics of the product and finalize a process for manufacturing the product in commercial quantities in accordance with current good manufacturing practices (cGMPs). The manufacturing process must be capable of consistently producing quality batches of the product candidate and, among other things, the manufacturer must develop methods for testing the identity, strength, quality and purity of the final drug product. For biologics in particular, the PHS Act emphasizes the importance of manufacturing control for products whose attributes cannot be precisely defined in order to help reduce the risk of the introduction of adventitious agents. In addition, appropriate packaging must be selected and tested, and stability studies must be conducted to demonstrate that the product candidate does not undergo unacceptable deterioration over its shelf life.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Assuming successful completion of the required clinical testing, an NDA or BLA is prepared and submitted to the FDA. FDA approval of the NDA or BLA is required before marketing of the product may begin in the U.S. The NDA or BLA must include the results of all product development, nonclinical, clinical and other testing, a compilation of data relating to the product’s pharmacology, chemistry, manufacture and controls, along with proposed labeling and other relevant information. The cost of preparing and submitting an NDA or BLA is substantial. The submission of most prescription drug marketing applications is additionally subject to a substantial application user fee, and the applicant under an approved NDA or BLA is also subject to an annual program fee for each prescription product. These fees are typically increased annually. A waiver of such fees may be obtained under certain limited circumstances.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FDA has 60 days from its receipt of an NDA or BLA to determine whether the application will be filed based on the agency’s threshold determination that it is sufficiently complete to permit substantive review. The FDA may request additional information rather than accept an NDA or BLA for filing. In this event, the NDA or BLA must be resubmitted with the additional information. The resubmitted application also is subject to review before the FDA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accepts it for filing. Once the submission is filed, the FDA begins an in-depth review to determine, among other things, whether a product is safe and effective for its intended use and whether its manufacturing is cGMP-compliant to assure and preserve the product’s identity, strength, quality and purity. Under the Prescription Drug User Fee Act (PDUFA) guidelines that are currently in effect, the FDA has a goal of ten months from the date of “filing” of a standard NDA for a new molecular entity, or an original BLA, to review and act on the submission. This review typically takes twelve months from the date the NDA or BLA is submitted to FDA because the FDA has approximately two months to make a “filing” decision after it the application is submitted. Most applications for priority review products are reviewed in six months of the date of the FDA’s filing determination. Priority review can be applied to NDAs or BLAs for products that are designed to treat a serious condition, where the FDA determines the product may offer significant improvements in safety or effectiveness or provide a treatment where no adequate therapy exists. The review process for both standard and priority review may be extended by the FDA on one occasion for three additional months to consider a “major amendment,” which may include certain late-submitted information, or information intended to clarify information already provided in the submission.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FDA may also refer applications for novel drug products, or drug products that present difficult questions of safety or efficacy, to an independent advisory committee — typically a panel that includes clinicians and other scientific experts — for review, evaluation and a recommendation as to whether the application should be approved and under what conditions. The FDA is not bound by the recommendation of an advisory committee, but it generally follows such recommendations.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Before approving an NDA or BLA, the FDA may inspect one or more clinical sites to assure that the trials support the application were conducted compliance with GCP. Additionally, the FDA will typically inspect the facility or the facilities at which the product is manufactured to assess compliance with cGMPs, to assure that the facilities, methods and controls are adequate to preserve the drug’s identity, strength, quality and purity and, for a biologic, its potency. The FDA will not approve the product unless compliance with cGMP, is satisfactory and the NDA or BLA contains data that provide substantial evidence that the product is safe and effective in the indication sought.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After the FDA evaluates the NDA or BLA and the manufacturing facilities, it issues either an approval letter or a complete response letter (CRL). A CRL indicates that the review cycle of the application is complete, and the application will not be approved in its present form. A CRL usually describes the specific deficiencies in the submission and may require additional clinical data, such as an additional clinical trial or other significant and time-consuming requirements related to clinical trials, nonclinical studies or manufacturing, in order for the FDA to reconsider the application. If a CRL is issued, the sponsor must resubmit the NDA or BLA, addressing all of the deficiencies identified in the letter, or withdraw the application. Even if such data and information are submitted, the FDA may decide that the NDA or BLA does not satisfy the criteria for approval. The FDA has committed to reviewing such resubmissions in two or six months depending on the type of information included. An approval letter authorizes commercial marketing of the drug with specific prescribing information for specific indications.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a product receives regulatory approval, the approval may be significantly limited to specific diseases and dosages or the indications for use may otherwise be limited, which could restrict the commercial value of the product. As a condition of NDA or BLA approval, the FDA may also require a risk evaluation and mitigation strategy (REMS) to help ensure that the benefits of the drug outweigh the potential risks. If the FDA concludes a REMS is needed, the sponsor of the marketing application must submit a proposed REMS. The FDA will not approve the NDA or BLA without an approved REMS, if required.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Moreover, product approval may require substantial post-approval testing and surveillance to monitor the product’s safety or efficacy. Once granted, product approvals may be withdrawn if compliance with regulatory standards is not maintained or problems are later identified.</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Changes to some of the conditions established in an approved application, including changes in indications, labeling, or manufacturing processes or facilities, require submission and FDA approval of a new NDA or BLA or NDA/BLA supplement before the change can be implemented. A supplement seeking a new indication typically requires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clinical data similar to that in the original application, and the FDA uses the same procedures and actions in reviewing efficacy supplements as it does in reviewing original NDAs and BLAs.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Disclosure of Clinical Trial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Sponsors of clinical trials of FDA regulated products, including prescription drugs and biologics, are required to register and disclose certain clinical trial information on a public registry maintained by the U.S. National Institutes of Health (NIH). Information related to the product, patient population, phase of investigation, study sites and investigators and other aspects of the clinical trial is made public as part of the registration. Sponsors are also obligated to report the results of their clinical trials after completion, although such results disclosure can be delayed in certain circumstances for up to two years after the date of completion of the trial. Failure to timely register a covered clinical study or to submit study results as provided for in the law can give rise to civil monetary penalties and also prevent the non-compliant party from receiving future grant funds from the federal government. The NIH’s Final Rule on ClinicalTrials.gov registration and reporting requirements became effective in 2017, and the government has begun enforcing those requirements against non-compliant clinical trial sponsors.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Pediatric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the Pediatric Research Equity Act (PREA) sponsors must conduct pediatric clinical trials for most drugs, for a new active ingredient, new indication, new dosage form, new dosing regimen or new route of administration. Under PREA, original NDAs and BLAs, as well as certain supplements to approved NDAs and BLAs, must contain data to assess the safety and effectiveness of the drug for the claimed indications in all relevant pediatric subpopulations and to support dosing and administration for each pediatric subpopulation for which the drug is safe and effective. FDA may grant full or partial waivers, or deferrals, for submission of data.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 With certain exceptions, PREA does not apply to any drug for an indication for which orphan designation has been granted.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Best Pharmaceuticals for Children Act (BPCA) provides NDA and BLA holders a six-month extension of any exclusivity — patent or nonpatent — for a drug if certain conditions are met. Conditions for exclusivity include FDA’s determination that information relating to the use of a new drug in the pediatric population may produce health benefits in that population, FDA making a written request for pediatric studies, and the applicant agreeing to perform, and reporting on, the requested studies within the statutory timeframe. Applications submitted under the BPCA are treated as priority review applications, with all of the benefits that designation confers.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Expedited Development and Review Programs &amp; Accelerated Approval Pathway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FDA has a number of programs intended to expedite the development or review of a marketing application for an investigational drug or biologic. For example, the Fast Track designation program is intended to expedite or facilitate the process for developing and reviewing product candidates that meet certain criteria. Specifically, investigational products are eligible for Fast Track designation if they are intended to treat a serious or life-threatening disease or condition and demonstrate the potential to address unmet medical needs for the disease or condition. The sponsor of a Fast Track product candidate has opportunities for more frequent interactions with the applicable FDA review team during product development and, once an NDA or BLA is submitted, the application may be eligible for priority review. With regard to a Fast Track product candidate,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NDA or BLA.</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Any product candidate submitted to the FDA for approval, including a product candidate with a Fast Track designation or breakthrough designation, may also be eligible for other types of FDA programs intended to expedite development and review, such as priority review and accelerated approval. An NDA or BLA is eligible for priority review if the product candidate is designed to treat a serious condition, and if approved, would provide a significant improvement in safety or efficacy compared to available therapies. The FDA endeavors to review applications with priority review designations within six months of the filing date as compared to ten months for review of new molecular entity NDAs or original BLAs under its current PDUFA review goals.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a product candidate may be eligible for accelerated approval. Drugs or biologics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generally requires that a sponsor of a product receiving accelerated approval perform adequate and well-controlled confirmatory clinical trials, and may require that such confirmatory trials be underway prior to granting accelerated approval. Product receiving accelerated approval may be subject to expedited withdrawal procedures if the sponsor fails to conduct the required confirmatory trials in a timely manner or if such trials fail to verify the predicted clinical benefit. In addition, the FDA currently requires as a condition of accelerated approval pre-approval of promotional materials, which could adversely impact the timing of the commercial launch of the product.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Post-Approval Requirements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Once an NDA or BLA is approved, a product will be subject to pervasive and continuing regulation by the FDA, including, among other things, requirements relating to record-keeping, reporting of adverse experiences, periodic reporting, product sampling and distribution, and advertising and promotion of the product. For instance, the FDA closely regulates the post-approval marketing, labeling, advertising and promotion of drugs, including through its enforcement of standards and regulations for direct-to-consumer advertising, industry-sponsored scientific and educational activities and promotional activities involving the internet. Drugs may be marketed only for the approved indications and in accordance with the provisions of the approved labeling. After approval, most changes to the approved product, such as adding new indications and making, certain manufacturing changes, are subject to further FDA review and approval.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the company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Adverse event reporting and submission of periodic reports are required following FDA approval of an NDA or BLA. The FDA also may require post-marketing testing, known as Phase 4 testing (to gain additional experience from the treatment of patients in the intended therapeutic indication), REMS or surveillance to monitor the effects of an approved product, or FDA may place conditions on an approval that could restrict the distribution or use of the product.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quality control, drug manufacturing, packaging and labeling procedures must continue to conform to cGMPs after approval. Drug manufacturers and certain of their subcontractors are required to register their establishments with FDA and certain state agencies. Registration with the FDA subjects entities to periodic unannounced inspections by the FDA and certain state agencies to assess compliance with cGMPs and other laws and regulations. Changes to the manufacturing process are strictly regulated, and, depending on the significance of the change, may require prior FDA approval before being implemented. Accordingly, manufacturers must continue to expend time, money and effort in the areas of production and quality-control to maintain compliance with cGMPs.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Regulatory authorities may withdraw product approvals or request product recalls if a company fails to comply with regulatory standards or if it encounters problems following initial marketing.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requirements for post-market studies or clinical studies to assess new safety risks; or imposition of distribution restrictions or other restrictions under a REMS program. Other potential consequences include, among other things: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the marketing or manufacturing of the product, complete withdrawal of the product from the market or product recalls;</w:t>
            </w:r>
          </w:p>
        </w:tc>
      </w:tr>
    </w:tbl>
    <w:tbl>
      <w:tblPr>
        <w:tblW w:w="3438" w:type="dxa"/>
        <w:jc w:val="left"/>
        <w:tblInd w:w="0" w:type="dxa"/>
        <w:tblLayout w:type="fixed"/>
        <w:tblCellMar>
          <w:top w:w="0" w:type="dxa"/>
          <w:left w:w="0" w:type="dxa"/>
          <w:bottom w:w="0" w:type="dxa"/>
          <w:right w:w="0" w:type="dxa"/>
        </w:tblCellMar>
      </w:tblPr>
      <w:tblGrid>
        <w:gridCol w:w="23"/>
        <w:gridCol w:w="170"/>
        <w:gridCol w:w="32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fines, warning letters, or untitled letters;</w:t>
            </w:r>
          </w:p>
        </w:tc>
      </w:tr>
    </w:tbl>
    <w:tbl>
      <w:tblPr>
        <w:tblW w:w="4398" w:type="dxa"/>
        <w:jc w:val="left"/>
        <w:tblInd w:w="0" w:type="dxa"/>
        <w:tblLayout w:type="fixed"/>
        <w:tblCellMar>
          <w:top w:w="0" w:type="dxa"/>
          <w:left w:w="0" w:type="dxa"/>
          <w:bottom w:w="0" w:type="dxa"/>
          <w:right w:w="0" w:type="dxa"/>
        </w:tblCellMar>
      </w:tblPr>
      <w:tblGrid>
        <w:gridCol w:w="23"/>
        <w:gridCol w:w="170"/>
        <w:gridCol w:w="42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holds on ongoing or planned clinical trials;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of the FDA to approve pending applications or supplements to approved applications, or suspension or revocation of approvals;</w:t>
            </w:r>
          </w:p>
        </w:tc>
      </w:tr>
    </w:tbl>
    <w:tbl>
      <w:tblPr>
        <w:tblW w:w="6798" w:type="dxa"/>
        <w:jc w:val="left"/>
        <w:tblInd w:w="0" w:type="dxa"/>
        <w:tblLayout w:type="fixed"/>
        <w:tblCellMar>
          <w:top w:w="0" w:type="dxa"/>
          <w:left w:w="0" w:type="dxa"/>
          <w:bottom w:w="0" w:type="dxa"/>
          <w:right w:w="0" w:type="dxa"/>
        </w:tblCellMar>
      </w:tblPr>
      <w:tblGrid>
        <w:gridCol w:w="23"/>
        <w:gridCol w:w="170"/>
        <w:gridCol w:w="66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seizure or detention, or refusal to permit the import or export of products;</w:t>
            </w:r>
          </w:p>
        </w:tc>
      </w:tr>
    </w:tbl>
    <w:tbl>
      <w:tblPr>
        <w:tblW w:w="8808" w:type="dxa"/>
        <w:jc w:val="left"/>
        <w:tblInd w:w="0" w:type="dxa"/>
        <w:tblLayout w:type="fixed"/>
        <w:tblCellMar>
          <w:top w:w="0" w:type="dxa"/>
          <w:left w:w="0" w:type="dxa"/>
          <w:bottom w:w="0" w:type="dxa"/>
          <w:right w:w="0" w:type="dxa"/>
        </w:tblCellMar>
      </w:tblPr>
      <w:tblGrid>
        <w:gridCol w:w="23"/>
        <w:gridCol w:w="170"/>
        <w:gridCol w:w="86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decrees, corporate integrity agreements, debarment or exclusion from federal healthcare programs;</w:t>
            </w:r>
          </w:p>
        </w:tc>
      </w:tr>
    </w:tbl>
    <w:tbl>
      <w:tblPr>
        <w:tblW w:w="8718" w:type="dxa"/>
        <w:jc w:val="left"/>
        <w:tblInd w:w="0" w:type="dxa"/>
        <w:tblLayout w:type="fixed"/>
        <w:tblCellMar>
          <w:top w:w="0" w:type="dxa"/>
          <w:left w:w="0" w:type="dxa"/>
          <w:bottom w:w="0" w:type="dxa"/>
          <w:right w:w="0" w:type="dxa"/>
        </w:tblCellMar>
      </w:tblPr>
      <w:tblGrid>
        <w:gridCol w:w="23"/>
        <w:gridCol w:w="170"/>
        <w:gridCol w:w="85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mandated modification of promotional materials and labeling and the issuance of corrective information;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safety alerts, Dear Healthcare Provider letters, press releases and other communications containing warnings or other safety information about the product; or</w:t>
            </w:r>
          </w:p>
        </w:tc>
      </w:tr>
    </w:tbl>
    <w:tbl>
      <w:tblPr>
        <w:tblW w:w="4968" w:type="dxa"/>
        <w:jc w:val="left"/>
        <w:tblInd w:w="0" w:type="dxa"/>
        <w:tblLayout w:type="fixed"/>
        <w:tblCellMar>
          <w:top w:w="0" w:type="dxa"/>
          <w:left w:w="0" w:type="dxa"/>
          <w:bottom w:w="0" w:type="dxa"/>
          <w:right w:w="0" w:type="dxa"/>
        </w:tblCellMar>
      </w:tblPr>
      <w:tblGrid>
        <w:gridCol w:w="23"/>
        <w:gridCol w:w="170"/>
        <w:gridCol w:w="47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injunctions or the imposition of civil or criminal penalties.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More recently, the Drug Supply Chain Security Act (DSCSA) was enacted with the aim of building an electronic system to identify and trace certain prescription drugs distributed in the United States, including most biological products. The DSCSA mandates phased-in and resource-intensive obligations for manufacturers, wholesale distributors and dispensers over a 10-year period that culminated in November 2023. From time to time, new legislation and regulations may be implemented that could significantly change the statutory provisions governing the approval, manufacturing and marketing of products regulated by the FDA. For example, the FDA released proposed regulations in February 2022 to amend the national standards for licensing of wholesale drug distributors by the states; establish new minimum standards for state licensing third-party logistics providers; and create a federal system for licensure for use in the absence of a state program, each of which is mandated by the DSCSA. It is impossible to predict whether further legislative or regulatory changes will be enacted, or FDA regulations, guidance or interpretations changed or what the impact of such changes, if any, may be.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FDA Regulation of Companion Diagnostics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Certain of our product candidates may require an in vitro diagnostic to identify appropriate patient populations for investigation and/or use of our product candidates. These diagnostics, often referred to as companion diagnostics, are regulated as medical devices. In the United States, the FDC Act and its implementing regulations, and other federal and state statutes and regulations, govern, among other things, medical device design and development, nonclinical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and premarket approval (PMA). Most companion diagnostics for oncology product candidates utilize the PMA pathway.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use of companion diagnostic is deemed essential to the safe and effective use of a drug or biological product, then the FDA generally will require approval or clearance of the diagnostic contemporaneously with the approval of the therapeutic product. On August 6, 2014, the FDA issued a final guidance document addressing the development and approval process for “In Vitro Companion Diagnostic Devices.” According to the guidance, for novel product candidates, a companion diagnostic device and its corresponding drug candidate should be approved or cleared contemporaneously by FDA for the use indicated in the therapeutic product labeling. The guidance also explains that a companion diagnostic device used to make treatment decisions in clinical trials of a drug generally will be considered an investigational device, unless it is employed for an intended use for which the device is already approved or cleared. If used to make critical treatment decisions, such as patient selection, the diagnostic device may be considered a significant risk device under the FDA’s Investigational Device Exemption (IDE) regulations. In which case, the sponsor of the diagnostic device will be required to submit and obtain approval of an IDE application, and subsequently comply with the IDE regulations. However, according to the guidance, if a diagnostic device and a drug are to be studied together to support their respective approvals, both products can be studied in the same investigational study, if the study meets both the requirements of applicable IDE regulations and the IND regulations. The guidance provides that, depending on the details of the study plan and degree of risk posed to subjects, a sponsor may seek to submit an IND alone, or both an IND and an IDE.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FDA has generally required companion diagnostics intended to select the patients who will respond to cancer treatment to obtain approval of a PMA for that diagnostic simultaneously with approval of the therapeutic.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when the same sample is tested multiple times by multiple users at multiple laboratories. As part of the PMA review, the FDA will typically inspect the manufacturer’s facilities for compliance with the Quality System Regulation (QSR), which imposes elaborate testing, control, documentation and other quality assurance requirements.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If the FDA’s evaluation of the PMA application is favorable, the FDA may issue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and when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approval may be withdrawn by the FDA if compliance with post approval requirements, conditions of approval or other regulatory standards are not maintained or problems are identified following initial marketing.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After a device is commercialized,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and comparable state agencies. The FDA also may inspect foreign facilities that export products to the United States.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Hatch-Waxman Amendments &amp; Marketing Exclusivity for Small Molecule Drug Products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Orange Book Listing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seeking approval for a drug through an NDA, applicants are required to list with the FDA each patent whose claims cover the applicant’s product. Upon approval of a drug, each of the patents listed in the application for the drug is then published in the FDA’s Approved Drug Products with Therapeutic Equivalence Evaluations, commonly known as the Orange Book. Drugs listed in the Orange Book can, in turn, be cited by potential generic competitors as part of an abbreviated new drug application, or ANDA. An ANDA provides for marketing of a drug product that has the same active ingredients in the same strengths and dosage form as the listed drug and has been shown through bioequivalence testing to be therapeutically equivalent to the listed drug. Other than the requirement for bioequivalence testing, ANDA applicants are not required to conduct, or submit results of, nonclinical or clinical tests to prove the safety or effectiveness of their drug product. Drugs approved in this way are commonly referred to as “generic equivalents” to the listed drug and can often be substituted by pharmacists under prescriptions written for the original listed drug pursuant to each state’s laws on drug substitution.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ANDA applicant is required to certify to the FDA concerning any patents listed for the approved product in the FDA’s Orange Book.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The ANDA applicant may also elect to submit a section viii statement certifying that its proposed ANDA label does not contain (or “carves out”) any language regarding the patented method-of-use rather than certify to a listed method-of-use patent. If the applicant does not challenge the listed patents, the ANDA application will not be approved until all the listed patents claiming the referenced product have expired. A certification that the new product will not infringe the already approved product’s listed patents, or that such patents are invalid, is called a Paragraph IV certification.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of the receipt of a Paragraph IV certification automatically prevents the FDA from approving the ANDA until the earlier of 30 months, expiration of the patent, settlement of the lawsuit, or a decision in the infringement case that is favorable to the ANDA applicant.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ANDA application also will not be approved until any applicable non-patent exclusivity listed in the Orange Book for the referenced product has expired.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Exclusivity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Market exclusivity provisions under the FDC Act can delay the submission or the approval of certain marketing applications. Upon NDA approval of a new chemical entity (NCE), which is a drug that contains no active moiety (which is the molecule or ion responsible for the action of the drug substance) that has been approved by FDA in any other NDA, that drug receives five years of non-patent data exclusivity within the United States during which FDA cannot accept for review any ANDA seeking approval of a generic version of that drug, or an NDA submitted under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An application may be submitted one year before NCE exclusivity expires if a Paragraph IV certification is filed, i.e., certification of patent invalidity or non-infringement to one of the patents listed with the FDA by the innovator NDA holder. If there is no listed patent in the Orange Book, there may not be a Paragraph IV certification, and, thus, no application may be filed before the expiration of the exclusivity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Certain changes to a drug, such as the addition of a new indication to the package insert, or new dosages or strengths of an existing drug, can be the subject of a three-year non-patent period of marketing exclusivity if the NDA (or supplement to an existing NDA) contains reports of new clinical investigations (other than bioavailability studies) conducted or sponsored by the applicant that are deemed by the FDA to be essential to the approval of the application.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Reference Product Exclusivity for Biological Products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March 2010, the Patient Protection and Affordable Care Act was enacted in the United States and included the Biologics Price Competition and Innovation Act of 2009 (BPCIA). The BPCIA amended the PHS Act to create an abbreviated approval pathway for biological products that are biosimilar to or interchangeable with an FDA-licensed reference biological product. This amendment to the PHS Act, in part, attempts to minimize duplicative testing.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Since that time, the FDA has approved more than 40 biosimilars, including the first interchangeable biosimilars in 2021. The FDA has also issued several guidance documents outlining its approach to reviewing and approving biosimilars and interchangeable biosimilars. It has also created a public database that contains information on all FDA-licensed biological products, including biosimilars, called the Purple Book.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Biosimilarity requires that the follow-on biological product be highly similar to the reference product notwithstanding minor differences in clinically inactive components and that there be no clinically meaningful differences between the follow-on product and the reference product in terms of safety, purity and potency. The biosimilar applicant must demonstrate that its product is biosimilar based on data from (1) analytical studies showing that the biosimilar product is highly similar to the reference product; (2) toxicity assessments; and (3) one or more clinical studies to demonstrate safety, purity and potency in one or more appropriate conditions of use for which the reference product is approved. In addition, the applicant must show that the biosimilar and reference products have the same mechanism of action for the conditions of use on the label, route of administration, dosage and strength, and the production facility must meet standards designed to assure product safety, purity and potency. Interchangeability requires that a biological product be biosimilar to the reference product and that the product can be expected to produce the same clinical results as the reference product in any given patient and, for products administered multiple times to an individual, that the product and the reference product may be alternated or switched after one has been previously administered without increasing safety risks or risks of diminished efficacy relative to exclusive use of the reference biological product without such alternation or switch. Upon licensure by the FDA, an interchangeable biosimilar may be substituted for the reference product without the intervention of the health care provider who prescribed the reference product.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 reference biological product is granted twelve years of data exclusivity from the time of first licensure of the product, and the first approved interchangeable biologic product will be granted an exclusivity period of up to one year after it is first commercially marketed. As part of the Consolidated Appropriations Act for 2023, Congress amended the PHS Act in order to permit multiple interchangeable products approved on the same day to receive and benefit from this one-year exclusivity period. If pediatric studies are performed and accepted by the FDA as responsive to a written request from FDA, as described above, the 12-year exclusivity period will be extended for an additional six months.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addition,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BPCIA is complex and continues to be interpreted and implemented by the FDA. In addition, recent government proposals have sought to reduce the 12-year reference product exclusivity period. As a result, the ultimate impact, implementation and meaning of the BPCIA continue to be subject to uncertainty.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U.S. Patent Term Extension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After NDA or BLA approval, owners of relevant drug patents may apply for up to a five-year patent extension, under the Hatch-Waxman Amendments provisions that permit the extension of eligible patents as compensation for patent term lost during product development and FDA regulatory review process. The allowable patent term extension is calculated as half of the product’s testing phase (the time between IND application and NDA/BLA submission) and all of the review phase (the time between NDA/BLA submission and approval up to a maximum of five years). The time can be shortened if the FDA determines that the applicant did not pursue approval with due diligence. The total patent term after the extension may not exceed 14 years, and only one patent can be extended. The USPTO, in consultation with the FDA, reviews and approves the application for any patent term extension or restoration. 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USPTO director must determine that approval of the drug covered by the patent for which such interim patent extension is being sought is likely. Interim patent extensions are not available for a drug for which an NDA or BLA has not been submitted.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 Outside of the United States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regulations in the United States, we are subject to a variety of regulations in other jurisdictions governing clinical trials, commercial sales, and distribution of our products. Most countries outside of the United States require that clinical trial applications be submitted to and approved by the local regulatory authority for each clinical study. In addition, whether or not we obtain FDA approval for a product, we must obtain approval of a product by the comparable regulatory authorities of countries outside the United States before we can commence clinical trials or marketing of the product in those countries. The approval process and requirements vary from country to country, so the number and type of nonclinical, clinical, and manufacturing studies needed may differ, and the time may be longer or shorter than that required for FDA approval.</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European Union (EU) Drug Development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in the United States, drugs and biologics, which are referred to collectively in Europe as medicinal products, can be marketed only if a marketing authorization from the competent regulatory agencies has been obtained. Similar to the United States, the various phases of nonclinical and clinical research in the European Union are subject to significant regulatory controls. Although the EU Clinical Trials Directive 2001/20/EC sought to harmonize the EU clinical trials regulatory framework, setting out common rules for the control and authorization of clinical trials in the EU, the EU Member States transposed and applied the provisions of the Directive differently. This led to significant variations in the member state regimes. Under the previous regime, before a clinical trial could be initiated, a clinical trial application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must have been approved in each of the EU countries where the trial was to be conducted by two distinct bodies: the National Competent Authority (NCA) and one or more Ethics Committees (ECs). All suspected unexpected serious adverse reactions to the investigated drug that occur during the clinical trial would have to be reported to the NCA and ECs of the Member State where they occurred.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EU clinical trials legislation has since been reformed with the aims of harmonizing and streamlining clinical-trial authorization, simplifying adverse event reporting procedures, improving the supervision of clinical trials and increasing their transparency. Specifically, the new Clinical Trials Regulation, (EU) No 536/2014 (Clinical Trials Regulation) came into application on January 31, 2022. The Clinical Trials Regulation is directly applicable in all the EU Member States, repealing the previous Clinical Trials Directive 2001/20/EC. The extent to which ongoing clinical trials are governed by the Clinical Trials Regulation depends on when the Clinical Trials Regulation became applicable and on the duration of the individual clinical trial. If a clinical trial continues for more than three years from the day on which the Clinical Trials Regulation became applicable the Clinical Trials Regulation will at that time begin to apply to the clinical trial. In addition, use of the new EU-wide application procedure being implemented via the Clinical Trial Information System, became mandatory for new clinical trial application submissions as of February 1,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With respect to marketing applications for a new medicinal product, there are two types of marketing authorizations available in the European Economic Area (EEA), which is comprised of the 27 Member States of the European Union plus Norway, Iceland and Liechtenstein. In the EEA, medicinal products can only be commercialized after obtaining an appropriate Marketing Authorization (MA):</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Community MA is issued by the European Commission through the Centralized Procedure, based on the opinion of the Committee for Medicinal Products for Human Use (CHMP) of the EMA and is valid throughout the entire territory of the EMA.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(RMS). The competent authority of the RMS prepares a draft assessment report, a draft summary of the product characteristics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the above-described procedures, before granting the MA, the EMA or the competent authorities of the Member States of the EEA make an assessment of the risk-benefit balance of the product on the basis of scientific criteria concerning its quality, safety and efficacy.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Similar to the United States, the EU regulatory framework also provides opportunities for market exclusivity. Upon receiving an MA, reference product candidates generally receive eight years of data exclusivity and an additional two years of market exclusivity. If granted, the data exclusivity period prevents generic applicants from relying on the nonclinical and clinical trial data contained in the dossier of the reference product when applying for a generic MA in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EU during a period of eight years from the date on which the reference product was first authorized in the EU. The market exclusivity period prevents a successful generic applicant from commercializing its product in the EU until 10 years have elapsed from the initial MA of the reference product in the EU. The overall 10-year market exclusivity period can be extended to a maximum of eleven years if, during the first eight years of those 10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entity, and products may not qualify for data exclusivity.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April 2023, the European Commission proposed widespread changes to the existing pharmaceutical legislation that would, among other things, alter the data exclusivity periods available to MA holders. The proposed reforms must be reviewed and approval by the EU Parliament and Council, and in light of their controversial nature it is unclear whether they will be adopted as proposed or further revised.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EU Post-Approval Requirements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Similar to the United States, both MA holders and manufacturers of medicinal products are subject to comprehensive regulatory oversight by the EMA, the European Commission and/or the competent regulatory authorities of the member states. The holder of an MA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(PSURs).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All new MA applicants must include a risk management plan (RMP) describing the risk management system that the company will put in place and documenting measures to prevent or minimize the risks associated with the product. The regulatory authorities may also impose specific obligations as a condition of the MA. Such risk- minimization measures or post-authorization obligations may include additional safety monitoring, more frequent submission of PSURs, or the conduct of additional clinical trials or post-authorization safety studies.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which is different from the legal framework in the United States. Moreover, although, general requirements for advertising and promotion of medicinal products are established under EU directives, the details are governed by regulations in each Member State and can differ from one country to another. In recent months, advertising and promotion by pharmaceutical companies in the EU and UK marketplaces have received heightened scrutiny from regulatory authorities and in some cases, fines have been issued.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Brexit and the Regulatory Framework in the United Kingdom (UK)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UK formally withdrew from the EU on January 31, 2020 (known as Brexit), following which the UK and EU entered into a trade agreement known as the Trade and Cooperation Agreement (TCA), which went into effect on January 1, 2021. The TCA includes specific provisions concerning pharmaceuticals, which include the mutual recognition of GMP inspections of manufacturing facilities for medicinal products and GMP documents issued, but does not foresee wholesale mutual recognition of UK and EU pharmaceutical regulations. As a result of Brexit, UK licensing decisions were transferred from EMA to the Medicines and Healthcare Products Regulatory Agency (MHRA) the UK Regulatory Body. For a period of two years following January 1, 2021, the UK will continue to adopt decisions taken by the European Commission on the approval of new marketing authorizations. However, companies will be required to submit an identical application to the MHRA upon the CHMP positive opinion of the application. The MHRA will then wait for the European Commission decision on approval.</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Since the regulatory framework in the United Kingdom covering the quality, safety and efficacy of pharmaceutical products, clinical trials, marketing authorization, commercial sales and distribution of pharmaceutical products is derived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from European Union directives and regulations, Brexit could materially impact the future regulatory regime as it applies to medicinal products and the approval of product candidates in the United Kingdom.</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Healthcare Laws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Manufacturing, sales, promotion and other activities following product approval may also be subject to regulation by other regulatory authorities in the United States in addition to the FDA. Depending on the nature of the product, those authorities may include the Centers for Medicare and Medicaid Services (CMS), other divisions of the U.S. Department of Health and Human Services (HHS), the Department of Justice, the Drug Enforcement Administration, the Federal Trade Commission (FTC), the Occupational Safety and Health Administration, the Environmental Protection Agency and state and local governments.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example, in the United States, sales and marketing for prescription pharmaceutical products must comply with state and federal fraud and abuse laws. These laws include the federal Anti-Kickback Statute, which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Violations of this law are punishable by imprisonment, criminal fines, administrative civil money penalties and exclusion from participation in federal healthcare programs. In addition, the Patient Protection and Affordable Care Act (discussed further below), among other things, amended the intent requirement of the federal Anti-Kickback Statute and two of the five criminal healthcare fraud statutes created by the Health Insurance Portability and Accountability Act of 1996 (HIPAA). A person or entity no longer needs to have actual knowledge of these two provisions in the statute or specific intent to violate them; specifically with respect to the prohibition on executing or attempting to execute a scheme or artifice to defraud or to fraudulently obtain money or property of any health care benefit program and the prohibition on disposing of assets to enable a person to become eligible for Medicaid. Moreover, the government may now assert that a claim including items or services resulting from a violation of the federal Anti-Kickback Statute constitutes a false or fraudulent claim for purposes of the False Claims Act, which generally prohibits, among other things, any person or entity from knowingly presenting, or causing to be presented, a false claim for payment to, or approval by, the federal government or knowingly making, using, or causing to be made or used a false record or statement material to a false or fraudulent claim to the federal government. Manufacturers can be held liable under the civil False Claims Act even when they do not submit claims directly to government payors if they are deemed to “cause” the submission of false or fraudulent claims. Biotechnology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generally non-reimbursable, uses and purportedly concealing price concessions in the pricing information submitted to the government for government price reporting purposes.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Pricing and rebate programs must comply with the Medicaid rebate requirements of the U.S. Omnibus Budget Reconciliation Act of 1990 and more recent requirements passed by Congress. If pharmaceutical products are made available to authorized users of the Federal Supply Schedule of the General Services Administration, additional laws and requirements apply. There also are federal transparency requirements under the Physician Payments Sunshine Act that require manufacturers of FDA-approved drugs, devices, biologics and medical supplies covered by Medicare or Medicaid to report, on an annual basis, to CMS information related to payments and other transfers of value to physicians, teaching hospitals, and certain advanced non-physician health care practitioners and physician ownership and investment interests. Prescription drug products also must meet applicable child-resistant packaging requirements under the U.S. Poison Prevention Packaging Act.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Manufacturing, sales, promotion and other activities also are potentially subject to federal and state consumer protection and unfair competition laws. Also, many states have similar fraud and abuse statutes or regulations that apply to items and services reimbursed under Medicaid and other state programs, or, in several states, apply regardless of the payor. Some state laws require pharmaceutical companies to comply with the pharmaceutical industry’s voluntary compliance guidelines, or the relevant compliance guidance promulgated by the federal government, in addition to requiring drug manufacturers to report information related to payments to physicians and other health care providers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marketing expenditures to the extent that those laws impose requirements that are more stringent than the Physician Payments Sunshine Act.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Efforts to ensure that business arrangements with third parties comply with applicable state, federal and foreign healthcare laws and regulations involve substantial costs. If a drug company’s operations are found to be in violation of any such requirements, it may be subject to significant penalties, including civil, criminal and administrative penalties, damages, fines, disgorgement, imprisonment, the curtailment or restructuring of its operations, loss of eligibility to obtain approvals from the FDA, exclusion from participation in government contracting or other federal or state government healthcare programs, including Medicare and Medicaid, integrity oversight and reporting obligations, imprisonment and reputational harm. Although effective compliance programs can mitigate the risk of investigation and prosecution for violations of these laws, these risks cannot be entirely eliminated. Any action for an alleged or suspected violation can cause a drug company to incur significant legal expenses and divert management’s attention from the operation of the business, even if such action is successfully defended.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Healthcare Reform and Potential Changes to Healthcare Laws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the United States and some foreign jurisdictions, there have been, and continue to be, several legislative and regulatory changes and proposed changes regarding the healthcare system that could prevent or delay marketing approval of therapeutic product candidates, restrict or regulate post-approval activities, and affect the ability to profitably sell therapeutic product candidates that obtain marketing approval. The FDA’s and other regulatory authorities’ policies may change and additional government regulations may be enacted that could prevent, limit or delay marketing approval of our product candidates. If we are slow or unable to adapt to changes in existing requirements or the adoption of new requirements or policies, or if we are not able to maintain regulatory compliance, we may lose any marketing approval that we otherwise may have obtained and we may not achieve or sustain profitability, which would adversely affect our business, prospects, financial condition and results of operations. Moreover, among policy makers and payors in the United States and elsewhere, there is significant interest in promoting changes in healthcare systems with the stated goals of containing healthcare costs, improving quality and/or expanding access.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example, the Patient Protection and Affordable Care Act, as amended by the Health Care and Education Reconciliation Act (ACA), was enacted in March 2010 and has had a significant impact on the healthcare industry in the U.S. The ACA expanded coverage for the uninsured while at the same time containing overall healthcare costs. With regard to biopharmaceutical products, the ACA, among other things, increased the minimum Medicaid rebates owed by manufacturers under the Medicaid Drug Rebate Program and extended the rebate program to individuals enrolled in Medicaid managed care organizations, established annual fees on manufacturers of certain branded prescription drugs, and created a new Medicare Part D coverage gap discount program. As another example, the 2021 Consolidated Appropriations Act signed into law on December 27, 2020 incorporated extensive healthcare provisions and amendments to existing laws, including a requirement that all manufacturers of drugs and biological products covered under Medicare Part B report the product’s average sales price (ASP), to the HHS, beginning on January 1, 2022, subject to enforcement via civil money penalties. We expect that further legislative changes or additions to the ACA, the Medicare and Medicaid programs, and changes stemming from other healthcare reform measures, especially with regard to healthcare access, financing or other legislation in individual states, could have a material adverse effect on the health care industry in the United States.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Moreover,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In August 2022, President Biden signed into the law the Inflation Reduction Act of 2022 (IRA). Among other things, the IRA has multiple provisions that may impact the prices of drug and biological products that are both sold into the Medicare program and throughout the United States. Starting in 2023, a manufacturer of drugs covered by Medicare Parts B or D must pay a rebate to the federal government if their drug product’s price increases faster than the rate of inflation. This calculation is made on a drug product by drug product basis and the amount of the rebate owed to the federal government is directly dependent on the volume of a drug product that is paid for by Medicare Parts B or D. Additionally, starting for payment year 2026, CMS will negotiate drug prices annually for a select number of single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source Part D drugs without generic competition. CMS will also negotiate drug prices for a select number of Part B drugs starting for payment year 2028. If a product is selected by CMS for negotiation, it is expected that the revenue generated from such product will decrease. CMS has begun to implement these new authorities, including with its publication of the first list of 10 Medicare Part D drugs for negotiation in September 2023 and entering into an agreement to conduct negotiations with the relevant manufacturers of those selected drugs in October 2023. However, their impact on the biopharmaceutical industry in the United States remains uncertain, in part because multiple large pharmaceutical companies and other stakeholders (e.g., the U.S. Chamber of Commerce) have initiated federal lawsuits against CMS arguing the program is unconstitutional for a variety of reasons, among other complaints.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pharmacy benefit managers (PBMs) and other members of the health care and pharmaceutical supply chain, an important decision has led to further and more aggressive efforts by states in this area. The FTC in mid-2022 also launched sweeping investigations into the practices of the PBM industry that could lead to additional federal and state legislative or regulatory proposals targeting such entities’ operations, pharmacy networks, or financial arrangements, and Congress has been actively convening hearings and considering legislation related to PBM practices. Significant efforts to change the PBM industry as it currently exists in the U.S. may affect the entire pharmaceutical supply chain and the business of other stakeholders, including pharmaceutical product developers like us.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cannot predict the likelihood, nature or extent of government regulation that may arise from future legislation or administrative or executive action, either in the United States or abroad. We expect that additional state and federal healthcare reform measures will be adopted in the future, any of which could limit the amounts that federal and state governments will pay for healthcare products and services.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Coverage, Pricing and Reimbursement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Sales of our future products will depend, in part, on the extent to which our products will be covered by third-party payors, such as government health programs, commercial insurance and managed healthcare organizations. There may be significant delays in obtaining coverage and reimbursement for approved products, and coverage may be more limited than the purposes for which the product is approved by the FDA or regulatory authorities in other countries. It is time consuming and expensive to seek reimbursement from third-party payors. Moreover, eligibility for reimbursement does not imply that any product will be paid for in all cases or at a rate that covers our costs, including research, development, manufacture, sale and distribution. Interim payments for new products, if applicable, may also not be sufficient to cover our costs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third-party payors and by any future relaxation of laws that presently restrict imports of products from countries where they may be sold at lower prices than in the U.S. In the U.S., third-party payors often rely upon Medicare coverage policy and payment limitations in setting their own reimbursement policies, but they also have their own methods and approval process apart from Medicare coverage and reimbursement determinations. Accordingly, one third-party payor’s determination to provide coverage for a product does not assure that other payors will also provide coverage for the product.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Additionally, the containment of healthcare costs has become a priority of federal and state governments and the prices of therapeutics have been a focus in this effort. The United States government, state legislatures and foreign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If these third-party payors do not consider our products to be cost-effective compared to other therapies, they may not cover our products after approval as a benefit under their plans or, if they do, the level of payment may not be sufficient to allow us to sell our products on a profitable basis. In addition,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companion diagnostic tests require coverage and reimbursement separate and apart from the coverage and reimbursement for their companion pharmaceutical or biological products.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Moreover, in some foreign countries, the proposed pricing for a therapeutic product must be approved before it may be lawfully marketed. The requirements governing therapeutic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therapeutic candidates, if approved. Historically, therapeutic candidates launched in the European Union do not follow price structures of the United States and generally tend to be significantly lower.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 Foreign Corrupt Practices Act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general, the Foreign Corrupt Practices Act of 1977, as amended (FCPA) prohibits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 for or with, or in order to direct business to, any person. The prohibitions apply not only to payments made to “any foreign official,” but also those made to “any foreign political party or official thereof,” to “any candidate for foreign political office” or to any person, while knowing that all or a portion of the payment will be offered, given, or promised to anyone in any of the foregoing categories. “Foreign officials” under the FCPA include officers or employees of a department, agency, or instrumentality of a foreign government. The term “instrumentality” is broad and can include state-owned or state-controlled entities.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Importantly, United States authorities that enforce the FCPA, including the Department of Justice, deem most health care professionals and other employees of foreign hospitals, clinics, research facilities and medical schools in countries with public health care or public education systems to be “foreign officials” under the FCPA. When we interact with foreign health care professionals and researchers in testing and marketing our products abroad, we must have policies and procedures in place sufficient to prevent us and agents acting on our behalf from providing any bribe, gift or gratuity, including excessive or lavish meals, travel or entertainment in connection with marketing our future products and services or securing required permits and approvals such as those needed to initiate clinical trials in foreign jurisdictions. The FCPA also obligates companies whose securities are listed in the United States to comply with accounting provisions requiring the maintenance of books and records that accurately and fairly reflect all transactions of the corporation, including international subsidiaries, and the development and maintenance of an adequate system of internal accounting controls for international operations. The SEC is involved with the books and records.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Employees and Human Capital Resources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2023, we had 40 employees, all of whom were full-time and 30 of whom were engaged in research and development activities. Twenty-two of our employees hold Ph.D. or M.D. degrees. Nearly all of our R&amp;D personnel and our administrative team are based in and around Burlingame, CA and Rockville, MD. None of our employees are represented by a labor union or covered under a collective bargaining agreement. We consider our relationship with our employees to be good.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Corporate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were incorporated in Delaware in April 2021 under the name of ArriVent BioPharma, Inc. Our principal executive offices are located at 18 Campus Boulevard, Suite 100, Newtown Square, PA 19073. Our telephone number is (628) 277-4836. Our website address is www.arrivent.com. Information contained on, or that can be accessible through, our website is not a part of this Annual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Available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Internet address is www.arrivent.com. </w:t>
      </w:r>
      <w:r>
        <w:rPr>
          <w:rFonts w:ascii="Times New Roman;Times;serif" w:hAnsi="Times New Roman;Times;serif"/>
          <w:sz w:val="20"/>
          <w:shd w:fill="FFFFFF" w:val="clear"/>
        </w:rPr>
        <w:t>We will file or furnish periodic reports and amendments thereto, including our Annual Reports on Form 10-K, Quarterly Reports on Form 10-Q, Current Reports on Form 8-K (and amendments to those reports), proxy and information statements and other information filed or furnished pursuant to Sections 13(a) and 15(d) of the Securities Exchange Act of 1934, as amended (Exchange Act) with the SEC. The SEC maintains a website that contains reports, proxy and information statement, and other information regarding issuers that file electronically, which may be accessed through the SEC at http://www.sec.gov. Our reports, amendments thereto, proxy statements and other information are also made available, free of charge, on our investor relations website at ir.arrivent.com as soon as reasonably practicable after we electronically file or furnish such information with the SEC. The information contained on the websites referenced in this Annual Report is not incorporated by reference into this filing. Further, our references to website URLs are intended to be inactive textual references only.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code of ethics, other corporate policies and procedures, and the charters of our Audit Committee, Compensation Committee and Nominating and Corporate Governance Committee are available through our Internet website at www.arrivent.com.</w:t>
      </w:r>
    </w:p>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1A. Risk Factors</w:t>
      </w:r>
      <w:bookmarkStart w:id="6" w:name="Item1ARiskFactors_286292"/>
      <w:bookmarkEnd w:id="6"/>
    </w:p>
    <w:p>
      <w:pPr>
        <w:pStyle w:val="TextBody"/>
        <w:pBdr/>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Investing in our common stock involves a high degree of risk. You should carefully consider the risks and uncertainties described below, the section of this Annual Report titled “Management’s Discussion and Analysis of Financial Condition and Results of Operations” and our financial statements and related notes appearing elsewhere in this Annual Report, before investing in our common stock. The risks and uncertainties described below are not the only ones we face. Additional risks and uncertainties that we are unaware of, or that we currently believe are not material, may also become important factors that affect us. If any of the following risks occur, our business, operating results and prospects could be materially harmed. In that event, the price of our common stock could decline, and you could lose part or all of your investment. This Annual Report also contains forward-looking statements that involve risks and uncertainties. See “Special Note Regarding Forward-Looking Statements.” Our actual results could differ materially and adversely from those anticipated in these forward-looking statements as a result of certain factors, including those set forth below.</w:t>
      </w:r>
    </w:p>
    <w:p>
      <w:pPr>
        <w:pStyle w:val="TextBody"/>
        <w:shd w:fill="FFFFFF" w:val="clea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Summary of Risk Factors</w:t>
      </w:r>
    </w:p>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business is subject to numerous risks and uncertainties, including those highlighted in this section below, that represent challenges that we face in connection with the successful implementation of our strategy. The occurrence of one or more of the events or circumstances described in more detail in the risk factors below, alone or in combination with other events or circumstances, may have an adverse effect on our business, cash flows, financial condition, and results of operations. Such risks include, but are not limited to:</w:t>
      </w:r>
    </w:p>
    <w:p>
      <w:pPr>
        <w:pStyle w:val="TextBody"/>
        <w:shd w:fill="FFFFFF" w:val="clear"/>
        <w:bidi w:val="0"/>
        <w:spacing w:before="0" w:after="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100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operating losses since our inception and expect to incur significant losses for the foreseeable future. We are not currently profitable, and may never achieve or sustain profitability. If we are unable to achieve or sustain profitability, the market value of our common stock will likely decline.</w:t>
            </w:r>
          </w:p>
        </w:tc>
      </w:tr>
    </w:tbl>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100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limited operating history and no history of commercializing pharmaceutical products, which may make it difficult to evaluate the prospects for our future viability.</w:t>
            </w:r>
          </w:p>
        </w:tc>
      </w:tr>
    </w:tbl>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100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our business requires substantial additional capital to finance our goals, and a failure to obtain this necessary capital when needed on acceptable terms, or at all, could force us to delay, limit, reduce or terminate our development programs, commercialization efforts or other operations.</w:t>
            </w:r>
          </w:p>
        </w:tc>
      </w:tr>
    </w:tbl>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100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depend significantly on the success of furmonertinib, which is our only product candidate in clinical development. If we are unable to advance furmonertinib in clinical development, obtain regulatory approval and ultimately commercialize furmonertinib, or experience significant delays in doing so, our business will be materially harmed.</w:t>
            </w:r>
          </w:p>
        </w:tc>
      </w:tr>
    </w:tbl>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100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and preclinical development of new biopharmaceutical products involves a lengthy and expensive process with uncertain timelines and outcomes, and results of prior clinical trials and studies of furmonertinib are not necessarily predictive of future results. Furmonertinib may not achieve favorable results in our clinical trials or receive regulatory approval on a timely basis, if at all.</w:t>
            </w:r>
          </w:p>
        </w:tc>
      </w:tr>
    </w:tbl>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100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difficulties or delays in the commencement or completion, or the termination or suspension, of our current or planned clinical trials or nonclinical studies could result in increased costs to us, delay or limit our ability to generate revenue or adversely affect our commercial prospects.</w:t>
            </w:r>
          </w:p>
        </w:tc>
      </w:tr>
    </w:tbl>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100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Enrollment and retention of patients in clinical trials is an expensive and time-consuming process and could be made more difficult or rendered impossible by multiple factors outside our control, which could adversely affect our business, operating results and prospects.</w:t>
            </w:r>
          </w:p>
        </w:tc>
      </w:tr>
    </w:tbl>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100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furmonertinib or any future product candidates could be associated with adverse side effects, adverse events or other safety risks, which could delay or preclude regulatory approval, cause us to suspend or discontinue clinical trials, abandon a product candidate, limit the commercial profile of an approved drug label or result in other significant negative consequences that could severely harm our business, prospects, operating results and financial condition.</w:t>
            </w:r>
          </w:p>
        </w:tc>
      </w:tr>
    </w:tbl>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100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of the ongoing clinical trials for our lead product candidate, furmonertinib, are being conducted outside the United States, including in China. However, the FDA and other foreign equivalents may not accept data from such trials, in which case our development plans will be delayed, which could materially harm our business.</w:t>
            </w:r>
          </w:p>
        </w:tc>
      </w:tr>
    </w:tbl>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100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topline and preliminary data from our clinical trials and nonclinical studies that we announce or publish from time to time may change as more patient data become available and are subject to audit and verification procedures that could result in material changes in the final data.</w:t>
            </w:r>
          </w:p>
        </w:tc>
      </w:tr>
    </w:tbl>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100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tc>
      </w:tr>
    </w:tbl>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100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Breakthrough Therapy Designation by the FDA may not lead to a faster development or regulatory review or approval process, and does not increase the likelihood that our product candidates will receive marketing approval.</w:t>
            </w:r>
          </w:p>
        </w:tc>
      </w:tr>
    </w:tbl>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100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Furmonertinib has been granted Fast Track Designation by the FDA for the treatment of patients with NSCLC harboring activating EGFR or HER2 kinase domain mutations, including exon 20 insertion mutations and we may seek Fast Track Designation for other product candidates in the future. Even if we apply for Fast Track Designation in the future, we might not receive such designation, and even if received, such designation may not actually lead to a faster development or regulatory review or approval process. Further, such designation could be withdrawn by the FDA.</w:t>
            </w:r>
          </w:p>
        </w:tc>
      </w:tr>
    </w:tbl>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100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heavily rely on our exclusive license with Allist to provide us with intellectual property rights to develop and commercialize furmonertinib. Any termination or loss of significant rights under our agreements with Allist would adversely affect our development or commercialization of furmonertinib.</w:t>
            </w:r>
          </w:p>
        </w:tc>
      </w:tr>
    </w:tbl>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100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rely on, and intend to continue to rely on third parties to conduct, supervise and monitor our clinical trials and nonclinical studies. If these third parties do not successfully carry out their contractual duties, comply with applicable regulatory requirements or meet expected deadlines, our development programs and our ability to seek or obtain regulatory approval for or commercialize furmonertinib and any future product candidates may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201" w:type="dxa"/>
        <w:jc w:val="left"/>
        <w:tblInd w:w="0" w:type="dxa"/>
        <w:shd w:fill="FFFFFF" w:val="clear"/>
        <w:tblLayout w:type="fixed"/>
        <w:tblCellMar>
          <w:top w:w="0" w:type="dxa"/>
          <w:left w:w="0" w:type="dxa"/>
          <w:bottom w:w="0" w:type="dxa"/>
          <w:right w:w="0" w:type="dxa"/>
        </w:tblCellMar>
      </w:tblPr>
      <w:tblGrid>
        <w:gridCol w:w="23"/>
        <w:gridCol w:w="23"/>
        <w:gridCol w:w="9155"/>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9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delayed or subject to increased costs, each of which may have an adverse effect on our business and prospects.</w:t>
            </w:r>
          </w:p>
        </w:tc>
      </w:tr>
    </w:tbl>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100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a Chinese third party for the manufacture of furmonertinib for clinical development and expect to continue to rely on third parties for the foreseeable future. This reliance on third parties increases the risk that we will not have sufficient quantities of furmonertinib or such quantities at an acceptable cost, which could delay, prevent or impair our development or potential commercialization efforts.</w:t>
            </w:r>
          </w:p>
        </w:tc>
      </w:tr>
    </w:tbl>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100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receive regulatory approval for furmonertinib or any future product candidates, we will be subject to ongoing regulatory obligations and continued regulatory review, which may result in significant additional expense. Additionally, furmonertinib and any future product candidates, if approved, could be subject to labeling and other restrictions on marketing or withdrawal from the market, and we may be subject to penalties if we fail to comply with regulatory requirements or if we experience unanticipated problems with our product candidates, if any of them are approved.</w:t>
            </w:r>
          </w:p>
        </w:tc>
      </w:tr>
    </w:tbl>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100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significant competition, and if our competitors develop and commercialize technologies or product candidates more rapidly than we do, or their technologies or product candidates are more effective, safer, or less expensive than furmonertinib and any future product candidates we develop, our business and our ability to develop and successfully commercialize products will be adversely affected.</w:t>
            </w:r>
          </w:p>
        </w:tc>
      </w:tr>
    </w:tbl>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100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results may fluctuate significantly, which makes our future operating results difficult to predict and could cause our operating results to fall below expectations or any guidance we may provide.</w:t>
            </w:r>
          </w:p>
        </w:tc>
      </w:tr>
    </w:tbl>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100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dependent on the services of our management and other clinical and scientific personnel, and if we are not able to retain these individuals or recruit additional management or clinical and scientific personnel, our business will suffer.</w:t>
            </w:r>
          </w:p>
        </w:tc>
      </w:tr>
    </w:tbl>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100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various U.S. federal, state and foreign healthcare laws and regulations, which could increase compliance costs, and our failure to comply with these laws and regulations could expose us to criminal sanctions, civil and administrative penalties, contractual damages, reputational harm and diminished profits and future earnings, among other penalties, any of which could harm our results of operations and financial condition.</w:t>
            </w:r>
          </w:p>
        </w:tc>
      </w:tr>
    </w:tbl>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100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internal information technology systems, or those used by our CROs, clinical sites, or other contractors or consultants upon which we rely, are or were compromised, become unavailable or suffer security breaches, loss or leakage of data or other disruptions, we could suffer material adverse consequences resulting from such compromise, including but not limited to, operational or service interruption, harm to our reputation, litigation, fines, penalties and liability, compromise of sensitive information related our business, and other adverse consequences.</w:t>
            </w:r>
          </w:p>
        </w:tc>
      </w:tr>
    </w:tbl>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100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obtain and maintain, sufficient intellectual property protection for furmonertinib or future product candidates or technology, or if the scope of our intellectual property rights is not sufficiently broad, our competitors or other third parties could develop and commercialize products similar or identical to ours, and our ability to successfully commercialize furmonertinib or any future product candidates may be adversely affected.</w:t>
            </w:r>
          </w:p>
        </w:tc>
      </w:tr>
    </w:tbl>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100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heavily on intellectual property licensed from a third party, and our licensors may not always act in our best interest. If we fail to comply with our obligations under our intellectual property licenses, if the licenses are terminated or if disputes regarding these licenses arise, we could lose significant rights that are important to our business.</w:t>
            </w:r>
          </w:p>
        </w:tc>
      </w:tr>
    </w:tbl>
    <w:tbl>
      <w:tblPr>
        <w:tblW w:w="8283" w:type="dxa"/>
        <w:jc w:val="left"/>
        <w:tblInd w:w="0" w:type="dxa"/>
        <w:shd w:fill="FFFFFF" w:val="clear"/>
        <w:tblLayout w:type="fixed"/>
        <w:tblCellMar>
          <w:top w:w="0" w:type="dxa"/>
          <w:left w:w="0" w:type="dxa"/>
          <w:bottom w:w="0" w:type="dxa"/>
          <w:right w:w="0" w:type="dxa"/>
        </w:tblCellMar>
      </w:tblPr>
      <w:tblGrid>
        <w:gridCol w:w="23"/>
        <w:gridCol w:w="170"/>
        <w:gridCol w:w="8090"/>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80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protect our intellectual property and proprietary rights throughout the world.</w:t>
            </w:r>
          </w:p>
        </w:tc>
      </w:tr>
    </w:tbl>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100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the shares of our common stock could be highly volatile, and purchasers of our common stock could incur substantial losses.</w:t>
            </w:r>
          </w:p>
        </w:tc>
      </w:tr>
    </w:tbl>
    <w:tbl>
      <w:tblPr>
        <w:tblW w:w="7518" w:type="dxa"/>
        <w:jc w:val="left"/>
        <w:tblInd w:w="0" w:type="dxa"/>
        <w:shd w:fill="FFFFFF" w:val="clear"/>
        <w:tblLayout w:type="fixed"/>
        <w:tblCellMar>
          <w:top w:w="0" w:type="dxa"/>
          <w:left w:w="0" w:type="dxa"/>
          <w:bottom w:w="0" w:type="dxa"/>
          <w:right w:w="0" w:type="dxa"/>
        </w:tblCellMar>
      </w:tblPr>
      <w:tblGrid>
        <w:gridCol w:w="23"/>
        <w:gridCol w:w="170"/>
        <w:gridCol w:w="7325"/>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7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disclosure controls and procedures may not prevent or detect all errors or acts of fraud.</w:t>
            </w:r>
          </w:p>
        </w:tc>
      </w:tr>
    </w:tbl>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100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material weaknesses in our internal control over financial reporting related to our control environment. If we do not remediate the material weaknesses in our internal control over financial reporting, or if we fail to establish and maintain effective internal control over financial reporting, we may not be able to accurately report our financial results, which may cause investors to lose confidence in our reported financial information and may lead to a decline in the market price of our stock.</w:t>
            </w:r>
          </w:p>
        </w:tc>
      </w:tr>
    </w:tbl>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Limited Operating History, Financial Position and Capital Requirements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incurred significant operating losses since our inception and expect to incur significant losses for the foreseeable future. We are not currently profitable, and may never achieve or sustain profitability. If we are unable to achieve or sustain profitability, the market value of our common stock will likely decline.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incurred significant operating losses since our inception and expect to incur significant losses for the foreseeable future. We do not have any products approved for sale and have not generated any revenue since our inception. If furmonertinib is not successfully developed, approved and commercialized, we may never generate significant revenue, if we generate any revenue at all. Our net losses were $69.3 million and $36.9 million for the years ended December 31, 2023 and 2022, respectively. As of December 31, 2023, we had an accumulated deficit of $157.8 million. Substantially all of our losses have resulted from expenses incurred in connection with in-licensing intellectual property related to, and developing, furmonertinib and from general and administrative costs associated with our operations. Furmonertinib and any future product candidates will require substantial additional development time and resources before we would be able to apply for or receive regulatory approvals and begin generating revenue from product sales. We expect to continue to incur losses for the foreseeable future, and we anticipate these losses will increase substantially as we continue our development of, seek regulatory approval for and potentially commercialize furmonertinib, seek to identify, assess, acquire, in-license intellectual property related to or develop additional product candidates and operate as a public company. In addition, we are obligated to pay Allist milestone payments up to an aggregate of $765.0 million upon the achievement of certain development, regulatory and sales milestone events as set forth in the Allist License Agreement, as defined herein. We are also obligated under the Allist License Agreement to pay Allist tiered royalties based on net sales of Licensed Products, as defined herein. See “Business — Licenses, Partnerships and Collaborations — Allist Agreements”. If these payments become due, we may not have sufficient funds available to meet our obligations and our development efforts may be harmed.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 become and remain profitable, we must succeed in developing, obtaining regulatory approvals for, and eventually commercializing products that generate significant revenue. This will require us to be successful in a range of challenging activities, including completing clinical trials of furmonertinib and any future product candidates, acquiring additional product candidates, obtaining regulatory approval for furmonertinib and any future product candidates, and manufacturing, marketing, and selling any products for which we may obtain regulatory approval. We may never succeed in these activities and, even if we do, may never generate revenue that is significant enough to achieve profitability. In addition, we have not yet demonstrated an ability to successfully overcome many of the risks and uncertainties frequently encountered by companies in new and rapidly evolving fields, particularly in the biopharmaceutical industry. Because of the numerous risks and uncertainties associated with biopharmaceutical product development, we are unable to accurately predict the timing or amount of increased expenses or when, or if, we will be able to achieve profitability. Even if we do achieve profitability, we may not be able to sustain or increase profitability on a quarterly or annual basis. Our failure to become and remain profitable may have an adverse effect on the value of our company and could impair our ability to raise capital, expand our business, maintain our research and development efforts, diversify our product candidates, achieve our strategic objectives or even continue our operations. A decline in the value of our company could also cause stockholders to lose all or part of their investment.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a limited operating history and no history of commercializing pharmaceutical products, which may make it difficult to evaluate the prospects for our future viability.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Biopharmaceutical product development is a highly speculative undertaking and involves a substantial degree of risk. We are a clinical-stage biopharmaceutical company with a limited operating history upon which you can evaluate our business and prospects. We commenced operations in April 2021 and, to date, we have focused primarily on organizing and staffing our company, business planning, raising capital, in-licensing our product candidate, furmonertinib, establishing our intellectual property portfolio and conducting research, preclinical studies, and clinical trials. We have not yet completed any pivotal clinical trials, obtained regulatory approvals, manufactured products at commercial scale, or arranged for a third party to do so on our behalf, or conducted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our business requires substantial additional capital to finance our goals, and a failure to obtain this necessary capital when needed on acceptable terms, or at all, could force us to delay, limit, reduce or terminate our development programs, commercialization efforts or other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development of biopharmaceutical product candidates is capital-intensive. We expect our expenses to substantially increase in connection with our ongoing activities, particularly as we conduct our ongoing and planned clinical trials for furmonertinib and potentially seek regulatory approval for furmonertinib and any future product candidates we may develop, acquire or in-license additional product candidates and operate as a public company. In addition, if we are able to progress furmonertinib through development and commercialization, we will be required to make milestone and royalty payments to Allist from whom we have in-licensed intellectual property related to furmonertinib. If we obtain regulatory approval for furmonertinib or any future product candidates, we also expect to incur significant commercialization expenses related to product manufacturing, marketing, sales, and distribution. Because the outcome of any clinical trial or preclinical study is highly uncertain, we cannot reliably estimate the actual amount of financing necessary to successfully complete the development and commercialization of furmonertinib or any future product candidates. Furthermore, we expect to incur additional costs associated with operating as a public company.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Based on our current operating plan, we believe that our existing cash and cash equivalents, including the proceeds from our recently completed initial public offering, will enable us to fund our operations into 2026. We have based these estimates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Our existing cash and cash equivalents, including the net proceeds from our recently completed initial public offering, may not be sufficient to complete development of furmonertinib, or any future product candidate, and we will require substantial capital in order to advance furmonertinib and any future product candidates through clinical trials, regulatory approval and commercialization. Accordingly, we will need to obtain substantial additional funding in connection with our continuing operations. Our ability to raise additional funds may be adversely impacted by potential worsening global economic conditions and the disruptions to, and volatility in, the credit and financial markets in the United States and worldwide resulting from factors that include but are not limited to, inflation, the conflicts in the Middle East and between Russia and Ukraine and other factors,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and more dilutive. If we are unable to raise capital when needed or on attractive terms, we could be forced to delay, reduce or eliminate our research and development programs or any future commercialization efforts, or even cease operations. We expect to finance our cash needs through public or private equity or debt financings or other capital sources, including potential collaborations, licenses and other similar arrangements. In order to obtain financing, we may be required to relinquish rights to some of our technologies or drug candidates or otherwise agree to terms unfavorable to us.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furmonertinib and any future product candidates.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future capital requirements, both near and long-term, will depend on many factors, including, but not limited to:</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initiation, type, number, scope, progress, expansions, results, costs and timing of clinical trials and studies of furmonertinib and any future product candidates we may choose to pursue, including any modifications to clinical development plans based on feedback that we may receive from regulatory authorities;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manufacturing for furmonertinib, or any future product candidate, including commercial manufacture at sufficient scale, if any product candidate is approved, including as a result of inflation, any supply chain issues or component shortages;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requirements of regulatory authorities in any jurisdictions in which we may seek approval for furmonertinib and any future product candidates and our anticipated timing for seeking approval in such jurisdictions;</w:t>
            </w:r>
          </w:p>
        </w:tc>
      </w:tr>
    </w:tbl>
    <w:tbl>
      <w:tblPr>
        <w:tblW w:w="9633" w:type="dxa"/>
        <w:jc w:val="left"/>
        <w:tblInd w:w="0" w:type="dxa"/>
        <w:tblLayout w:type="fixed"/>
        <w:tblCellMar>
          <w:top w:w="0" w:type="dxa"/>
          <w:left w:w="0" w:type="dxa"/>
          <w:bottom w:w="0" w:type="dxa"/>
          <w:right w:w="0" w:type="dxa"/>
        </w:tblCellMar>
      </w:tblPr>
      <w:tblGrid>
        <w:gridCol w:w="23"/>
        <w:gridCol w:w="170"/>
        <w:gridCol w:w="94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timing and outcome of regulatory meetings and reviews of furmonertinib or any future product candidates;</w:t>
            </w:r>
          </w:p>
        </w:tc>
      </w:tr>
    </w:tbl>
    <w:tbl>
      <w:tblPr>
        <w:tblW w:w="9063" w:type="dxa"/>
        <w:jc w:val="left"/>
        <w:tblInd w:w="0" w:type="dxa"/>
        <w:tblLayout w:type="fixed"/>
        <w:tblCellMar>
          <w:top w:w="0" w:type="dxa"/>
          <w:left w:w="0" w:type="dxa"/>
          <w:bottom w:w="0" w:type="dxa"/>
          <w:right w:w="0" w:type="dxa"/>
        </w:tblCellMar>
      </w:tblPr>
      <w:tblGrid>
        <w:gridCol w:w="23"/>
        <w:gridCol w:w="170"/>
        <w:gridCol w:w="88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delays and cost increases that may result from any health epidemics and outbreaks, including COVID-19;</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obtaining, maintaining, enforcing and protecting our patents and other intellectual property and proprietary rights;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efforts to enhance operational systems and hire additional personnel to satisfy our obligations as a public company, including enhanced internal control over financial reporting;</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associated with hiring additional personnel and consultants as our business grows, including additional executive officers and clinical development, regulatory, Chemistry, Manufacturing, and Controls (CMC) quality and commercial personnel;</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amount of the milestone, royalty or other payments we must make to Allist, from whom we have in-licensed furmonertinib, or any future licensors;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establishing or securing sales and marketing capabilities if furmonertinib or any future product candidate is approved;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sufficient market acceptance, coverage and adequate reimbursement from third-party payors and adequate market share and revenue for any approved products;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and strategic decision to acquire or develop future product candidates other than furmonertinib, and the timing of such development, if any;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willingness to pay out-of-pocket for any approved products in the absence of coverage and/or adequate reimbursement from third-party payors;</w:t>
            </w:r>
          </w:p>
        </w:tc>
      </w:tr>
    </w:tbl>
    <w:tbl>
      <w:tblPr>
        <w:tblW w:w="9393" w:type="dxa"/>
        <w:jc w:val="left"/>
        <w:tblInd w:w="0" w:type="dxa"/>
        <w:tblLayout w:type="fixed"/>
        <w:tblCellMar>
          <w:top w:w="0" w:type="dxa"/>
          <w:left w:w="0" w:type="dxa"/>
          <w:bottom w:w="0" w:type="dxa"/>
          <w:right w:w="0" w:type="dxa"/>
        </w:tblCellMar>
      </w:tblPr>
      <w:tblGrid>
        <w:gridCol w:w="23"/>
        <w:gridCol w:w="170"/>
        <w:gridCol w:w="92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timing of establishing and maintaining collaborations, licenses and other similar arrangements; and</w:t>
            </w:r>
          </w:p>
        </w:tc>
      </w:tr>
    </w:tbl>
    <w:tbl>
      <w:tblPr>
        <w:tblW w:w="7068" w:type="dxa"/>
        <w:jc w:val="left"/>
        <w:tblInd w:w="0" w:type="dxa"/>
        <w:tblLayout w:type="fixed"/>
        <w:tblCellMar>
          <w:top w:w="0" w:type="dxa"/>
          <w:left w:w="0" w:type="dxa"/>
          <w:bottom w:w="0" w:type="dxa"/>
          <w:right w:w="0" w:type="dxa"/>
        </w:tblCellMar>
      </w:tblPr>
      <w:tblGrid>
        <w:gridCol w:w="23"/>
        <w:gridCol w:w="170"/>
        <w:gridCol w:w="68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any products or technologies that we may in-license or acquire.</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Conducting clinical trials and nonclinical studies and potentially identifying future product candidates is a time consuming, expensive and uncertain process that takes years to complete, and we may never generate the necessary data or results required to obtain regulatory approval and commercialize furmonertinib or any future product candidates. If approved, furmonertinib and any future product candidates may not achieve commercial success. Our commercial revenue, if any, will initially be derived from sales of furmonertinib, which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Raising additional capital may cause dilution to our stockholders, restrict our operations or require us to relinquish rights to our technologies or product candidates.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Until such time, if ever, as we can generate substantial product revenue, we expect to finance our cash needs through equity offerings, debt financings, or other capital sources, including potential collaborations, licenses and other similar arrangements. We do not have any committed external source of funds. In addition, we may seek additional capital due to favorable market conditions or strategic considerations, even if we believe that we have sufficient funds for our current or future operating plans. To the extent that we raise additional capital through the sale of equity or convertible debt securities, your ownership interest may be diluted, and the terms of these securities may include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 Such restrictions could adversely impact our ability to conduct our operations and execute our business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we raise additional funds through future collaborations, licenses and other similar arrangements, we may be required to relinquish valuable rights to our future revenue streams, product candidates, research programs, intellectual property or proprietary technology, or grant licenses on terms that may not be favorable to us and/or that may reduce the value of our common stock. If we are unable to raise additional funds through equity or debt financings or other arrangements when needed or on terms acceptable to us, we would be required to delay, limit, reduce, or terminate our product development or future commercialization efforts, or grant rights to develop and market product candidates that we might otherwise prefer to develop and market ourselves, or on less favorable terms than we would otherwise choose.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the Development and Regulatory Approval of Our Product Candidates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currently depend significantly on the success of furmonertinib, which is our only product candidate in clinical development. If we are unable to advance furmonertinib in clinical development, obtain regulatory approval and ultimately commercialize furmonertinib, or experience significant delays in doing so, our business will be materially harmed.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currently only have one product candidate in clinical development, furmonertinib, the intellectual property for which we have in-licensed and which is in Phase 3 clinical development. Our business presently depends significantly on our ability to successfully develop, obtain regulatory approval for, and commercialize furmonertinib in a timely manner. This may make an investment in our company riskier than similar companies that have multiple product candidates in active development and may be able to better sustain the delay or failure of a lead product candidate. In addition, our assumptions about furmonertinib’s development potential are partially based on the data generated from preclinical studies and clinical trials conducted by our licensor and we may observe materially and adversely different results as we continue to conduct our clinical trials. The success of furmonertinib will depend on several factors, including the following:</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initiation, enrollment and completion of ongoing and future clinical trials with favorable results in accordance with good clinical practice (GCP) requirements and other applicable rules and regulations;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of regulatory submissions by the FDA or comparable foreign regulatory authorities for the conduct of nonclinical studies and clinical trials of furmonertinib, including clinical trials conducted outside the United States, including China, and our proposed design of planned nonclinical studies and clinical trials of furmonertinib;</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frequency, severity, and types of adverse events observed, or that we may observe, in nonclinical studies and clinical trials;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relationships with contract research organizations (CROs) and clinical sites for the clinical development of furmonertinib, and ability of such CROs and clinical sites to comply with clinical trial protocols, current GCP and other applicable requirements;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demonstrating the safety and efficacy of furmonertinib to the satisfaction of applicable regulatory authorities, including by establishing a safety database of a size satisfactory to regulatory authorities;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receipt and maintenance of marketing approvals from applicable regulatory authorities for the initial indication for use and any additional indications, including approvals of NDAs from the FDA, and maintaining any such approvals;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relationships with our third-party manufacturers and their ability to comply with current Good Manufacturing Practice (cGMP) requirements as well as making arrangements with our third-party manufacturers for, or establishing our own, clinical or commercial manufacturing capabilities at a cost and scale sufficient to support commercialization;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sales, marketing and distribution capabilities and launching commercial sales of furmonertinib, if and when approved, whether alone or in collaboration with others;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establishing, maintaining and enforcing patent and any potential trade secret protection or regulatory exclusivity for furmonertinib;</w:t>
            </w:r>
          </w:p>
        </w:tc>
      </w:tr>
    </w:tbl>
    <w:tbl>
      <w:tblPr>
        <w:tblW w:w="7953" w:type="dxa"/>
        <w:jc w:val="left"/>
        <w:tblInd w:w="0" w:type="dxa"/>
        <w:tblLayout w:type="fixed"/>
        <w:tblCellMar>
          <w:top w:w="0" w:type="dxa"/>
          <w:left w:w="0" w:type="dxa"/>
          <w:bottom w:w="0" w:type="dxa"/>
          <w:right w:w="0" w:type="dxa"/>
        </w:tblCellMar>
      </w:tblPr>
      <w:tblGrid>
        <w:gridCol w:w="23"/>
        <w:gridCol w:w="170"/>
        <w:gridCol w:w="77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an acceptable safety profile of furmonertinib following regulatory approval, if any;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and growing an organization of people who can develop and, if approved, commercialize, market and sell furmonertinib, if approved; and</w:t>
            </w:r>
          </w:p>
        </w:tc>
      </w:tr>
    </w:tbl>
    <w:tbl>
      <w:tblPr>
        <w:tblW w:w="8403" w:type="dxa"/>
        <w:jc w:val="left"/>
        <w:tblInd w:w="0" w:type="dxa"/>
        <w:tblLayout w:type="fixed"/>
        <w:tblCellMar>
          <w:top w:w="0" w:type="dxa"/>
          <w:left w:w="0" w:type="dxa"/>
          <w:bottom w:w="0" w:type="dxa"/>
          <w:right w:w="0" w:type="dxa"/>
        </w:tblCellMar>
      </w:tblPr>
      <w:tblGrid>
        <w:gridCol w:w="23"/>
        <w:gridCol w:w="170"/>
        <w:gridCol w:w="82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of furmonertinib, if approved, by patients, the medical community and third-party payors.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we are unable to develop, receive marketing approval for and successfully commercialize furmonertinib, or if we experience delays as a result of any of the above factors or otherwise, our business would be significantly harmed.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Clinical and preclinical development of new biopharmaceutical products involves a lengthy and expensive process with uncertain timelines and outcomes, and results of prior clinical trials and studies of furmonertinib are not necessarily predictive of future results. Furmonertinib may not achieve favorable results in our clinical trials or receive regulatory approval on a timely basis, if at all.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Clinical and preclinical development of new biopharmaceutical candidates is expensive and can take many years to complete, and its outcome is inherently uncertain. We cannot guarantee that any clinical trials or nonclinical studies will be conducted as planned or completed on schedule, if at all, and failure or delays can occur at any time during the trial or study process. Despite promising preclinical or clinical results, any product candidate can unexpectedly fail at any stage of development. The historical failure rate for product candidates in our industry is high, particularly in the earlier stages of development.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results from preclinical studies or clinical trials of a product candidate or a competitor’s product candidate in the same class may not predict the results of later clinical trials of our product candidate, and interim, topline, or preliminary results of a clinical trial are not necessarily indicative of final results. Product candidates in later stages of clinical trials may fail to show the desired safety and efficacy characteristics despite having progressed through preclinical studies and initial clinical trials. We do not know how furmonertinib will perform in on-going and future clinical trials. It is not uncommon to observe results in clinical trials that are unexpected based on earlier clinical trials and preclinical studies, and many product candidates fail in clinical trials despite very promising early results. Furthermore, although furmonertinib is currently approved and commercially distributed by Allist in China as a first-line therapy to treat classical EGFRm NSCLC based on successful clinical trials conducted within China, there is no guarantee that we will be able to replicate all the results of any prior trials in the indications and doses we are exploring in our on-going and future clinical trials or even if we do, whether such results would lead to approval of the product candidate by the FDA or other health authorities. Moreover, preclinical and clinical data are often susceptible to varying interpretations and analyses. A number of companies in the biopharmaceutical and biotechnology industries have suffered significant setbacks in clinical development even after achieving promising results in earlier studies. Based upon negative or inconclusive results, we or any future collaborator may decide, or regulators may require us, to conduct additional nonclinical studies or clinical trials or delay our on-going or future clinical trials, which would cause us to incur additional operating expenses and delays and may not be sufficient to support regulatory approval on a timely basis or at all.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result, we cannot be certain that our ongoing and planned clinical trials will be successful. Any safety concerns observed in any one of our clinical trials in our targeted indications could limit the prospects for regulatory approval of furmonertinib in those and other indications, which could have a material adverse effect on our business, financial condition, results of operations and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Any difficulties or delays in the commencement or completion, or the termination or suspension, of our current or planned clinical trials or nonclinical studies could result in increased costs to us, delay or limit our ability to generate revenue or adversely affect our commercial prospects.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Before obtaining marketing approval from regulatory authorities for the sale of furmonertinib or any future product candidates, we must conduct extensive clinical trials to demonstrate the safety and efficacy of the product candidates for their intended use(s) in humans. Before we can initiate clinical trials for any future product candidates, we must submit the results of preclinical studies to the FDA or comparable foreign regulatory authorities along with other information, including information about product candidate chemistry, manufacturing and controls and our proposed clinical trial protocol, as part of an IND or similar regulatory submission. The FDA or comparable foreign regulatory authorities may require us to conduct additional preclinical studies for any product candidate before it allows us to initiate clinical trials under any IND or similar regulatory submission, which may lead to delays and increase the costs of our nonclinical development programs. For example, we have not yet sought alignment on the design of our planned adjuvant study of furmonertinib with the FDA or comparable foreign regulatory authorities. Such authorities may ask us to collect more clinical data prior to permitting us to initiate the planned global registrational Phase 3 clinical trial to investigate the potential benefit of furmonertinib in the adjuvant setting. Moreover, even if we commence clinical trials, issues relating to the safety and efficacy of current or future drug candidates may arise that could cause regulatory authorities to suspend, delay, or terminate such clinical trials. Any such delays in the commencement or completion, or the termination or suspension, of our ongoing and planned clinical trials or nonclinical studies for furmonertinib and any future product candidate could significantly affect our product development timelines and product development costs and harm our financial position.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do not know whether our planned clinical trials and nonclinical studies will begin on time or be completed on schedule, if at all. The commencement, data readouts and completion of clinical trials and nonclinical studies can be delayed for a number of reasons, including delays related to:</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inability to obtain animals or materials to initiate and generate sufficient preclinical, toxicology, or other </w:t>
            </w:r>
            <w:r>
              <w:rPr>
                <w:rFonts w:ascii="Times New Roman;Times;serif" w:hAnsi="Times New Roman;Times;serif"/>
                <w:b w:val="false"/>
                <w:i/>
                <w:sz w:val="20"/>
              </w:rPr>
              <w:t>in vivo</w:t>
            </w:r>
            <w:r>
              <w:rPr>
                <w:caps w:val="false"/>
                <w:smallCaps w:val="false"/>
              </w:rPr>
              <w:t xml:space="preserve">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sz w:val="20"/>
              </w:rPr>
              <w:t>in vitro</w:t>
            </w:r>
            <w:r>
              <w:rPr>
                <w:caps w:val="false"/>
                <w:smallCaps w:val="false"/>
              </w:rPr>
              <w:t xml:space="preserve"> </w:t>
            </w:r>
            <w:r>
              <w:rPr>
                <w:rFonts w:ascii="Times New Roman;Times;serif" w:hAnsi="Times New Roman;Times;serif"/>
                <w:b w:val="false"/>
                <w:i w:val="false"/>
                <w:caps w:val="false"/>
                <w:smallCaps w:val="false"/>
                <w:sz w:val="20"/>
              </w:rPr>
              <w:t>data to support the initiation or continuation of clinical trials;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allowance from regulatory authorities to commence a trial or reaching a consensus with regulatory authorities on trial design;</w:t>
            </w:r>
          </w:p>
        </w:tc>
      </w:tr>
    </w:tbl>
    <w:tbl>
      <w:tblPr>
        <w:tblW w:w="10053" w:type="dxa"/>
        <w:jc w:val="left"/>
        <w:tblInd w:w="0" w:type="dxa"/>
        <w:tblLayout w:type="fixed"/>
        <w:tblCellMar>
          <w:top w:w="0" w:type="dxa"/>
          <w:left w:w="0" w:type="dxa"/>
          <w:bottom w:w="0" w:type="dxa"/>
          <w:right w:w="0" w:type="dxa"/>
        </w:tblCellMar>
      </w:tblPr>
      <w:tblGrid>
        <w:gridCol w:w="23"/>
        <w:gridCol w:w="170"/>
        <w:gridCol w:w="98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disagreeing as to the design or implementation of our clinical trials;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or delay in reaching an agreement with CROs and clinical trial sites, the terms of which can be subject to extensive negotiation and may vary significantly among different CROs and trial sites;</w:t>
            </w:r>
          </w:p>
        </w:tc>
      </w:tr>
    </w:tbl>
    <w:tbl>
      <w:tblPr>
        <w:tblW w:w="6333" w:type="dxa"/>
        <w:jc w:val="left"/>
        <w:tblInd w:w="0" w:type="dxa"/>
        <w:tblLayout w:type="fixed"/>
        <w:tblCellMar>
          <w:top w:w="0" w:type="dxa"/>
          <w:left w:w="0" w:type="dxa"/>
          <w:bottom w:w="0" w:type="dxa"/>
          <w:right w:w="0" w:type="dxa"/>
        </w:tblCellMar>
      </w:tblPr>
      <w:tblGrid>
        <w:gridCol w:w="23"/>
        <w:gridCol w:w="170"/>
        <w:gridCol w:w="61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identifying, recruiting and training suitable clinical investigators;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approval from one or more institutional review boards (IRBs) or ethics committees (EC) responsible for the oversight of human subjects research conducted at clinical trial sites;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IRBs/ECs refusing to approve, suspending or terminating the trial at an investigational site, precluding enrollment of additional subjects, or withdrawing their approval of the trial;</w:t>
            </w:r>
          </w:p>
        </w:tc>
      </w:tr>
    </w:tbl>
    <w:tbl>
      <w:tblPr>
        <w:tblW w:w="4488" w:type="dxa"/>
        <w:jc w:val="left"/>
        <w:tblInd w:w="0" w:type="dxa"/>
        <w:tblLayout w:type="fixed"/>
        <w:tblCellMar>
          <w:top w:w="0" w:type="dxa"/>
          <w:left w:w="0" w:type="dxa"/>
          <w:bottom w:w="0" w:type="dxa"/>
          <w:right w:w="0" w:type="dxa"/>
        </w:tblCellMar>
      </w:tblPr>
      <w:tblGrid>
        <w:gridCol w:w="23"/>
        <w:gridCol w:w="170"/>
        <w:gridCol w:w="42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or amendments to the clinical trial protocol;</w:t>
            </w:r>
          </w:p>
        </w:tc>
      </w:tr>
    </w:tbl>
    <w:tbl>
      <w:tblPr>
        <w:tblW w:w="5988" w:type="dxa"/>
        <w:jc w:val="left"/>
        <w:tblInd w:w="0" w:type="dxa"/>
        <w:tblLayout w:type="fixed"/>
        <w:tblCellMar>
          <w:top w:w="0" w:type="dxa"/>
          <w:left w:w="0" w:type="dxa"/>
          <w:bottom w:w="0" w:type="dxa"/>
          <w:right w:w="0" w:type="dxa"/>
        </w:tblCellMar>
      </w:tblPr>
      <w:tblGrid>
        <w:gridCol w:w="23"/>
        <w:gridCol w:w="170"/>
        <w:gridCol w:w="57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sites deviating from the trial protocol or dropping out of a trial;</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our CROs to perform in accordance with GCP requirements or applicable regulatory rules and guidelines in other countries;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raw materials for manufacturing sufficient quantities of furmonertinib or obtaining sufficient quantities of combination therapies or other materials needed for use in clinical trials and nonclinical studies;</w:t>
            </w:r>
          </w:p>
        </w:tc>
      </w:tr>
    </w:tbl>
    <w:tbl>
      <w:tblPr>
        <w:tblW w:w="5538" w:type="dxa"/>
        <w:jc w:val="left"/>
        <w:tblInd w:w="0" w:type="dxa"/>
        <w:tblLayout w:type="fixed"/>
        <w:tblCellMar>
          <w:top w:w="0" w:type="dxa"/>
          <w:left w:w="0" w:type="dxa"/>
          <w:bottom w:w="0" w:type="dxa"/>
          <w:right w:w="0" w:type="dxa"/>
        </w:tblCellMar>
      </w:tblPr>
      <w:tblGrid>
        <w:gridCol w:w="23"/>
        <w:gridCol w:w="170"/>
        <w:gridCol w:w="53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adequate materials for packaging clinical trial material;</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918" w:type="dxa"/>
        <w:jc w:val="left"/>
        <w:tblInd w:w="0" w:type="dxa"/>
        <w:tblLayout w:type="fixed"/>
        <w:tblCellMar>
          <w:top w:w="0" w:type="dxa"/>
          <w:left w:w="0" w:type="dxa"/>
          <w:bottom w:w="0" w:type="dxa"/>
          <w:right w:w="0" w:type="dxa"/>
        </w:tblCellMar>
      </w:tblPr>
      <w:tblGrid>
        <w:gridCol w:w="23"/>
        <w:gridCol w:w="170"/>
        <w:gridCol w:w="97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of the shelf life of clinical material for use in clinical trials prior to the enrollment of any of our clinical trials;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subjects failing to enroll or remain in our trials at the rate we expect, or failing to return for post-treatment follow-up, including subjects failing to remain in our trials due to movement restrictions, heath reasons or otherwise resulting from any public health concerns, such as COVID-19;</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individuals choosing an alternative product for the indications for which we are developing furmonertinib or any future product candidates, or participating in competing clinical trials;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adequate funding to continue the clinical trials, nonclinical studies, manufacturing or incurring greater costs than we anticipate;</w:t>
            </w:r>
          </w:p>
        </w:tc>
      </w:tr>
    </w:tbl>
    <w:tbl>
      <w:tblPr>
        <w:tblW w:w="7383" w:type="dxa"/>
        <w:jc w:val="left"/>
        <w:tblInd w:w="0" w:type="dxa"/>
        <w:tblLayout w:type="fixed"/>
        <w:tblCellMar>
          <w:top w:w="0" w:type="dxa"/>
          <w:left w:w="0" w:type="dxa"/>
          <w:bottom w:w="0" w:type="dxa"/>
          <w:right w:w="0" w:type="dxa"/>
        </w:tblCellMar>
      </w:tblPr>
      <w:tblGrid>
        <w:gridCol w:w="23"/>
        <w:gridCol w:w="170"/>
        <w:gridCol w:w="71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subjects experiencing severe or serious unexpected drug-related adverse effects;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occurrence of serious adverse events in trials of the same class of agents conducted by other companies that could be considered similar to furmonertinib or any future product candidates;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selection of clinical endpoints that require prolonged periods of clinical observation or extended analysis of the resulting data;</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of manufacturing processes to larger-scale facilities operated by a contract manufacturing organization (CMO), as a result of changes in U.S. legislation or otherwise, delays or failure by our CMOs or us to make any necessary changes to such manufacturing process, or failure of our CMOs to produce clinical trial materials in accordance with cGMP regulations or other applicable requirements; and</w:t>
            </w:r>
          </w:p>
        </w:tc>
      </w:tr>
    </w:tbl>
    <w:tbl>
      <w:tblPr>
        <w:tblW w:w="8523" w:type="dxa"/>
        <w:jc w:val="left"/>
        <w:tblInd w:w="0" w:type="dxa"/>
        <w:tblLayout w:type="fixed"/>
        <w:tblCellMar>
          <w:top w:w="0" w:type="dxa"/>
          <w:left w:w="0" w:type="dxa"/>
          <w:bottom w:w="0" w:type="dxa"/>
          <w:right w:w="0" w:type="dxa"/>
        </w:tblCellMar>
      </w:tblPr>
      <w:tblGrid>
        <w:gridCol w:w="23"/>
        <w:gridCol w:w="170"/>
        <w:gridCol w:w="83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parties being unwilling or unable to satisfy their contractual obligations to us in a timely manner.</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disruptions caused by COVID-19 or future public health concerns may increase the likelihood that we encounter such difficulties or delays in initiating, enrolling, conducting or completing our planned and ongoing clinical trials.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Clinical trials must be conducted in accordance with the FDA and other applicable regulatory authorities’ legal requirements, regulations or guidelines, and are subject to oversight by these governmental agencies and Ethics Committees or IRBs at the medical institutions where the clinical trials are conducted. We could also encounter delays if a clinical trial is suspended or terminated in whole or in part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GCP, other regulatory requirements or our clinical trial protocols, inspection of the clinical trial operations or trial site by the FDA or comparable foreign regulatory authorities resulting in the imposition of a clinical hold or other adverse findings,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regulators or IRBs for reexamination, which may impact the costs, timing or successful completion of a clinical trial.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Further, conducting clinical trials in foreign countries, as has been done for furmonertinib and intended to be done in the future for furmonertinib or any future product candidates, presents additional risks that may delay completion of our clinical trials. These risks include the failure of enrolled subjects in foreign countries to adhere to clinical protocols as a result of differences in healthcare services or cultural customs, managing additional administrative burdens associated with foreign regulatory schemes, and political and economic risks, including war, relevant to such foreign countries.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results. The FDA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many of the factors that cause, or lead to, the termination or suspension of, or a delay in the commencement or completion of, clinical trials, whether in whole or in part, may also ultimately lead to the denial of regulatory approval of a product candidate. We may make formulation or manufacturing changes to furmonertinib or any future product candidates as a result of changes in U.S. legislation or otherwise, in which case we may need to conduct additional nonclinical studies or clinical trials to bridge our modified product candidates to earlier versions. Any resulting delays to our clinical trials could shorten any period during which we may have the exclusive right to commercialize our product candidates. In such cases, our competitors may be able to bring products to market before we do, and the commercial viability of furmonertinib or any future product candidates could be significantly reduced. Any of these occurrences may harm our business, financial condition and prospects.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Enrollment and retention of patients in clinical trials is an expensive and time-consuming process and could be made more difficult or rendered impossible by multiple factors outside our control, which could adversely affect our business, operating results and prospects.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Patient enrollment is a significant factor impacting the duration of our clinical trials, along with treatment duration and completion of required follow-up periods. Clinical trials may be prolonged, or we may not be able to initiate or continue clinical trials for our product candidates if we are unable to locate and enroll a sufficient number of eligible patients to participate as required by the FDA or applicable foreign authorities. For certain of our product candidates, including furmonertinib, the conditions which we may evaluate include limited patient pools from which to draw. In some cases, patient populations are located at specific academic sites focused on such indications, which often host multiple competing clinical trials. Potential patients for any planned clinical trials may not be adequately diagnosed or identified with the diseases that we are targeting or may not meet the entry criteria for such trials. We also may encounter difficulties in identifying and enrolling patients with a stage of disease appropriate for our planned clinical trials or in monitoring such patients adequately during and after treatment. As noted above, other pharmaceutical companies targeting these same diseases are recruiting clinical trial patients from these patient populations, which may make it more difficult to fully enroll our clinical trials. In addition, the process of finding and diagnosing patients may prove costly.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eligibility criteria of our clinical trials, once established, may further limit the pool of available trial participants. If the actual number of patients with these diseases is smaller than we anticipate, we may encounter difficulties in enrolling patients in our clinical trials, thereby delaying or preventing further development and potential marketing approval of our product candidates. Even once enrolled we may be unable to retain a sufficient number of patients to complete any of our trials.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timely completion of clinical trials in accordance with their protocols depends, among other things, on our ability to enroll a sufficient number of patients who remain in the study until its conclusion. We may experience difficulties in patient enrollment or retention in our clinical trials for a variety of reasons. Patient enrollment and retention in clinical trials depends on many factors, including:</w:t>
      </w:r>
    </w:p>
    <w:tbl>
      <w:tblPr>
        <w:tblW w:w="4563" w:type="dxa"/>
        <w:jc w:val="left"/>
        <w:tblInd w:w="0" w:type="dxa"/>
        <w:tblLayout w:type="fixed"/>
        <w:tblCellMar>
          <w:top w:w="0" w:type="dxa"/>
          <w:left w:w="0" w:type="dxa"/>
          <w:bottom w:w="0" w:type="dxa"/>
          <w:right w:w="0" w:type="dxa"/>
        </w:tblCellMar>
      </w:tblPr>
      <w:tblGrid>
        <w:gridCol w:w="23"/>
        <w:gridCol w:w="170"/>
        <w:gridCol w:w="43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and nature of the targeted patient population;</w:t>
            </w:r>
          </w:p>
        </w:tc>
      </w:tr>
    </w:tbl>
    <w:tbl>
      <w:tblPr>
        <w:tblW w:w="5043" w:type="dxa"/>
        <w:jc w:val="left"/>
        <w:tblInd w:w="0" w:type="dxa"/>
        <w:tblLayout w:type="fixed"/>
        <w:tblCellMar>
          <w:top w:w="0" w:type="dxa"/>
          <w:left w:w="0" w:type="dxa"/>
          <w:bottom w:w="0" w:type="dxa"/>
          <w:right w:w="0" w:type="dxa"/>
        </w:tblCellMar>
      </w:tblPr>
      <w:tblGrid>
        <w:gridCol w:w="23"/>
        <w:gridCol w:w="170"/>
        <w:gridCol w:w="48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severity of the disease or condition under investigation;</w:t>
            </w:r>
          </w:p>
        </w:tc>
      </w:tr>
    </w:tbl>
    <w:tbl>
      <w:tblPr>
        <w:tblW w:w="8238" w:type="dxa"/>
        <w:jc w:val="left"/>
        <w:tblInd w:w="0" w:type="dxa"/>
        <w:tblLayout w:type="fixed"/>
        <w:tblCellMar>
          <w:top w:w="0" w:type="dxa"/>
          <w:left w:w="0" w:type="dxa"/>
          <w:bottom w:w="0" w:type="dxa"/>
          <w:right w:w="0" w:type="dxa"/>
        </w:tblCellMar>
      </w:tblPr>
      <w:tblGrid>
        <w:gridCol w:w="23"/>
        <w:gridCol w:w="170"/>
        <w:gridCol w:w="80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and efficacy of approved therapies for the disease or condition under investigation;</w:t>
            </w:r>
          </w:p>
        </w:tc>
      </w:tr>
    </w:tbl>
    <w:tbl>
      <w:tblPr>
        <w:tblW w:w="5553" w:type="dxa"/>
        <w:jc w:val="left"/>
        <w:tblInd w:w="0" w:type="dxa"/>
        <w:tblLayout w:type="fixed"/>
        <w:tblCellMar>
          <w:top w:w="0" w:type="dxa"/>
          <w:left w:w="0" w:type="dxa"/>
          <w:bottom w:w="0" w:type="dxa"/>
          <w:right w:w="0" w:type="dxa"/>
        </w:tblCellMar>
      </w:tblPr>
      <w:tblGrid>
        <w:gridCol w:w="23"/>
        <w:gridCol w:w="170"/>
        <w:gridCol w:w="53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perceived risks and benefits of the product candidate under study;</w:t>
            </w:r>
          </w:p>
        </w:tc>
      </w:tr>
    </w:tbl>
    <w:tbl>
      <w:tblPr>
        <w:tblW w:w="4578" w:type="dxa"/>
        <w:jc w:val="left"/>
        <w:tblInd w:w="0" w:type="dxa"/>
        <w:tblLayout w:type="fixed"/>
        <w:tblCellMar>
          <w:top w:w="0" w:type="dxa"/>
          <w:left w:w="0" w:type="dxa"/>
          <w:bottom w:w="0" w:type="dxa"/>
          <w:right w:w="0" w:type="dxa"/>
        </w:tblCellMar>
      </w:tblPr>
      <w:tblGrid>
        <w:gridCol w:w="23"/>
        <w:gridCol w:w="170"/>
        <w:gridCol w:w="43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efforts to facilitate timely enrollment in clinical trials;</w:t>
            </w:r>
          </w:p>
        </w:tc>
      </w:tr>
    </w:tbl>
    <w:tbl>
      <w:tblPr>
        <w:tblW w:w="3348" w:type="dxa"/>
        <w:jc w:val="left"/>
        <w:tblInd w:w="0" w:type="dxa"/>
        <w:tblLayout w:type="fixed"/>
        <w:tblCellMar>
          <w:top w:w="0" w:type="dxa"/>
          <w:left w:w="0" w:type="dxa"/>
          <w:bottom w:w="0" w:type="dxa"/>
          <w:right w:w="0" w:type="dxa"/>
        </w:tblCellMar>
      </w:tblPr>
      <w:tblGrid>
        <w:gridCol w:w="23"/>
        <w:gridCol w:w="170"/>
        <w:gridCol w:w="31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 referral practices of physicians;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733" w:type="dxa"/>
        <w:jc w:val="left"/>
        <w:tblInd w:w="0" w:type="dxa"/>
        <w:tblLayout w:type="fixed"/>
        <w:tblCellMar>
          <w:top w:w="0" w:type="dxa"/>
          <w:left w:w="0" w:type="dxa"/>
          <w:bottom w:w="0" w:type="dxa"/>
          <w:right w:w="0" w:type="dxa"/>
        </w:tblCellMar>
      </w:tblPr>
      <w:tblGrid>
        <w:gridCol w:w="23"/>
        <w:gridCol w:w="170"/>
        <w:gridCol w:w="25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 of the trial protocol;</w:t>
            </w:r>
          </w:p>
        </w:tc>
      </w:tr>
    </w:tbl>
    <w:tbl>
      <w:tblPr>
        <w:tblW w:w="5943" w:type="dxa"/>
        <w:jc w:val="left"/>
        <w:tblInd w:w="0" w:type="dxa"/>
        <w:tblLayout w:type="fixed"/>
        <w:tblCellMar>
          <w:top w:w="0" w:type="dxa"/>
          <w:left w:w="0" w:type="dxa"/>
          <w:bottom w:w="0" w:type="dxa"/>
          <w:right w:w="0" w:type="dxa"/>
        </w:tblCellMar>
      </w:tblPr>
      <w:tblGrid>
        <w:gridCol w:w="23"/>
        <w:gridCol w:w="170"/>
        <w:gridCol w:w="57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existing body of safety and efficacy data for the product candidate;</w:t>
            </w:r>
          </w:p>
        </w:tc>
      </w:tr>
    </w:tbl>
    <w:tbl>
      <w:tblPr>
        <w:tblW w:w="10098" w:type="dxa"/>
        <w:jc w:val="left"/>
        <w:tblInd w:w="0" w:type="dxa"/>
        <w:tblLayout w:type="fixed"/>
        <w:tblCellMar>
          <w:top w:w="0" w:type="dxa"/>
          <w:left w:w="0" w:type="dxa"/>
          <w:bottom w:w="0" w:type="dxa"/>
          <w:right w:w="0" w:type="dxa"/>
        </w:tblCellMar>
      </w:tblPr>
      <w:tblGrid>
        <w:gridCol w:w="23"/>
        <w:gridCol w:w="170"/>
        <w:gridCol w:w="99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nature of competing treatments and ongoing clinical trials of competing therapies for the same indication;</w:t>
            </w:r>
          </w:p>
        </w:tc>
      </w:tr>
    </w:tbl>
    <w:tbl>
      <w:tblPr>
        <w:tblW w:w="3558" w:type="dxa"/>
        <w:jc w:val="left"/>
        <w:tblInd w:w="0" w:type="dxa"/>
        <w:tblLayout w:type="fixed"/>
        <w:tblCellMar>
          <w:top w:w="0" w:type="dxa"/>
          <w:left w:w="0" w:type="dxa"/>
          <w:bottom w:w="0" w:type="dxa"/>
          <w:right w:w="0" w:type="dxa"/>
        </w:tblCellMar>
      </w:tblPr>
      <w:tblGrid>
        <w:gridCol w:w="23"/>
        <w:gridCol w:w="170"/>
        <w:gridCol w:w="33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proximity of patients to clinical sites;</w:t>
            </w:r>
          </w:p>
        </w:tc>
      </w:tr>
    </w:tbl>
    <w:tbl>
      <w:tblPr>
        <w:tblW w:w="5613" w:type="dxa"/>
        <w:jc w:val="left"/>
        <w:tblInd w:w="0" w:type="dxa"/>
        <w:tblLayout w:type="fixed"/>
        <w:tblCellMar>
          <w:top w:w="0" w:type="dxa"/>
          <w:left w:w="0" w:type="dxa"/>
          <w:bottom w:w="0" w:type="dxa"/>
          <w:right w:w="0" w:type="dxa"/>
        </w:tblCellMar>
      </w:tblPr>
      <w:tblGrid>
        <w:gridCol w:w="23"/>
        <w:gridCol w:w="170"/>
        <w:gridCol w:w="54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enrollment of prospective patients by clinical trial sites;</w:t>
            </w:r>
          </w:p>
        </w:tc>
      </w:tr>
    </w:tbl>
    <w:tbl>
      <w:tblPr>
        <w:tblW w:w="2958" w:type="dxa"/>
        <w:jc w:val="left"/>
        <w:tblInd w:w="0" w:type="dxa"/>
        <w:tblLayout w:type="fixed"/>
        <w:tblCellMar>
          <w:top w:w="0" w:type="dxa"/>
          <w:left w:w="0" w:type="dxa"/>
          <w:bottom w:w="0" w:type="dxa"/>
          <w:right w:w="0" w:type="dxa"/>
        </w:tblCellMar>
      </w:tblPr>
      <w:tblGrid>
        <w:gridCol w:w="23"/>
        <w:gridCol w:w="170"/>
        <w:gridCol w:w="27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eligibility criteria for the trial;</w:t>
            </w:r>
          </w:p>
        </w:tc>
      </w:tr>
    </w:tbl>
    <w:tbl>
      <w:tblPr>
        <w:tblW w:w="8133" w:type="dxa"/>
        <w:jc w:val="left"/>
        <w:tblInd w:w="0" w:type="dxa"/>
        <w:tblLayout w:type="fixed"/>
        <w:tblCellMar>
          <w:top w:w="0" w:type="dxa"/>
          <w:left w:w="0" w:type="dxa"/>
          <w:bottom w:w="0" w:type="dxa"/>
          <w:right w:w="0" w:type="dxa"/>
        </w:tblCellMar>
      </w:tblPr>
      <w:tblGrid>
        <w:gridCol w:w="23"/>
        <w:gridCol w:w="170"/>
        <w:gridCol w:w="79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recruit clinical trial investigators with the appropriate competencies and experience;</w:t>
            </w:r>
          </w:p>
        </w:tc>
      </w:tr>
    </w:tbl>
    <w:tbl>
      <w:tblPr>
        <w:tblW w:w="5793" w:type="dxa"/>
        <w:jc w:val="left"/>
        <w:tblInd w:w="0" w:type="dxa"/>
        <w:tblLayout w:type="fixed"/>
        <w:tblCellMar>
          <w:top w:w="0" w:type="dxa"/>
          <w:left w:w="0" w:type="dxa"/>
          <w:bottom w:w="0" w:type="dxa"/>
          <w:right w:w="0" w:type="dxa"/>
        </w:tblCellMar>
      </w:tblPr>
      <w:tblGrid>
        <w:gridCol w:w="23"/>
        <w:gridCol w:w="170"/>
        <w:gridCol w:w="56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adequately monitor patients during and after treatment;</w:t>
            </w:r>
          </w:p>
        </w:tc>
      </w:tr>
    </w:tbl>
    <w:tbl>
      <w:tblPr>
        <w:tblW w:w="6333" w:type="dxa"/>
        <w:jc w:val="left"/>
        <w:tblInd w:w="0" w:type="dxa"/>
        <w:tblLayout w:type="fixed"/>
        <w:tblCellMar>
          <w:top w:w="0" w:type="dxa"/>
          <w:left w:w="0" w:type="dxa"/>
          <w:bottom w:w="0" w:type="dxa"/>
          <w:right w:w="0" w:type="dxa"/>
        </w:tblCellMar>
      </w:tblPr>
      <w:tblGrid>
        <w:gridCol w:w="23"/>
        <w:gridCol w:w="170"/>
        <w:gridCol w:w="61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patients will drop out of a trial before completing all site visits;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or difficulties in enrollment and completion of studies due to travel or quarantine policies, or other factors, including those related to COVID-19 or future pandemics;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clinicians’ and patients’ perceptions as to the potential advantages of the product candidate being studied in relation to other available approved or investigational therapies, including any products that may be approved for, or any product candidates under investigation for, the indications we are investigating.</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Furthermore, our efforts to build relationships with patient communities may not succeed, which could result in delays in patient enrollment in our clinical trials. In addition, any negative results we may report in clinical trials of our product candidate or any negative results a competitor may report in clinical trials of the competitor’s product candidate in the same class, may make it difficult or impossible to recruit and retain patients in other clinical trials of our product candidate. Delays or failures in planned patient enrollment or retention may result in increased costs, program delays or both, which could have a harmful effect on our ability to develop our product candidates, or could render further development impossible. For example, the impact of public health epidemics, such as COVID-19, may delay or prevent patients from enrolling or from receiving treatment in accordance with the protocol and the required timelines, which could delay our clinical trials, or prevent us or our partners from completing our clinical trials at all, and harm our ability to obtain approval for such product candidate. Further, if patients drop out of our clinical trials, miss scheduled doses or follow-up visits, or otherwise fail to follow clinical trial protocols for any reason, the integrity of data from our clinical trials may be compromised or not accepted by the FDA or applicable foreign authorities, which would represent a significant setback for the applicable program. In addition, we rely on, and will continue to rely on, CROs and clinical trial sites to ensure proper and timely conduct of our clinical trials and future clinical trials and, while we intend to enter into agreements governing their services, we will be limited in our ability to compel their actual performance. Such delays or failures could adversely affect our business, operating results and prospects.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regulatory approval for the sale of our product candidates. Furthermore, even if we are able to enroll a sufficient number of patients for our clinical trials, we may have difficulty maintaining enrollment of such patients in our clinical trials.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furmonertinib or any future product candidates could be associated with adverse side effects, adverse events or other safety risks, which could delay or preclude regulatory approval, cause us to suspend or discontinue clinical trials, abandon a product candidate, limit the commercial profile of an approved drug label or result in other significant negative consequences that could severely harm our business, prospects, operating results and financial condition.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is the case with biopharmaceuticals generally, adverse side effects associated with the use of furmonertinib have been observed and it is likely there may be adverse side effects with any future product candidates we may develop. Results of our ongoing and future clinical trials of furmonertinib or other product candidates could reveal a high and unacceptable severity and prevalence of expected or unexpected side effects or unexpected characteristics. Undesirable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side effects caused by our product candidates when used alone or in combination with approved or investigational drugs could cause us or regulatory authorities to interrupt, delay or partially or completely halt clinical trials and could result in a restrictive prescription drug label, post-approval requirements, or lead to the delay of the planned clinical development, or the delay or denial of regulatory approval by the FDA or comparable foreign regulatory authorities. Drug-related side effects could also affect patient recruitment or the ability of enrolled patients to complete the trial or result in potential product liability claims. Any of these occurrences could severely harm our business, prospects, operating results and financial condition. The severity of adverse events (AEs) is described by grade on a scale of increasing severity from Grade 1 (mild), Grade 2 (moderate), Grade 3 (severe), Grade 4 (life-threatening) and Grade 5 (death). Serious adverse events (SAEs) are adverse events that are life threatening, require or prolong hospitalization, result in persistent or significant disability/incapacity, result in congenital anomalies or birth defects, or any other medical event which investigators judge to represent significant hazards. It should be noted that “Severe” and “Serious” are not synonymous as not all AEs that are severe (Grade 3) meet the criteria for SAE while Grade 4 (life-threatening) and Grade 5 (death) AEs are SAEs. AEs and SAEs that are determined to be related to the drug(s) being tested are reported as TRAEs and TRSAEs. TRAEs leading to discontinuation of study drug(s) are commonly reported to indicate the manageability of treatment-related toxicities. In the FURLONG trial, TRSAEs were observed in ten out of 178 treated patients and six out of 178 patients discontinued participation in the trial as a result of TRAEs. In the FAVOUR trial, as of the June 15, 2023 interim data cut-off date, TRSAEs were observed in six out of 86 of the treated patients and two out of 86 patients discontinued participation in the trial as a result of TRAEs. The most frequent TRAEs in the FAVOUR trial as of June 15, 2023 were diarrhea, anemia, aspartate aminotransferase increased, alanine aminotransferase increased, blood creatinine increased, mouth ulceration, rash, electrocardiogram QT prolonged, white blood cell count decreased, decreased appetite, weight decreased, skin fissures, and paronychia. Isolated cases of Grade ≥3 reversible hepatic transaminases accompanied with increased total bilirubin have been observed at furmonertinib dose levels higher than 80 mg daily. In the FURTHER trial, based on data as of June 15, 2023, TRSAEs were observed in four out of 54 of the treated patients and three out of 54 patients discontinued participation in the trial as a result of TRAEs. The most common TRSAEs (defined as ≥1%), across the FURLONG, FAVOUR and FURTHER trials were diarrhea, 1.9% (six out of 318), and liver enzyme elevation, 1.9% (six out of 318). The discontinuation rate due to TRAEs across the FURLONG, FAVOUR and FURTHER trials was 3.5% (eleven out of 318), including one patient who discontinued due to diarrhea and one patient who discontinued due to liver enzyme elevation. See “Business — Furmonertinib: Our Lead Development Candidate”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Moreover, if furmonertinib or any future product candidates are associated with undesirable side effects in clinical trials or demonstrate characteristics that are unexpected in preclinical studies or clinical trials when used alone or in combination with other approved products or investigational new drugs, we may elect to interrupt, delay, or abandon their development in whole or in part or limit their development to more narrow uses, lower doses, or subpopulations in which the undesirable side effects or other characteristics are less prevalent, less severe or more acceptable from a risk-benefit perspective, which may limit the potential approval and commercial expectations for the product candidate if approved. We may also be required to modify our development and clinical trial plans based on findings in our ongoing clinical trials or based on the findings of our competitors’ ongoing clinical trials of molecules in the same class. Many compounds that showed promise initially have later been found to cause side effects that prevented further development of the compounds.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furmonertinib or any future product candidates receives marketing approval, and we or others later identify undesirable side effects caused by such product, a number of potentially significant negative consequences could result, including:</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withdraw, suspend or limit approvals of such product, or seek an injunction against its manufacture or distribution;</w:t>
            </w:r>
          </w:p>
        </w:tc>
      </w:tr>
    </w:tbl>
    <w:tbl>
      <w:tblPr>
        <w:tblW w:w="8148" w:type="dxa"/>
        <w:jc w:val="left"/>
        <w:tblInd w:w="0" w:type="dxa"/>
        <w:tblLayout w:type="fixed"/>
        <w:tblCellMar>
          <w:top w:w="0" w:type="dxa"/>
          <w:left w:w="0" w:type="dxa"/>
          <w:bottom w:w="0" w:type="dxa"/>
          <w:right w:w="0" w:type="dxa"/>
        </w:tblCellMar>
      </w:tblPr>
      <w:tblGrid>
        <w:gridCol w:w="23"/>
        <w:gridCol w:w="170"/>
        <w:gridCol w:w="79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recall a product or change the way such product is administered to patients;</w:t>
            </w:r>
          </w:p>
        </w:tc>
      </w:tr>
    </w:tbl>
    <w:tbl>
      <w:tblPr>
        <w:tblW w:w="9993" w:type="dxa"/>
        <w:jc w:val="left"/>
        <w:tblInd w:w="0" w:type="dxa"/>
        <w:tblLayout w:type="fixed"/>
        <w:tblCellMar>
          <w:top w:w="0" w:type="dxa"/>
          <w:left w:w="0" w:type="dxa"/>
          <w:bottom w:w="0" w:type="dxa"/>
          <w:right w:w="0" w:type="dxa"/>
        </w:tblCellMar>
      </w:tblPr>
      <w:tblGrid>
        <w:gridCol w:w="23"/>
        <w:gridCol w:w="170"/>
        <w:gridCol w:w="98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require additional warnings on the label, such as a “black box” warning or a contraindication;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change the way a product is distributed or administered, conduct additional clinical trials or conduct post-marketing studies or surveillance studies;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subject to fines, injunctions, or the imposition of criminal or civil penalties, or be sued and held liable for harm caused to subjects or patients;</w:t>
            </w:r>
          </w:p>
        </w:tc>
      </w:tr>
    </w:tbl>
    <w:tbl>
      <w:tblPr>
        <w:tblW w:w="8133" w:type="dxa"/>
        <w:jc w:val="left"/>
        <w:tblInd w:w="0" w:type="dxa"/>
        <w:tblLayout w:type="fixed"/>
        <w:tblCellMar>
          <w:top w:w="0" w:type="dxa"/>
          <w:left w:w="0" w:type="dxa"/>
          <w:bottom w:w="0" w:type="dxa"/>
          <w:right w:w="0" w:type="dxa"/>
        </w:tblCellMar>
      </w:tblPr>
      <w:tblGrid>
        <w:gridCol w:w="23"/>
        <w:gridCol w:w="170"/>
        <w:gridCol w:w="79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the product may decrease significantly or the product could become less competitive; and</w:t>
            </w:r>
          </w:p>
        </w:tc>
      </w:tr>
    </w:tbl>
    <w:tbl>
      <w:tblPr>
        <w:tblW w:w="2298" w:type="dxa"/>
        <w:jc w:val="left"/>
        <w:tblInd w:w="0" w:type="dxa"/>
        <w:tblLayout w:type="fixed"/>
        <w:tblCellMar>
          <w:top w:w="0" w:type="dxa"/>
          <w:left w:w="0" w:type="dxa"/>
          <w:bottom w:w="0" w:type="dxa"/>
          <w:right w:w="0" w:type="dxa"/>
        </w:tblCellMar>
      </w:tblPr>
      <w:tblGrid>
        <w:gridCol w:w="23"/>
        <w:gridCol w:w="170"/>
        <w:gridCol w:w="21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reputation may suffer.</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Any of these events could diminish the usage or otherwise limit the commercial success of our product candidates and prevent us from achieving or maintaining market acceptance of the particular product candidate, if approved, and could significantly harm our business, results of operations and prospects.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successful in our efforts to investigate furmonertinib in additional indications. We may expend our limited resources to pursue, acquire or license a new product candidate or a particular indication for furmonertinib and fail to capitalize on product candidates or indications that may be more profitable or for which there is a greater likelihood of success.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Because we have limited financial and managerial resources, we focus on specific indications for furmonertinib to treat NSCLC. We may fail to generate additional clinical development opportunities for furmonertinib for a number of reasons, including that furmonertinib may, in indications we are seeking or may seek in the future, on further study, be shown to have harmful side effects, limited to no efficacy, or other characteristics that suggest it is unlikely to receive marketing approval and achieve market acceptance in such additional potential indications. Our resource allocation and other decisions may cause us to fail to identify and capitalize on viable potential product candidates or additional indications for furmonertinib. Our spending on current and future research and development programs for new product candidates or additional indications for existing product candidates may not yield any commercially viable product candidates or indications. If we do not accurately evaluate the commercial potential or target market for a particular indication or product candidate, we may fail to develop such product candidate or indication, we may relinquish valuable rights to that product candidate through collaborations, license agreements and other similar arrangements in cases where it would have been more advantageous for us to retain sole development and commercialization rights to such indication or product candidate, or we may negotiate less advantageous terms for any such arrangements than is optimal.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 For example, if we are unable to identify programs that ultimately result in approved products, we may spend material amounts of our capital and other resources evaluating, acquiring and developing products that ultimately do not provide a return on our investment.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currently developing and may in the future develop our product candidates in combination with other therapies, and safety or supply issues with combination-use products may delay or prevent development and approval of our product candidates.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currently developing and may in the future develop our product candidates in combination with one or more cancer therapies. For example, we are evaluating use of furmonertinib in combination with ICP-189, a SHP2 inhibitor, in collaboration with InnoCare. Even if any product candidate we develop were to receive marketing approval or be commercialized for use in combination with other existing therapies, we would continue to be subject to the risks that the FDA or similar regulatory authorities outside of the United States could revoke approval of the therapy used in combination with our product candidates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for indications other than cancer. Similarly, if the therapies we use in combination with our product candidates are replaced as the standard of care for the indications we choose for any of our product candidates, the FDA or similar regulatory authorities outside of the United States may require us to conduct additional clinical trials. The occurrence of any of these risks could result in our own products, if approved, being removed from the market or being less successful commercially.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may also evaluate our product candidates in combination with one or more cancer therapies that have not yet been approved for marketing by the FDA or a similar regulatory authority outside of the United States. We may be unable to effectively identify and collaborate with third parties for the evaluation of our product candidates in combination with their therapies. We will not be able to market and sell any product candidate we develop in combination with any such unapproved cancer therapies that do not ultimately obtain marketing approval. The regulations prohibiting the promotion of products for unapproved uses are complex and subject to substantial interpretation by the FDA and other government agencies. In addition, there are additional risks similar to the ones described for our products currently in development and clinical trials that result from the fact that such cancer therapies are unapproved, such as the potential for serious adverse effects, delay in their clinical trials and lack of FDA approval.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the FDA or a similar regulatory authority outside of the United States does not approve these other drugs or revokes approval of, or if safety, efficacy, manufacturing, or supply issues arise with, the drugs we choose to evaluate in combination with any product candidate we develop, we may be unable to obtain approval of or market such product.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Several of the ongoing clinical trials for our lead product candidate, furmonertinib, are being conducted outside the United States, including in China. However, the FDA and other foreign equivalents may not accept data from such trials, in which case our development plans will be delayed, which could materially harm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Several of the ongoing clinical trials for our lead product candidate, furmonertinib, are being conducted both inside and outside of the United States, including in China. Specifically, we are enrolling patients globally in our FURVENT and FURTHER trials. Furthermore, our partner Allist is conducting the FAVOUR trial in China and our partner InnoCare is conducting the SHP2i combination trial in China.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In February 2022, the FDA publicly rebuked an oncology product sponsor for submitting a marketing application with Phase III clinical data solely from China. Additionally, the FDA’s clinical trial requirements, including sufficient size of patient populations and statistical powering, must be met.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Many foreign regulatory authorities have similar approval requirements. There can be no assurance that the FDA or any comparable foreign regulatory authority will accept data from trials conducted outside of the U.S. or the applicable jurisdiction, including any trials conducted in China.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 In addition, such foreign trials would be subject to the applicable local laws of the foreign jurisdictions where the trials are conducted, which may increase costs or time required to complete the clinical trial.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Conducting clinical trials outside the United States, particularly in China, also exposes us to additional risks, including risks associated with:</w:t>
      </w:r>
    </w:p>
    <w:tbl>
      <w:tblPr>
        <w:tblW w:w="3723" w:type="dxa"/>
        <w:jc w:val="left"/>
        <w:tblInd w:w="0" w:type="dxa"/>
        <w:tblLayout w:type="fixed"/>
        <w:tblCellMar>
          <w:top w:w="0" w:type="dxa"/>
          <w:left w:w="0" w:type="dxa"/>
          <w:bottom w:w="0" w:type="dxa"/>
          <w:right w:w="0" w:type="dxa"/>
        </w:tblCellMar>
      </w:tblPr>
      <w:tblGrid>
        <w:gridCol w:w="23"/>
        <w:gridCol w:w="170"/>
        <w:gridCol w:w="35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foreign regulatory requirements;</w:t>
            </w:r>
          </w:p>
        </w:tc>
      </w:tr>
    </w:tbl>
    <w:tbl>
      <w:tblPr>
        <w:tblW w:w="2703" w:type="dxa"/>
        <w:jc w:val="left"/>
        <w:tblInd w:w="0" w:type="dxa"/>
        <w:tblLayout w:type="fixed"/>
        <w:tblCellMar>
          <w:top w:w="0" w:type="dxa"/>
          <w:left w:w="0" w:type="dxa"/>
          <w:bottom w:w="0" w:type="dxa"/>
          <w:right w:w="0" w:type="dxa"/>
        </w:tblCellMar>
      </w:tblPr>
      <w:tblGrid>
        <w:gridCol w:w="23"/>
        <w:gridCol w:w="170"/>
        <w:gridCol w:w="25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fluctuations;</w:t>
            </w:r>
          </w:p>
        </w:tc>
      </w:tr>
    </w:tbl>
    <w:tbl>
      <w:tblPr>
        <w:tblW w:w="7143" w:type="dxa"/>
        <w:jc w:val="left"/>
        <w:tblInd w:w="0" w:type="dxa"/>
        <w:tblLayout w:type="fixed"/>
        <w:tblCellMar>
          <w:top w:w="0" w:type="dxa"/>
          <w:left w:w="0" w:type="dxa"/>
          <w:bottom w:w="0" w:type="dxa"/>
          <w:right w:w="0" w:type="dxa"/>
        </w:tblCellMar>
      </w:tblPr>
      <w:tblGrid>
        <w:gridCol w:w="23"/>
        <w:gridCol w:w="170"/>
        <w:gridCol w:w="69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foreign manufacturing, customs, shipment and storage requirements;</w:t>
            </w:r>
          </w:p>
        </w:tc>
      </w:tr>
    </w:tbl>
    <w:tbl>
      <w:tblPr>
        <w:tblW w:w="7023" w:type="dxa"/>
        <w:jc w:val="left"/>
        <w:tblInd w:w="0" w:type="dxa"/>
        <w:tblLayout w:type="fixed"/>
        <w:tblCellMar>
          <w:top w:w="0" w:type="dxa"/>
          <w:left w:w="0" w:type="dxa"/>
          <w:bottom w:w="0" w:type="dxa"/>
          <w:right w:w="0" w:type="dxa"/>
        </w:tblCellMar>
      </w:tblPr>
      <w:tblGrid>
        <w:gridCol w:w="23"/>
        <w:gridCol w:w="170"/>
        <w:gridCol w:w="68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inconsistent standards for reporting and evaluating clinical data and adverse events;</w:t>
            </w:r>
          </w:p>
        </w:tc>
      </w:tr>
    </w:tbl>
    <w:tbl>
      <w:tblPr>
        <w:tblW w:w="7263" w:type="dxa"/>
        <w:jc w:val="left"/>
        <w:tblInd w:w="0" w:type="dxa"/>
        <w:tblLayout w:type="fixed"/>
        <w:tblCellMar>
          <w:top w:w="0" w:type="dxa"/>
          <w:left w:w="0" w:type="dxa"/>
          <w:bottom w:w="0" w:type="dxa"/>
          <w:right w:w="0" w:type="dxa"/>
        </w:tblCellMar>
      </w:tblPr>
      <w:tblGrid>
        <w:gridCol w:w="23"/>
        <w:gridCol w:w="170"/>
        <w:gridCol w:w="70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COVID-19 or any other pandemic or epidemic or any future public health emergencies;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808" w:type="dxa"/>
        <w:jc w:val="left"/>
        <w:tblInd w:w="0" w:type="dxa"/>
        <w:tblLayout w:type="fixed"/>
        <w:tblCellMar>
          <w:top w:w="0" w:type="dxa"/>
          <w:left w:w="0" w:type="dxa"/>
          <w:bottom w:w="0" w:type="dxa"/>
          <w:right w:w="0" w:type="dxa"/>
        </w:tblCellMar>
      </w:tblPr>
      <w:tblGrid>
        <w:gridCol w:w="23"/>
        <w:gridCol w:w="170"/>
        <w:gridCol w:w="56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diminished protection of intellectual property in some countries;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instability, civil unrest, war or similar events that may jeopardize our ability to commence, conduct or complete a clinical trial and evaluate resulting data.</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Interim, topline and preliminary data from our clinical trials and nonclinical studies that we announce or publish from time to time may change as more patient data become available and are subject to audit and verification procedures that could result in material changes in the final data.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From time to time, we may publicly disclose interim, topline or preliminary data from our clinical trials and preclinical studies,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Interim data from clinical trials that we may complete are further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 Further, disclosure of interim data by us or by our competitors could result in volatility in the price of our common stock.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Moreover,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the interim, topline, or preliminary data that we report differ from actual results, or if others, including regulatory authorities, disagree with the conclusions reached, our ability to obtain approval for, and commercialize, furmonertinib and any future product candidates may be harmed, which could harm our business, operating results, prospects or financial condition.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clinical development, manufacturing, labeling, storage, record-keeping, advertising, promotion, import, export, marketing and distribution of our product candidates are subject to extensive regulation by the FDA in the United States and by comparable foreign regulatory authorities in foreign markets. We are not permitted to market our product candidates in the United States until we receive regulatory approval of an NDA from the FDA. The process of obtaining such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and comparable regulatory authorities have substantial discretion in the approval process, including the ability to delay, limit or deny approval of a product candidate for many reasons. Despite the time and expense invested in clinical development of product candidates, regulatory approval of a product candidate is never guaranteed. Of the large number of drugs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development, only a small percentage successfully complete the FDA or foreign regulatory approval processes and are commercialized.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Prior to obtaining approval to commercialize a product candidate in the United States or abroad,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available nonclinical or clinical data support the safety or efficacy of our product candidates, such data may not be sufficient to obtain approval from the FDA and comparable foreign regulatory authorities. The FDA or comparable foreign regulatory authorities, as the case may be, may also require us to conduct additional preclinical studies or clinical trials for our product candidates either prior to or post-approval, or may object to elements of our clinical development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FDA or comparable foreign regulatory authorities can delay, limit or deny approval of a product candidate for many reasons, including:</w:t>
      </w:r>
    </w:p>
    <w:tbl>
      <w:tblPr>
        <w:tblW w:w="6663" w:type="dxa"/>
        <w:jc w:val="left"/>
        <w:tblInd w:w="0" w:type="dxa"/>
        <w:tblLayout w:type="fixed"/>
        <w:tblCellMar>
          <w:top w:w="0" w:type="dxa"/>
          <w:left w:w="0" w:type="dxa"/>
          <w:bottom w:w="0" w:type="dxa"/>
          <w:right w:w="0" w:type="dxa"/>
        </w:tblCellMar>
      </w:tblPr>
      <w:tblGrid>
        <w:gridCol w:w="23"/>
        <w:gridCol w:w="170"/>
        <w:gridCol w:w="64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authorities may disagree with the design or execution of our clinical trials;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or ambiguous results from our clinical trials or results may not meet the level of statistical significance required by the FDA or comparable foreign regulatory agencies for approval;</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serious and unexpected drug-related side effects may be experienced by participants in our clinical trials or by individuals using drugs similar to our product candidates;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population studied in the clinical trial may not be sufficiently broad or representative to assure safety in the full population for which we seek approval;</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authorities may not accept clinical data from trials that are conducted at clinical facilities or in countries where the standard of care is potentially different from that of their own country;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demonstrate to such authorities that a product candidate’s clinical and other benefits outweigh its safety risks;</w:t>
            </w:r>
          </w:p>
        </w:tc>
      </w:tr>
    </w:tbl>
    <w:tbl>
      <w:tblPr>
        <w:tblW w:w="8418" w:type="dxa"/>
        <w:jc w:val="left"/>
        <w:tblInd w:w="0" w:type="dxa"/>
        <w:tblLayout w:type="fixed"/>
        <w:tblCellMar>
          <w:top w:w="0" w:type="dxa"/>
          <w:left w:w="0" w:type="dxa"/>
          <w:bottom w:w="0" w:type="dxa"/>
          <w:right w:w="0" w:type="dxa"/>
        </w:tblCellMar>
      </w:tblPr>
      <w:tblGrid>
        <w:gridCol w:w="23"/>
        <w:gridCol w:w="170"/>
        <w:gridCol w:w="82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authorities may disagree with our interpretation of data from preclinical studies or clinical trials;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authorities may not agree that the data collected from clinical trials of our product candidates are acceptable or sufficient to support the submission of an NDA or other submission or to obtain regulatory approval in the United States or elsewhere, and such authorities may impose requirements for additional preclinical studies or clinical trials;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authorities may disagree with us regarding the formulation, labeling and/or the product specifications of our product candidates;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may be granted only for indications that are significantly more limited than those sought by us, and/or may include significant restrictions on distribution and use;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authorities may find deficiencies in the manufacturing processes or facilities of the third-party manufacturers with which we contract for clinical and commercial supplies; or</w:t>
            </w:r>
          </w:p>
        </w:tc>
      </w:tr>
    </w:tbl>
    <w:tbl>
      <w:tblPr>
        <w:tblW w:w="9813" w:type="dxa"/>
        <w:jc w:val="left"/>
        <w:tblInd w:w="0" w:type="dxa"/>
        <w:tblLayout w:type="fixed"/>
        <w:tblCellMar>
          <w:top w:w="0" w:type="dxa"/>
          <w:left w:w="0" w:type="dxa"/>
          <w:bottom w:w="0" w:type="dxa"/>
          <w:right w:w="0" w:type="dxa"/>
        </w:tblCellMar>
      </w:tblPr>
      <w:tblGrid>
        <w:gridCol w:w="23"/>
        <w:gridCol w:w="170"/>
        <w:gridCol w:w="96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authorities may not accept a submission due to, among other reasons, the content or formatting of the submission.</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With respect to foreign markets, approval procedures vary among countries and, in addition to the foregoing risks, may involve additional product testing, administrative review periods and agreements with pricing authorities.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Even if we eventually complete clinical trials and receive approval of an NDA or comparable foreign marketing application for our product candidates, the FDA or comparable foreign regulatory authority may grant approval contingent on the performance of costly additional clinical trials and/or the implementation of a Risk Evaluation and Mitigation Strategy (REMS), which may be required because the FDA believes it is necessary to ensure safe use of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product after approval. Any delay in obtaining, or inability to obtain, applicable regulatory approval would delay or prevent commercialization of that product candidate and would materially adversely impact our business and prospects.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Obtaining and maintaining marketing approval of our product candidates in one jurisdiction does not mean that we will be successful in obtaining marketing approval of our product candidates in other jurisdictions.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Obtaining and maintaining marketing approval of our product candidates in one jurisdiction does not guarantee that we will be able to obtain or maintain marketing approval in any other jurisdiction. For example, Furmonertinib has been approved by the National Medical Products Administration (NMPA) of China and is currently commercially distributed in China by Allist as a first-line treatment of locally advanced or metastatic NSCLC patients with classical EGFRm as well as pre-treated patients with T790M mutations. Even if the NMPA or a foreign regulatory authority grants marketing approval of one of our product candidates, it does not mean that the FDA or comparable regulatory authorities in other jurisdictions must also approve the manufacturing, marketing and promotion and reimbursement of the product candidate in such countries, including the United States. However, a failure or delay in obtaining marketing approval in one jurisdiction may negatively impact the marketing approval process in others. Approval procedures vary among jurisdictions and can involve requirements and administrative review periods different from those in the United States, including additional nonclinical studies or clinical trials because clinical trials conducted in one jurisdiction may not be accepted by regulatory authorities in other jurisdictions. In many jurisdictions outside the United States, a product candidate also must be approved for reimbursement before it can be offered for sale in that jurisdiction. In some cases, the price that we intend to charge for our future commercial products is also subject to approval.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Obtaining foreign marketing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product candidates will be harmed, which would adversely affect our business, prospects,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 Breakthrough Therapy Designation by the FDA may not lead to a faster development or regulatory review or approval process, and does not increase the likelihood that our product candidates will receive marketing approval.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received Breakthrough Therapy Designation for furmonertinib for the treatment of first-line patients with locally advanced or metastatic EGFRm NSCLC with exon 20 insertion mutations from the FDA in October 2023, and we may seek such designation in the future for other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can help to identify the most efficient path for development. Drugs designated as Breakthrough Therapies are also eligible for accelerated approval.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FDA has discretion to determine whether the criteria for a Breakthrough Therapy has been met and whether to grant a Breakthrough Therapy Designation to an investigational product. Accordingly, even if we believe, after completing early clinical trials, that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product candidates considered for approval under conventional FDA procedures and does not change the standard for approval by the FDA. In addition, even after granting Breakthrough Therapy Designation to our product candidates, the FDA may later decide that such product candidates no longer meet the conditions for qualification and withdraw such designation.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Furmonertinib has been granted Fast Track Designation by the FDA for the treatment of patients with NSCLC harboring activating EGFR or HER2 kinase domain mutations, including exon 20 insertion mutations and we may seek Fast Track Designation for other product candidates in the future. Even if we apply for Fast Track Designation in the future, we might not receive such designation, and even if received, such designation may not actually lead to a faster development or regulatory review or approval process. Further, such designation could be withdrawn by the FDA.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a drug candidate is intended or the treatment of a serious or life-threatening disease or condition and nonclinical or clinical data demonstrate the potential to address an unmet medical need for this disease or condition, a product sponsor may request a Fast Track designation from the FDA. Fast Track designation applies to the combination of the product candidate and the specific indication for which it is being studied. The sponsor of a Fast Track designated product candidate has opportunities for more frequent interactions with the applicable FDA review team during product development and, once an NDA is submitted, the application may be eligible for priority review. An NDA submitted for a Fast Track designated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application.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we seek Fast Track designation from the FDA, we may not receive it and even if we receive such designation, it does not ensure that we will receive marketing approval or that approval will be granted in any particular time frame. Many product candidates that have received Fast Track designation have ultimately failed to obtain approval. We also may not experience a faster development or regulatory review or approval process with Fast Track designation compared to conventional FDA procedures. In addition, the FDA may withdraw Fast Track designation if it is no longer supported by data from our clinical development program. Fast Track designation alone also does not guarantee qualification for the FDA’s priority review procedures for marketing applications. In January 2022, the FDA granted Fast Track designation to furmonertinib for the treatment of patients with NSCLC harboring activating EGFR or HER2 kinase domain mutations, including exon 20 insertion mutations.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seek to utilize the FDA’s accelerated approval pathway for certain furmonertinib indications and may pursue this pathway for future therapeutic candidates. There is no assurance that, upon receipt of such future marketing application, if any, the FDA will agree to file it and conduct a substantive review of the data or that FDA will agree that we have met the substantial evidence of effectiveness standard necessary to support marketing approval. If unable to obtain approval under the accelerated approval pathway, we may be required to conduct additional nonclinical studies or clinical trials beyond those that we currently contemplate for certain furmonertinib indications, which could increase the expense of obtaining, and delay the receipt of, necessary marketing approvals. Even if we receive accelerated approval from the FDA for certain furmonertinib indications, or for other future therapeutic candidates for which the accelerated approval pathway may be appropriate, if our confirmatory trials do not verify clinical benefit, or if we do not comply with rigorous post-marketing requirements, the FDA may seek to withdraw accelerated approval.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previously announced that, based on discussions with the FDA, there is potential to pursue an accelerated approval for furmonertinib for the treatment of NSCLC patients diagnosed with PACC mutations using ORR as the surrogate endpoint.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Under the accelerated approval provisions in the FDC Act and the FDA’s implementing regulations, the FDA may grant accelerated approval to a therapeutic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or on a clinical endpoint that can be measured earlier than irreversible morbidity or mortality, or other clinical benefit, taking into account the severity, rarity, or prevalence of the condition and the availability or lack of alternative treatments.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morbidity or mortality that is reasonably likely to predict an effect on irreversible morbidity, mortality, or other clinical benefit.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FDA may not accept any future application for accelerated approval for furmonertinib in NSCLC patients diagnosed with PACC mutations, may not grant marketing approval on a timely basis, or may not grant approval at all. The FDA or foreign regulatory authorities could require us to conduct further studies prior to considering our application or granting approval of any type. We might not be able to fulfill the FDA’s requirements in a timely manner or at all, which would cause delays, or approval might not be granted because our submission is deemed incomplete by the FDA. A failure to obtain accelerated approval or any other form of expedited development, review, or approval for furmonertinib would result in a longer time period to commercialization of furmonertinib, would increase the cost of development of furmonertinib and could harm our competitive position in the marketplace. Following high-profile voluntary withdrawals of accelerated approval indications by several oncology sponsors as a result of post-approval trials failing to verify their drug products’ clinical benefit for those indications, which resulted in December 2022 amendments by Congress to the FDA’s authorities related to accelerated approval, public scrutiny of the accelerated approval pathway is likely to continue and may lead to further legislative and/or administrative changes in the future.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Moreover, even if we receive accelerated approval from the FDA for certain furmonertinib indications, we will be subject to rigorous post-marketing requirements, including the completion of one or more confirmatory post-approval clinical trials to verify the clinical benefit of the product in that patient population, and submission to the FDA of all promotional materials for review prior to their dissemination. The FDA could also seek to withdraw accelerated approval for multiple reasons, including if we fail to conduct any required post-approval study, a post-approval study does not confirm the predicted clinical benefit, other evidence shows that the product is not safe or effective under the conditions of use, or we disseminate promotional materials that are found by the FDA to be false and misleading. Products that receive accelerated approval may be subject to expedited withdrawal procedures if post-approval studies fail to verify the predicted clinical benefit. In addition, as part of the Consolidated Appropriations Act for 2023, Congress provided FDA new statutory authorities to mitigate potential risks to patients from continued marketing of ineffective drugs previously granted accelerated approval. Under these amendments to the FDC Act, the agency may require a sponsor of a product seeking accelerated approval to have a confirmatory trial underway prior to such approval being granted. At this time, it has not been fully determined how a future confirmatory post-approval clinical trial for furmonertinib in NSCLC patients diagnosed with PACC mutations would be designed or implemented, whether more than one trial will become necessary, or what the FDA would expect with respect to the timing of initiating such a confirmatory clinical trial for furmonertinib, should it be granted accelerated approval. If we fail to receive accelerated approval for furmonertinib in this patient population or fail to comply with the post-marketing requirements, our business, results of operations, prospects and the price of our common stock may be materially and adversely affected.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Disruptions at the FDA and other government agencies caused by funding shortages or global health concerns could hinder their ability to hire, retain or deploy key leadership and other personnel, or otherwise prevent new or modified products from being developed, reviewed, approved or commercialized in a timely manner or at all, which could negatively impact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ability of the FDA and other government agencies to review and approve new medical products can be affected by a variety of factors, including government budget and funding levels, statutory, regulatory and policy changes, a government agency’s ability to hire and retain key personnel and accept the payment of user fees, and other events that may otherwise affect the government agency’s ability to perform routine functions. Average review times at the FDA and other government agencies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or modifications to approved drugs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during that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Separately, in response to COVID-19, the FDA postponed most inspections of domestic and foreign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as it adapts to COVID-19, and any resurgence of the virus or emergence of new variants may lead to further inspectional delays. Regulatory authorities outside the United States may adopt similar policy measures in response to COVID-19. If a prolonged government shutdown or slowdown occurs, or if global health concerns similar to COVID-19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do not achieve our projected development and commercialization goals in the timeframes we announce and expect, the commercialization of our product candidates may be delayed and our business will be harmed.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regulatory submissions or commercialization objectives. From time to time, we may publicly announce the expected timing of some of these milestones, such as the completion of an ongoing clinical trial, the initiation of other clinical trials, receipt of regulatory approval or the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tbl>
      <w:tblPr>
        <w:tblW w:w="5673" w:type="dxa"/>
        <w:jc w:val="left"/>
        <w:tblInd w:w="0" w:type="dxa"/>
        <w:tblLayout w:type="fixed"/>
        <w:tblCellMar>
          <w:top w:w="0" w:type="dxa"/>
          <w:left w:w="0" w:type="dxa"/>
          <w:bottom w:w="0" w:type="dxa"/>
          <w:right w:w="0" w:type="dxa"/>
        </w:tblCellMar>
      </w:tblPr>
      <w:tblGrid>
        <w:gridCol w:w="23"/>
        <w:gridCol w:w="170"/>
        <w:gridCol w:w="54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available capital resources or capital constraints we experience;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of progress, costs and results of our clinical trials and research and development activities, including the extent of scheduling conflicts with participating clinicians and collaborators;</w:t>
            </w:r>
          </w:p>
        </w:tc>
      </w:tr>
    </w:tbl>
    <w:tbl>
      <w:tblPr>
        <w:tblW w:w="6933" w:type="dxa"/>
        <w:jc w:val="left"/>
        <w:tblInd w:w="0" w:type="dxa"/>
        <w:tblLayout w:type="fixed"/>
        <w:tblCellMar>
          <w:top w:w="0" w:type="dxa"/>
          <w:left w:w="0" w:type="dxa"/>
          <w:bottom w:w="0" w:type="dxa"/>
          <w:right w:w="0" w:type="dxa"/>
        </w:tblCellMar>
      </w:tblPr>
      <w:tblGrid>
        <w:gridCol w:w="23"/>
        <w:gridCol w:w="170"/>
        <w:gridCol w:w="67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and enroll patients who meet clinical trial eligibility criteria;</w:t>
            </w:r>
          </w:p>
        </w:tc>
      </w:tr>
    </w:tbl>
    <w:tbl>
      <w:tblPr>
        <w:tblW w:w="9198" w:type="dxa"/>
        <w:jc w:val="left"/>
        <w:tblInd w:w="0" w:type="dxa"/>
        <w:tblLayout w:type="fixed"/>
        <w:tblCellMar>
          <w:top w:w="0" w:type="dxa"/>
          <w:left w:w="0" w:type="dxa"/>
          <w:bottom w:w="0" w:type="dxa"/>
          <w:right w:w="0" w:type="dxa"/>
        </w:tblCellMar>
      </w:tblPr>
      <w:tblGrid>
        <w:gridCol w:w="23"/>
        <w:gridCol w:w="170"/>
        <w:gridCol w:w="90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receipt of authorizations by the FDA and comparable foreign regulatory authorities, and the timing thereof;</w:t>
            </w:r>
          </w:p>
        </w:tc>
      </w:tr>
    </w:tbl>
    <w:tbl>
      <w:tblPr>
        <w:tblW w:w="4488" w:type="dxa"/>
        <w:jc w:val="left"/>
        <w:tblInd w:w="0" w:type="dxa"/>
        <w:tblLayout w:type="fixed"/>
        <w:tblCellMar>
          <w:top w:w="0" w:type="dxa"/>
          <w:left w:w="0" w:type="dxa"/>
          <w:bottom w:w="0" w:type="dxa"/>
          <w:right w:w="0" w:type="dxa"/>
        </w:tblCellMar>
      </w:tblPr>
      <w:tblGrid>
        <w:gridCol w:w="23"/>
        <w:gridCol w:w="170"/>
        <w:gridCol w:w="42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actions, decisions or rules issued by regulators;</w:t>
            </w:r>
          </w:p>
        </w:tc>
      </w:tr>
    </w:tbl>
    <w:tbl>
      <w:tblPr>
        <w:tblW w:w="7983" w:type="dxa"/>
        <w:jc w:val="left"/>
        <w:tblInd w:w="0" w:type="dxa"/>
        <w:tblLayout w:type="fixed"/>
        <w:tblCellMar>
          <w:top w:w="0" w:type="dxa"/>
          <w:left w:w="0" w:type="dxa"/>
          <w:bottom w:w="0" w:type="dxa"/>
          <w:right w:w="0" w:type="dxa"/>
        </w:tblCellMar>
      </w:tblPr>
      <w:tblGrid>
        <w:gridCol w:w="23"/>
        <w:gridCol w:w="170"/>
        <w:gridCol w:w="77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efforts of our collaborators with respect to the commercialization of our products, if any;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securing of, costs related to, and timing issues associated with, commercial product manufacturing as well as sales and marketing activities.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we fail to achieve announced milestones in the timeframes we expect, the commercialization of any of our product candidates may be delayed, and our business, results of operations, financial condition and prospects may be adversely affected.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Reliance on Third Parties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heavily rely on our exclusive license with Allist to provide us with intellectual property rights to develop and commercialize furmonertinib. Any termination or loss of significant rights under our agreements with Allist would adversely affect our development or commercialization of furmonertinib.</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Under the Allist License Agreement we have, among other things, secured an exclusive, royalty-bearing, and sublicensable license under certain intellectual property (including patents and know-how) owned or controlled by Allist to develop and commercialize any product containing furmonertinib or any of its salts or derivatives (the Licensed Compound) as an active ingredient of a product (the Licensed Product), which is led by a joint collaboration committee (the Collaboration Committee), comprising of representatives from both Allist and us. We granted Allist a non-exclusive sublicensable license to certain information, data, results and improvements related to the Licensed Product. Either party has the right to terminate the Allist License Agreement, subject to specified cure periods, for the material breach by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party or the bankruptcy or insolvency of the other party. If the Allist License Agreement is terminated for any reason, including as a result of our failure to meet our obligations under the Allist License Agreement to make any milestone payments or royalties to Allist, our business and operations would be materially harmed.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obligated to pay Allist milestone payments up to an aggregate of $765 million upon the achievement of certain development, regulatory and sales milestone events. In addition, we are obligated to pay Allist tiered royalties based on net sales of Licensed Products. In addition, upon termination of the Allist License Agreement by either Allist or us, (i) if the termination is for any reason other than by us for the material breach by Allist, then we may at our discretion continue to distribute and sell Licensed Products for a reasonably sufficient wind-down period up to 24 months from the termination, in accordance with the Allist License Agreement, and are obligated to continue to make all applicable payments to Allist for the Licensed Products we sell, and (ii) if the termination is by us for the material breach by Allist, then we would have the right to continue under the Allist License Agreement in lieu of the termination but with our milestone and royalty payment obligations substantially reduced. If these payments become due, we may not have sufficient funds available to meet our obligations and our development efforts may be harmed.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Furthermore, we entered into the Allist Collaboration Agreement with Allist to govern the conduct of Global Study. See “Business —  Licenses, Partnerships and Collaborations — Allist Agreements”. Pursuant to the Allist Collaboration Agreement, if either party or both parties wish to jointly conduct a Global Study, one or both parties, as the case may be, will prepare and submit the proposed strategy, internal process timeline, along with other required documents for such proposed Global Study to the Collaboration Committee for its review and approval before the protocol filing with any regulatory authorities. If the Collaboration Committee cannot come to a mutual agreement on the proposed strategy or any other particular matter, this could delay our ability to develop or commercialize furmonertinib, which could have a material adverse effect on our business and operations. Additionally, if we do not receive all of the necessary products, information, reports and data from Allist to which we are entitled under the Allist Collaboration Agreement in a timely manner, our business could be materially harmed.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Reported data or other clinical development announcements by third parties, including Allist, may adversely affect our clinical development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Allist is currently conducting clinical studies in China, including a Phase 1b trial with furmonertinib, and previously completed a Phase 3 clinical trial in China. Allist is also commercializing furmonertinib in China. If announcements by Allist or other third parties with whom we collaborate, now or in the future, are unfavorable with respect to their clinical trials, or with respect to post-approval monitoring, our clinical development plans may be adversely affected. Further, even if announcements by such third parties are favorable with respect to their clinical trials, our planned clinical trials for furmonertinib, and any future clinical trials we may conduct, differ from their clinical trials and investors should not place undue reliance upon any of such third parties’ reported data or other clinical development announcements.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rely on, and intend to continue to rely on, third parties to conduct, supervise and monitor our clinical trials and nonclinical studies. If these third parties do not successfully carry out their contractual duties, comply with applicable regulatory requirements or meet expected deadlines, our development programs and our ability to seek or obtain regulatory approval for or commercialize furmonertinib and any future product candidates may be delayed or subject to increased costs, each of which may have an adverse effect on our business and prospects.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are dependent on third parties to conduct our clinical trials and preclinical and nonclinical studies. Specifically, we rely on, and intend to continue to rely on, medical institutions, clinical investigators, CROs and consultants to conduct nonclinical studies and clinical trials, in each case in accordance with our study protocols and applicable regulatory requirements. These CROs, investigators and other third parties play a significant role in the conduct and timing of these studies or trials and the subsequent collection and analysis of data. Though we expect to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 Further, while we have and will have agreements governing the activities of our third-party contractors, we have limited influence over their actual performance. Nevertheless, we are responsible for ensuring that each of our clinical trials is conducted in accordance with the applicable protocol and legal, regulatory and scientific standards and requirements, and our reliance on our CROs and other third parties does not relieve us of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regulatory responsibilities. In addition, we and our CROs are required to comply with GLP and GCP requirements, as applicable, which are regulations and guidelines enforced by the FDA and comparable foreign regulatory authorities related to the conduct of nonclinical studies and clinical trials, respectively. Regulatory authorities enforce GCPs through periodic inspections of trial sponsors, principal investigators and trial sites. If we or any of our CROs or trial sites fail to comply with applicable GLP or GCP or other requirements, the collected nonclinical data or the clinical data generated in our clinical trials may be deemed unreliable, and the FDA or comparable foreign regulatory authorities may require us to perform additional nonclinical studies or clinical trials before approving our marketing applications, if ever. Furthermore, our clinical trials must be conducted with materials manufactured in accordance with cGMP regulations. Failure to comply with these regulations may require us to repeat clinical trials, which would delay the regulatory approval process.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is no guarantee that any of our CROs, investigators or other third parties will devote adequate time and resources to such trials or studies or perform as contractually required. If any of these third parties fail to meet expected deadlines, adhere to our clinical protocols or meet regulatory requirements, or otherwise perform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development activities that could harm our competitive position. In addition, principal investigators for our clinical trials are expected to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by the FDA of any NDA we submit. Any such delay or rejection could prevent us from receiving regulatory approval for, or commercializing, furmonertinib and any future product candidates.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CROs have the right to terminate their agreements with us in the event of an uncured material breach and under other specified circumstances. If any of our relationships with these third parties terminate, we may not be able to enter into arrangements with alternative third parties on commercially reasonable terms, in a timely manner or at all. Switching or adding CROs, investigators and other third parties involves additional cost and requires our management’s time and focus. In addition, there is a natural transition period when a new CRO commences work. As a result, delays occur, which can materially impact our ability to meet our desired clinical development timelines. Though we work to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currently rely on a Chinese third party for the manufacture of furmonertinib for clinical development and expect to continue to rely on third parties for the foreseeable future. This reliance on third parties increases the risk that we will not have sufficient quantities of furmonertinib or such quantities at an acceptable cost, which could delay, prevent or impair our development or potential commercialization efforts.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do not own or operate manufacturing facilities and have no plans to develop our own clinical or commercial-scale manufacturing capabilities. We rely on a third party, and expect to continue to rely, on third parties for the manufacture of furmonertinib and related raw materials for clinical development, as well as for commercial manufacture if furmonertinib receives marketing approval. The facilities used by third-party manufacturers to manufacture furmonertinib must be approved by the FDA and any comparable foreign regulatory authority pursuant to inspections that will be conducted after we submit an NDA to the FDA or make any comparable submission to a foreign regulatory authority. We do not control the manufacturing process of, and are completely dependent on, third-party manufacturers for compliance with cGMP requirements for manufacture of products. If these third-party manufacturers cannot successfully manufacture material that conforms to our specifications and the strict regulatory requirements of the FDA or any comparable foreign regulatory authority, they will not be able to secure and/or maintain regulatory approval for their manufacturing facilities.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addition, we have no control over the ability of third-party manufacturers to maintain adequate quality control, quality assurance and qualified personnel. If the FDA or any comparable foreign regulatory authority does not approve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these facilities for the manufacture of furmonertinib or if it withdraws any such approval in the future, we may need to find alternative manufacturing facilities, which would significantly impact our ability to develop, obtain regulatory approval for or market furmonertinib, if approved. Our failure, or the failure of our third-party manufacturers, to comply with applicable regulations also could result in sanctions being imposed on us, including clinical holds, fines, injunctions, civil penalties, delays, suspension or withdrawal of approvals, seizures or recalls of furmonertinib or other future products, operating restrictions and criminal prosecutions, any of which could significantly and adversely affect supplies of our products and our financial position.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or a third party’s failure to execute on our manufacturing requirements on commercially reasonable terms, in a timely manner and in compliance with cGMP or other regulatory requirements could adversely affect our business in a number of ways, including:</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inability to initiate or complete clinical trials of furmonertinib or any future product candidates in a timely manner;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 in submitting regulatory applications, or receiving marketing approvals, for furmonertinib or any future product candidates;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subjecting third-party manufacturing facilities or our potential future manufacturing facilities to additional inspections by regulatory authorities;</w:t>
            </w:r>
          </w:p>
        </w:tc>
      </w:tr>
    </w:tbl>
    <w:tbl>
      <w:tblPr>
        <w:tblW w:w="9093" w:type="dxa"/>
        <w:jc w:val="left"/>
        <w:tblInd w:w="0" w:type="dxa"/>
        <w:tblLayout w:type="fixed"/>
        <w:tblCellMar>
          <w:top w:w="0" w:type="dxa"/>
          <w:left w:w="0" w:type="dxa"/>
          <w:bottom w:w="0" w:type="dxa"/>
          <w:right w:w="0" w:type="dxa"/>
        </w:tblCellMar>
      </w:tblPr>
      <w:tblGrid>
        <w:gridCol w:w="23"/>
        <w:gridCol w:w="170"/>
        <w:gridCol w:w="89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requirements to cease development or to recall batches of furmonertinib or any future product candidates;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approval to market and commercialize furmonertinib or any future product candidates, an inability to meet commercial demands for furmonertinib or any future product candidates.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we do not have any long-term commitments or supply agreements with any third-party manufacturers. We may be unable to establish any long-term supply agreements with third-party manufacturers or to do so on acceptable terms, which increases the risk of failing to timely obtain sufficient quantities of furmonertinib or such quantities at an acceptable cost. Even if we are able to establish agreements with third-party manufacturers, reliance on third-party manufacturers entails additional risks, including:</w:t>
      </w:r>
    </w:p>
    <w:tbl>
      <w:tblPr>
        <w:tblW w:w="8928" w:type="dxa"/>
        <w:jc w:val="left"/>
        <w:tblInd w:w="0" w:type="dxa"/>
        <w:tblLayout w:type="fixed"/>
        <w:tblCellMar>
          <w:top w:w="0" w:type="dxa"/>
          <w:left w:w="0" w:type="dxa"/>
          <w:bottom w:w="0" w:type="dxa"/>
          <w:right w:w="0" w:type="dxa"/>
        </w:tblCellMar>
      </w:tblPr>
      <w:tblGrid>
        <w:gridCol w:w="23"/>
        <w:gridCol w:w="170"/>
        <w:gridCol w:w="87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of third-party manufacturers to comply with regulatory requirements and maintain quality assurance;</w:t>
            </w:r>
          </w:p>
        </w:tc>
      </w:tr>
    </w:tbl>
    <w:tbl>
      <w:tblPr>
        <w:tblW w:w="4893" w:type="dxa"/>
        <w:jc w:val="left"/>
        <w:tblInd w:w="0" w:type="dxa"/>
        <w:tblLayout w:type="fixed"/>
        <w:tblCellMar>
          <w:top w:w="0" w:type="dxa"/>
          <w:left w:w="0" w:type="dxa"/>
          <w:bottom w:w="0" w:type="dxa"/>
          <w:right w:w="0" w:type="dxa"/>
        </w:tblCellMar>
      </w:tblPr>
      <w:tblGrid>
        <w:gridCol w:w="23"/>
        <w:gridCol w:w="170"/>
        <w:gridCol w:w="47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breach of the manufacturing agreement by the third party;</w:t>
            </w:r>
          </w:p>
        </w:tc>
      </w:tr>
    </w:tbl>
    <w:tbl>
      <w:tblPr>
        <w:tblW w:w="6513" w:type="dxa"/>
        <w:jc w:val="left"/>
        <w:tblInd w:w="0" w:type="dxa"/>
        <w:tblLayout w:type="fixed"/>
        <w:tblCellMar>
          <w:top w:w="0" w:type="dxa"/>
          <w:left w:w="0" w:type="dxa"/>
          <w:bottom w:w="0" w:type="dxa"/>
          <w:right w:w="0" w:type="dxa"/>
        </w:tblCellMar>
      </w:tblPr>
      <w:tblGrid>
        <w:gridCol w:w="23"/>
        <w:gridCol w:w="170"/>
        <w:gridCol w:w="63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manufacture our product candidates according to our specifications;</w:t>
            </w:r>
          </w:p>
        </w:tc>
      </w:tr>
    </w:tbl>
    <w:tbl>
      <w:tblPr>
        <w:tblW w:w="7278" w:type="dxa"/>
        <w:jc w:val="left"/>
        <w:tblInd w:w="0" w:type="dxa"/>
        <w:tblLayout w:type="fixed"/>
        <w:tblCellMar>
          <w:top w:w="0" w:type="dxa"/>
          <w:left w:w="0" w:type="dxa"/>
          <w:bottom w:w="0" w:type="dxa"/>
          <w:right w:w="0" w:type="dxa"/>
        </w:tblCellMar>
      </w:tblPr>
      <w:tblGrid>
        <w:gridCol w:w="23"/>
        <w:gridCol w:w="170"/>
        <w:gridCol w:w="70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obtain adequate raw materials and other materials required for manufacturing;</w:t>
            </w:r>
          </w:p>
        </w:tc>
      </w:tr>
    </w:tbl>
    <w:tbl>
      <w:tblPr>
        <w:tblW w:w="5853" w:type="dxa"/>
        <w:jc w:val="left"/>
        <w:tblInd w:w="0" w:type="dxa"/>
        <w:tblLayout w:type="fixed"/>
        <w:tblCellMar>
          <w:top w:w="0" w:type="dxa"/>
          <w:left w:w="0" w:type="dxa"/>
          <w:bottom w:w="0" w:type="dxa"/>
          <w:right w:w="0" w:type="dxa"/>
        </w:tblCellMar>
      </w:tblPr>
      <w:tblGrid>
        <w:gridCol w:w="23"/>
        <w:gridCol w:w="170"/>
        <w:gridCol w:w="56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manufacture our product according to our schedule or at all;</w:t>
            </w:r>
          </w:p>
        </w:tc>
      </w:tr>
    </w:tbl>
    <w:tbl>
      <w:tblPr>
        <w:tblW w:w="5643" w:type="dxa"/>
        <w:jc w:val="left"/>
        <w:tblInd w:w="0" w:type="dxa"/>
        <w:tblLayout w:type="fixed"/>
        <w:tblCellMar>
          <w:top w:w="0" w:type="dxa"/>
          <w:left w:w="0" w:type="dxa"/>
          <w:bottom w:w="0" w:type="dxa"/>
          <w:right w:w="0" w:type="dxa"/>
        </w:tblCellMar>
      </w:tblPr>
      <w:tblGrid>
        <w:gridCol w:w="23"/>
        <w:gridCol w:w="170"/>
        <w:gridCol w:w="54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successfully scale up manufacturing capacity, if required;</w:t>
            </w:r>
          </w:p>
        </w:tc>
      </w:tr>
    </w:tbl>
    <w:tbl>
      <w:tblPr>
        <w:tblW w:w="8778" w:type="dxa"/>
        <w:jc w:val="left"/>
        <w:tblInd w:w="0" w:type="dxa"/>
        <w:tblLayout w:type="fixed"/>
        <w:tblCellMar>
          <w:top w:w="0" w:type="dxa"/>
          <w:left w:w="0" w:type="dxa"/>
          <w:bottom w:w="0" w:type="dxa"/>
          <w:right w:w="0" w:type="dxa"/>
        </w:tblCellMar>
      </w:tblPr>
      <w:tblGrid>
        <w:gridCol w:w="23"/>
        <w:gridCol w:w="170"/>
        <w:gridCol w:w="85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misappropriation of our proprietary information, including any potential trade secrets and know-how; and</w:t>
            </w:r>
          </w:p>
        </w:tc>
      </w:tr>
    </w:tbl>
    <w:tbl>
      <w:tblPr>
        <w:tblW w:w="8898" w:type="dxa"/>
        <w:jc w:val="left"/>
        <w:tblInd w:w="0" w:type="dxa"/>
        <w:tblLayout w:type="fixed"/>
        <w:tblCellMar>
          <w:top w:w="0" w:type="dxa"/>
          <w:left w:w="0" w:type="dxa"/>
          <w:bottom w:w="0" w:type="dxa"/>
          <w:right w:w="0" w:type="dxa"/>
        </w:tblCellMar>
      </w:tblPr>
      <w:tblGrid>
        <w:gridCol w:w="23"/>
        <w:gridCol w:w="170"/>
        <w:gridCol w:w="87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or nonrenewal of the agreement by the third party at a time that is costly or inconvenient for us.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Any performance failure on the part of our existing or future manufacturers could delay clinical development or marketing approval or jeopardize our ability to commence or continue commercialization of furmonertinib or any future product candidates, and any related remedial measures may be costly or time consuming to implement. We do not currently have arrangements in place for redundant supply or a second source for all required raw materials used in the manufacture of our product candidates. If our existing or future third-party manufacturers cannot perform as agreed, we may be required to replace such manufacturers and we may be unable to replace them on a timely basis or at all. Without additional suppliers of required raw materials, we may also be unable to meet the commercial needs of a commercial launch of any future product candidates.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our current and anticipated future dependence upon others for the manufacture of furmonertinib and any future product candidates may adversely affect our future profit margins and our ability to commercialize any products that receive marketing approval on a timely and competitive basis.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 portion of our product development and manufacturing for our product candidate furmonertinib takes place in China through third-party manufacturers. A significant disruption in the operation of those manufacturers, a trade war or political unrest in China, or a change in the regulatory framework in the United States or China, could materially adversely affect our business, financial condition and results of operations.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Currently, we rely on and have agreements with two third-party contract manufacturers, Raybow and WuXi STA to supply the drug substance for furmonertinib to be used in planned clinical trials and with WuXi STA, with whom we have executed technology transfer related to the manufacture of drug product, to manufacture the clinical trial supplies of furmonertinib drug product. Both of third-party contract manufacturers are located in China, and we expect to continue to use such third-party manufacturers for such product candidates. Any disruption in production or inability of our manufacturers in China to produce adequate quantities to meet our needs, whether as a result of a natural disaster, or other causes could impair our ability to operate our business on a day-to-day basis and to continue our development of our product candidates. Furthermore, since these manufacturers are located in China, we are exposed to the possibility of product supply disruption and increased costs in the event of changes in the policies of the U.S. or Chinese governments, political unrest or unstable economic conditions in China. For example, a trade war could lead to tariffs on the chemical intermediates we use that are manufactured in China.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recently proposed BIOSECURE Act is aimed at discouraging federal contracting with certain Chinese biotechnology companies for biotechnology equipment or services, including WuXi AppTec Co., Ltd. (WuXi AppTec) and its subsidiaries, parent affiliates, or successors on the development or manufacturing of pharmaceutical products. Finally, in February 2024, certain U.S. Senators and Representatives sent a letter to the Biden administration requesting that both WuXi AppTec, WuXi STA’s parent company, and the affiliated WuXi Biologics be added to the Department of Defense’s Chinese Military Companies List (1260H list), the Department of Commerce’s Bureau of Industry and Security Entity List, and the Department of Treasury’s Non-SDN Chinese Military-Industrial Complex Companies List. While the Biden administration has yet to take action on this letter, adding WuXi STA on any or all of the aforementioned lists could materially impact supply of furmonertinib from WuXi STA. The enactment and implementation of the BIOSECURE Act, may similarly impact supply of furmonertinib from WuXi STA. If we are required to change manufacturers for any reason, we will be required to verify that the new manufacturer maintains facilities and procedures that comply with quality standards and with all applicable regulations and guidelines. For example, in the event that we need to switch our third-party manufacturer of furmonertinib from WuXi STA, we anticipate that the complexity of the manufacturing process may impact the amount of time it may take to secure a replacement manufacturer. The delays associated with the verification of a new manufacturer, once we are able to identify an alternative source, could negatively affect our ability to develop product candidates in a timely manner or within budget, which could materially adversely affect our business, financial condition and results of operations.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entered into and in the future may seek to enter into collaborations, license agreements and other similar arrangements and may not be successful in doing so, and even if we are, we may relinquish valuable rights and may not realize the benefits of such relationships, and our collaborations would be subject to other risks attendant to third party relationships, including inability to prevent or control actions taken or not taken by such third parties which may adversely impact us.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are currently collaborating with third parties to develop certain of our potential drug candidates. For example, we are collaborating with Allist with respect to certain aspects of furmonertinib. In the future, we may seek to enter into collaborations, joint ventures, license agreements and other similar arrangements for the development or commercialization of furmonertinib and any future product candidates, due to capital costs required to develop or commercialize the product candidate or manufacturing constraints. For example, certain of the cancer disease areas that we believe our product candidates address require large, costly and later-stage clinical trials, which a collaboration partner may be better positioned to finance and/or conduct. In addition, a component of our strategy is to maximize the commercial value of our current and future product candidates, which may also strategically align with partnering commercial rights with partners that have large and established sales organizations. To the extent that we decide to enter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into collaborations, joint ventures, license agreements and other similar arrangements, we may not be successful in our efforts to establish or maintain such collaborations because our research and development pipeline may be insufficient, any future product candidates may be deemed to be at too early of a stage of development for collaborative effort or third parties may not view our product candidates as having the requisite potential to demonstrate safety and efficacy or significant commercial opportunity. In addition, we face significant competition in seeking appropriate strategic partners, and the negotiation process can be time-consuming and complex. Even if we are successful in our efforts to establish such collaborations, the terms that we agree upon may not be favorable to us. For example, we may need to relinquish valuable rights to our future revenue streams, research programs, intellectual property or product candidates, or grant licenses on terms that may not be favorable to us, as part of any such arrangement, and such arrangements may restrict us from entering into additional agreements with other potential collaborators. In addition, if we enter into such collaborations, we will have limited control over the amount and timing of resources that our collaborators will dedicate to the development or commercialization of our product candidates. Our ability to generate revenue from these arrangements will depend on any future collaborators’ abilities to successfully perform the functions assigned to them in these arrangements. We cannot be certain that, following a collaboration, license or strategic transaction, we will achieve an economic benefit that justifies such transaction.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Furthermore, we may not be able to maintain such collaborations if, for example, the development or approval of a product candidate is delayed, the safety of a product candidate is questioned or the sales of an approved product candidate are unsatisfactory.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Collaborations involving furmonertinib or any future product candidates would pose significant risks to us, including the following:</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have significant discretion in determining the efforts and resources that they will apply to these collaborations;</w:t>
            </w:r>
          </w:p>
        </w:tc>
      </w:tr>
    </w:tbl>
    <w:tbl>
      <w:tblPr>
        <w:tblW w:w="5763" w:type="dxa"/>
        <w:jc w:val="left"/>
        <w:tblInd w:w="0" w:type="dxa"/>
        <w:tblLayout w:type="fixed"/>
        <w:tblCellMar>
          <w:top w:w="0" w:type="dxa"/>
          <w:left w:w="0" w:type="dxa"/>
          <w:bottom w:w="0" w:type="dxa"/>
          <w:right w:w="0" w:type="dxa"/>
        </w:tblCellMar>
      </w:tblPr>
      <w:tblGrid>
        <w:gridCol w:w="23"/>
        <w:gridCol w:w="170"/>
        <w:gridCol w:w="55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not perform their obligations as expected or at all;</w:t>
            </w:r>
          </w:p>
        </w:tc>
      </w:tr>
    </w:tbl>
    <w:tbl>
      <w:tblPr>
        <w:tblW w:w="8748" w:type="dxa"/>
        <w:jc w:val="left"/>
        <w:tblInd w:w="0" w:type="dxa"/>
        <w:tblLayout w:type="fixed"/>
        <w:tblCellMar>
          <w:top w:w="0" w:type="dxa"/>
          <w:left w:w="0" w:type="dxa"/>
          <w:bottom w:w="0" w:type="dxa"/>
          <w:right w:w="0" w:type="dxa"/>
        </w:tblCellMar>
      </w:tblPr>
      <w:tblGrid>
        <w:gridCol w:w="23"/>
        <w:gridCol w:w="170"/>
        <w:gridCol w:w="85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grant exclusive rights to our collaborators that would prevent us from collaborating with others;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candidates discovered in collaboration with us may be viewed by our collaborators as competitive with their own product candidates or drugs, which may cause collaborators to cease to devote resources to the commercialization of our product candidates;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collaborator with marketing and distribution rights to any product candidate that achieves regulatory approval may not commit sufficient resources to the marketing and distribution of such products;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collaborator’s sales and marketing activities or other operations may not be in compliance with applicable laws, resulting in civil or criminal proceedings;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disagreements with collaborators, including disagreements over proprietary rights, contract interpretation or the preferred course of development, might cause delays in or termination of the research, development or commercialization of product candidates, might lead to additional responsibilities for us with respect to product candidates, or might result in litigation or arbitration, any of which would be time-consuming and expensive;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not properly enforce,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infringe, misappropriate or otherwise violate the intellectual property rights of third parties, which may expose us to litigation and potential liability;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not provide us with timely and accurate information regarding development, regulatory or commercialization status or results, which could adversely impact our ability to manage our own development efforts, accurately forecast financial results or provide timely information to our stockholders regarding our out-licensed product candidates;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invest resources and attention into such collaboration, which could distract from other business objectives;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may arise between the collaborators and us regarding ownership of or other rights in the intellectual property generated in the course of the collaborations;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collaboration agreements may not lead to development or commercialization of product candidates in the most efficient manner or at all;</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collaborator of ours were to be involved in a business combination, the continued pursuit and emphasis on our product development or commercialization program could be delayed, diminished or terminated;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collaborations may be terminated, including for the convenience of the collaborator, prior to or upon the expiration of the agreed upon terms and, if terminated, we may find it more difficult to enter into future collaborations or be required to raise additional capital to pursue further development or commercialization of the applicable product candidates.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Any termination of collaborations we currently depend on or may enter into in the future, or any delay in entering into collaborations related to furmonertinib or any future product candidates, could delay the development and commercialization of our product candidates and reduce their competitiveness if they reach the market, which could have a material adverse effect on our business, financial condition, results of operations and prospects.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Commercialization of Furmonertinib and any Future Product Candidates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Even if we receive regulatory approval for furmonertinib or any future product candidates, we will be subject to ongoing regulatory obligations and continued regulatory review, which may result in significant additional expense. Additionally, furmonertinib and any future product candidates, if approved, could be subject to labeling and other restrictions on marketing or withdrawal from the market, and we may be subject to penalties if we fail to comply with regulatory requirements or if we experience unanticipated problems with our product candidates, if any of them are approved.</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Any regulatory approvals that we may receive for furmonertinib or any future product candidates will require the submission of various post-marketing reports to regulatory authorities, will subject us to surveillance requirements to monitor the safety and efficacy of the product, may contain significant limitations related to use restrictions for specified age groups, warnings, precautions or contraindications and may include burdensome post-approval study or risk management requirements. For example, the FDA may require REMS as a condition of approval of furmonertinib or any future product candidates, which could include requirements for a medication guide, physician training and communication plans or additional elements to ensure safe use, such as restricted distribution methods, patient registries and other risk minimization tools. In addition, if the FDA or a comparable foreign regulatory authority approves furmonertinib or any future product candidates, the manufacturing processes, labeling, packaging, distribution, adverse event reporting, storage, advertising, promotion, import, export and recordkeeping for such products will be subject to extensive and ongoing regulatory requirements. These requirements include submissions of safety and other post-marketing information and reports, facility registration, and continued compliance with cGMPs for product manufacturing and GCP requirements for any clinical trials that we conduct post-approval. Manufacturers of approved products and their facilities are subject to continual review and periodic, unannounced inspections by the FDA and other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regulatory authorities for compliance with cGMP regulations and standards. Failure to comply with regulatory requirements or later discovery of previously unknown problems with our products, including adverse events of unanticipated severity or frequency, or with our third-party manufacturers or manufacturing processes, may result in a regulatory agency imposing restrictions on that product, the manufacturing facility or us, including requiring recall or withdrawal of the product from the market or suspension of manufacturing. In addition, failure to comply with FDA and other comparable foreign regulatory requirements may subject our company to administrative or judicially imposed sanctions, including:</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the marketing or manufacturing of our products, withdrawal of the product from the market or voluntary or mandatory product recalls;</w:t>
            </w:r>
          </w:p>
        </w:tc>
      </w:tr>
    </w:tbl>
    <w:tbl>
      <w:tblPr>
        <w:tblW w:w="9108" w:type="dxa"/>
        <w:jc w:val="left"/>
        <w:tblInd w:w="0" w:type="dxa"/>
        <w:tblLayout w:type="fixed"/>
        <w:tblCellMar>
          <w:top w:w="0" w:type="dxa"/>
          <w:left w:w="0" w:type="dxa"/>
          <w:bottom w:w="0" w:type="dxa"/>
          <w:right w:w="0" w:type="dxa"/>
        </w:tblCellMar>
      </w:tblPr>
      <w:tblGrid>
        <w:gridCol w:w="23"/>
        <w:gridCol w:w="170"/>
        <w:gridCol w:w="89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product distribution or use, or requirements to conduct post-marketing studies or clinical trials;</w:t>
            </w:r>
          </w:p>
        </w:tc>
      </w:tr>
    </w:tbl>
    <w:tbl>
      <w:tblPr>
        <w:tblW w:w="9858" w:type="dxa"/>
        <w:jc w:val="left"/>
        <w:tblInd w:w="0" w:type="dxa"/>
        <w:tblLayout w:type="fixed"/>
        <w:tblCellMar>
          <w:top w:w="0" w:type="dxa"/>
          <w:left w:w="0" w:type="dxa"/>
          <w:bottom w:w="0" w:type="dxa"/>
          <w:right w:w="0" w:type="dxa"/>
        </w:tblCellMar>
      </w:tblPr>
      <w:tblGrid>
        <w:gridCol w:w="23"/>
        <w:gridCol w:w="170"/>
        <w:gridCol w:w="96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our ability to conduct clinical trials, including full or partial clinical holds on ongoing or planned trials;</w:t>
            </w:r>
          </w:p>
        </w:tc>
      </w:tr>
    </w:tbl>
    <w:tbl>
      <w:tblPr>
        <w:tblW w:w="8823" w:type="dxa"/>
        <w:jc w:val="left"/>
        <w:tblInd w:w="0" w:type="dxa"/>
        <w:tblLayout w:type="fixed"/>
        <w:tblCellMar>
          <w:top w:w="0" w:type="dxa"/>
          <w:left w:w="0" w:type="dxa"/>
          <w:bottom w:w="0" w:type="dxa"/>
          <w:right w:w="0" w:type="dxa"/>
        </w:tblCellMar>
      </w:tblPr>
      <w:tblGrid>
        <w:gridCol w:w="23"/>
        <w:gridCol w:w="170"/>
        <w:gridCol w:w="86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fines, restitutions, disgorgement of profits or revenue, warning letters, untitled letters, or adverse publicity;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by the FDA or other regulatory authorities to approve pending applications or supplements to approved applications submitted by us or suspension or revocation of approvals;</w:t>
            </w:r>
          </w:p>
        </w:tc>
      </w:tr>
    </w:tbl>
    <w:tbl>
      <w:tblPr>
        <w:tblW w:w="7458" w:type="dxa"/>
        <w:jc w:val="left"/>
        <w:tblInd w:w="0" w:type="dxa"/>
        <w:tblLayout w:type="fixed"/>
        <w:tblCellMar>
          <w:top w:w="0" w:type="dxa"/>
          <w:left w:w="0" w:type="dxa"/>
          <w:bottom w:w="0" w:type="dxa"/>
          <w:right w:w="0" w:type="dxa"/>
        </w:tblCellMar>
      </w:tblPr>
      <w:tblGrid>
        <w:gridCol w:w="23"/>
        <w:gridCol w:w="170"/>
        <w:gridCol w:w="72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seizure or detention, or refusal to permit the import or export of our products; and</w:t>
            </w:r>
          </w:p>
        </w:tc>
      </w:tr>
    </w:tbl>
    <w:tbl>
      <w:tblPr>
        <w:tblW w:w="5103" w:type="dxa"/>
        <w:jc w:val="left"/>
        <w:tblInd w:w="0" w:type="dxa"/>
        <w:tblLayout w:type="fixed"/>
        <w:tblCellMar>
          <w:top w:w="0" w:type="dxa"/>
          <w:left w:w="0" w:type="dxa"/>
          <w:bottom w:w="0" w:type="dxa"/>
          <w:right w:w="0" w:type="dxa"/>
        </w:tblCellMar>
      </w:tblPr>
      <w:tblGrid>
        <w:gridCol w:w="23"/>
        <w:gridCol w:w="170"/>
        <w:gridCol w:w="49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injunctions and the imposition of civil or criminal penalties.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occurrence of any event or penalty described above may inhibit our ability to commercialize furmonertinib or any future product candidates and to generate revenue, could require us to expend significant time and resources in response and could generate negative publicity.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FDA’s and other regulatory authorities’ policies may change and additional government regulations may be promulgated that could prevent, limit or delay marketing authorization of any product candidates we develop. We also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FDA and other regulatory agencies actively enforce the laws and regulations prohibiting the promotion of off-label uses.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FDA and other regulatory agencies strictly regulate the marketing, labeling, advertising, and promotional claims that may be made about prescription drug products, such as furmonertinib or any future product candidates, if approved. These regulations include standards and restrictions for direct-to-consumer advertising, industry-sponsored scientific and educational activities, promotional activities involving the internet and off-label promotion. In particular, a product may not be promoted for uses that are not approved by the FDA or such other regulatory agencies as reflected in the product’s approved labeling. While physicians in the United States may choose, and are generally permitted, to prescribe drugs for uses that are not described in the product’s labeling and for uses that differ from those tested in clinical trials and approved by the regulatory authorities, our ability to promote any products will be narrowly limited to those indications that are specifically approved by the FDA.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we are found to have promoted such off-label uses, however, we may become subject to significant liability. The U.S. federal government has levied large civil and criminal fines against companies for alleged improper promotion of off-label use and has enjoined several companies from engaging in off-label promotion. The government has also required companies to enter into consent decrees or imposed permanent injunctions under which specified promotional conduct is changed or curtailed. If we cannot successfully manage the promotion of furmonertinib or any future product candidates, if approved, we could become subject to significant liability, which would materially adversely affect our business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required by the FDA to obtain approval of a companion diagnostic in connection with approval of any of our product candidates, and we do not obtain, or face delays in obtaining, FDA approval of such companion diagnostic, we will not be able to commercialize such product candidate and our ability to generate revenue will be materially impaired.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We are working with a diagnostics company to develop a diagnostic for FDA approval to identify patients with EGFR Exon 20 insertion mutations and we may be required to pursue a similar approach for EGFR PACC mutations. The process of obtaining or creating such diagnostic is time consuming and costly.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Companion diagnostics are developed in conjunction with clinical programs for the associated product and are subject to regulation as medical devices by the FDA and comparable foreign regulatory authorities, and the FDA has generally required premarket approval of companion diagnostics for cancer therapies. The approval or clearance of a companion diagnostic as part of the therapeutic product’s further labeling limits the use of the therapeutic product to only those patients who express the specific characteristic that the companion diagnostic was developed to detect.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the FDA or a comparable foreign regulatory authority requires approval or clearance of a companion diagnostic for any of our product candidates, whether before or after the product candidate obtains marketing approval, we and/or third-party collaborators may encounter difficulties in developing and obtaining approval or clearance for these companion diagnostics. Any delay or failure by us or third-party collaborators to develop or obtain regulatory approval or clearance of a companion diagnostic could delay or prevent approval or continued marketing of the relevant product. For example, our EGFR exon 20 insertion mutations clinical trials may generate insufficient data to enable the approval by the FDA of the diagnostic that we are working with a diagnostics company to develop. We or our collaborators may also experience delays in developing a sustainable, reproducible and scalable manufacturing process for the companion diagnostic or in transferring that process to commercial partners or negotiating insurance reimbursement plans, all of which may prevent us from completing our clinical trials or commercializing our product candidates, if approved, on a timely or profitable basis, if at all.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commercial success of furmonertinib or any future product candidates will depend upon the degree of market acceptance of such product candidates by healthcare providers, product recipients, healthcare payors and others in the medical community. If furmonertinib or any future product candidates fail to achieve the broad degree of adoption by the medical community necessary for commercial success, our operating results and financial condition will be adversely affected, which may delay, prevent or limit our ability to generate revenue and continue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Even if furmonertinib or any future product candidates receive regulatory approval, they may not be commercially successful and may not gain market acceptance among healthcare providers, individuals within our target population, healthcare payors or the medical community. The commercial success of furmonertinib or any future product candidates will depend significantly on the broad adoption and use of the resulting product by these individuals and organizations for approved indications. The degree of market acceptance of our products will depend on a number of factors, including:</w:t>
      </w:r>
    </w:p>
    <w:tbl>
      <w:tblPr>
        <w:tblW w:w="8538" w:type="dxa"/>
        <w:jc w:val="left"/>
        <w:tblInd w:w="0" w:type="dxa"/>
        <w:tblLayout w:type="fixed"/>
        <w:tblCellMar>
          <w:top w:w="0" w:type="dxa"/>
          <w:left w:w="0" w:type="dxa"/>
          <w:bottom w:w="0" w:type="dxa"/>
          <w:right w:w="0" w:type="dxa"/>
        </w:tblCellMar>
      </w:tblPr>
      <w:tblGrid>
        <w:gridCol w:w="23"/>
        <w:gridCol w:w="170"/>
        <w:gridCol w:w="83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demonstration of clinical efficacy and safety, including as compared to any more-established products;</w:t>
            </w:r>
          </w:p>
        </w:tc>
      </w:tr>
    </w:tbl>
    <w:tbl>
      <w:tblPr>
        <w:tblW w:w="5298" w:type="dxa"/>
        <w:jc w:val="left"/>
        <w:tblInd w:w="0" w:type="dxa"/>
        <w:tblLayout w:type="fixed"/>
        <w:tblCellMar>
          <w:top w:w="0" w:type="dxa"/>
          <w:left w:w="0" w:type="dxa"/>
          <w:bottom w:w="0" w:type="dxa"/>
          <w:right w:w="0" w:type="dxa"/>
        </w:tblCellMar>
      </w:tblPr>
      <w:tblGrid>
        <w:gridCol w:w="23"/>
        <w:gridCol w:w="170"/>
        <w:gridCol w:w="51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indications for which our product candidates are approved;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our targeted patient population and other limitations or warnings contained in any FDA-approved labeling;</w:t>
            </w:r>
          </w:p>
        </w:tc>
      </w:tr>
    </w:tbl>
    <w:tbl>
      <w:tblPr>
        <w:tblW w:w="7878" w:type="dxa"/>
        <w:jc w:val="left"/>
        <w:tblInd w:w="0" w:type="dxa"/>
        <w:tblLayout w:type="fixed"/>
        <w:tblCellMar>
          <w:top w:w="0" w:type="dxa"/>
          <w:left w:w="0" w:type="dxa"/>
          <w:bottom w:w="0" w:type="dxa"/>
          <w:right w:w="0" w:type="dxa"/>
        </w:tblCellMar>
      </w:tblPr>
      <w:tblGrid>
        <w:gridCol w:w="23"/>
        <w:gridCol w:w="170"/>
        <w:gridCol w:w="76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of a new drug for the relevant indication by healthcare providers and their patients;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pricing and cost-effectiveness of our products, as well as the cost of treatment with our products in relation to alternative treatments and therapies;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and maintain sufficient third-party coverage and adequate reimbursement from government healthcare programs, including Medicare and Medicaid, private health insurers and other third-party payors;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willingness of patients to pay all, or a portion of, out-of-pocket costs associated with our products in the absence of sufficient third-party coverage and adequate reimbursement;</w:t>
            </w:r>
          </w:p>
        </w:tc>
      </w:tr>
    </w:tbl>
    <w:tbl>
      <w:tblPr>
        <w:tblW w:w="8103" w:type="dxa"/>
        <w:jc w:val="left"/>
        <w:tblInd w:w="0" w:type="dxa"/>
        <w:tblLayout w:type="fixed"/>
        <w:tblCellMar>
          <w:top w:w="0" w:type="dxa"/>
          <w:left w:w="0" w:type="dxa"/>
          <w:bottom w:w="0" w:type="dxa"/>
          <w:right w:w="0" w:type="dxa"/>
        </w:tblCellMar>
      </w:tblPr>
      <w:tblGrid>
        <w:gridCol w:w="23"/>
        <w:gridCol w:w="170"/>
        <w:gridCol w:w="79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restrictions on the use of our products, and the prevalence and severity of any adverse effects;</w:t>
            </w:r>
          </w:p>
        </w:tc>
      </w:tr>
    </w:tbl>
    <w:tbl>
      <w:tblPr>
        <w:tblW w:w="2958" w:type="dxa"/>
        <w:jc w:val="left"/>
        <w:tblInd w:w="0" w:type="dxa"/>
        <w:tblLayout w:type="fixed"/>
        <w:tblCellMar>
          <w:top w:w="0" w:type="dxa"/>
          <w:left w:w="0" w:type="dxa"/>
          <w:bottom w:w="0" w:type="dxa"/>
          <w:right w:w="0" w:type="dxa"/>
        </w:tblCellMar>
      </w:tblPr>
      <w:tblGrid>
        <w:gridCol w:w="23"/>
        <w:gridCol w:w="170"/>
        <w:gridCol w:w="27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product liability claims;</w:t>
            </w:r>
          </w:p>
        </w:tc>
      </w:tr>
    </w:tbl>
    <w:tbl>
      <w:tblPr>
        <w:tblW w:w="9393" w:type="dxa"/>
        <w:jc w:val="left"/>
        <w:tblInd w:w="0" w:type="dxa"/>
        <w:tblLayout w:type="fixed"/>
        <w:tblCellMar>
          <w:top w:w="0" w:type="dxa"/>
          <w:left w:w="0" w:type="dxa"/>
          <w:bottom w:w="0" w:type="dxa"/>
          <w:right w:w="0" w:type="dxa"/>
        </w:tblCellMar>
      </w:tblPr>
      <w:tblGrid>
        <w:gridCol w:w="23"/>
        <w:gridCol w:w="170"/>
        <w:gridCol w:w="92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market introduction of our products as well as availability, safety and efficacy of competitive drugs;</w:t>
            </w:r>
          </w:p>
        </w:tc>
      </w:tr>
    </w:tbl>
    <w:tbl>
      <w:tblPr>
        <w:tblW w:w="7983" w:type="dxa"/>
        <w:jc w:val="left"/>
        <w:tblInd w:w="0" w:type="dxa"/>
        <w:tblLayout w:type="fixed"/>
        <w:tblCellMar>
          <w:top w:w="0" w:type="dxa"/>
          <w:left w:w="0" w:type="dxa"/>
          <w:bottom w:w="0" w:type="dxa"/>
          <w:right w:w="0" w:type="dxa"/>
        </w:tblCellMar>
      </w:tblPr>
      <w:tblGrid>
        <w:gridCol w:w="23"/>
        <w:gridCol w:w="170"/>
        <w:gridCol w:w="77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our or any potential future collaborators’ sales and marketing strategies; and</w:t>
            </w:r>
          </w:p>
        </w:tc>
      </w:tr>
    </w:tbl>
    <w:tbl>
      <w:tblPr>
        <w:tblW w:w="3888" w:type="dxa"/>
        <w:jc w:val="left"/>
        <w:tblInd w:w="0" w:type="dxa"/>
        <w:tblLayout w:type="fixed"/>
        <w:tblCellMar>
          <w:top w:w="0" w:type="dxa"/>
          <w:left w:w="0" w:type="dxa"/>
          <w:bottom w:w="0" w:type="dxa"/>
          <w:right w:w="0" w:type="dxa"/>
        </w:tblCellMar>
      </w:tblPr>
      <w:tblGrid>
        <w:gridCol w:w="23"/>
        <w:gridCol w:w="170"/>
        <w:gridCol w:w="36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publicity relating to the product.</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furmonertinib or any future product candidate is approved for marketing but does not achieve an adequate level of acceptance by physicians, hospitals, healthcare payors or patients, we may not generate sufficient revenue from that product and may not become or remain profitable. Our efforts to educate the medical community and third-party payors regarding the benefits of our products may require significant resources and may never be successful.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successful commercialization of furmonertinib or any future product candidates, if approved, will depend in part on the extent to which governmental authorities and health insurers establish coverage, adequate reimbursement levels and favorable pricing policies. Failure to obtain or maintain coverage and adequate reimbursement for our products could limit our ability to market those products and decrease our ability to generate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availability of coverage and the adequacy of reimbursement by governmental healthcare programs such as Medicare and Medicaid, private health insurers and other third-party payors are essential for most patients to be able to afford prescription medications such as furmonertinib and any future product candidates, if approved. Our ability to achieve coverage and acceptable levels of reimbursement for our products by third-party payors will have an effect on our ability to successfully commercialize those products. Accordingly, we will need to successfully implement a coverage and reimbursement strategy for any approved product candidate. Even if we obtain coverage for a given product by a third-party payor, the resulting reimbursement payment rates may not be adequate or may require co-payments that patients find unacceptably high.</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we participate in the Medicaid Drug Rebate Program or other governmental pricing programs, in certain circumstances, our products would be subject to ceiling prices set by such programs, which could reduce the revenue we may generate from any such products. Participation in such programs would also expose us to the risk of significant civil monetary penalties, sanctions and fines should we be found to be in violation of any applicable obligations thereunder.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We cannot be sure that coverage and reimbursement in the United States, the European Union or elsewhere will be available, or at an acceptable level, for any product that we may develop, and any reimbursement that may become available may be decreased or eliminated in the future.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Third-party payors increasingly are challenging prices charged for biopharmaceutical products and services, and many third-party payors may refuse to provide coverage and reimbursement for particular drugs when an equivalent generic drug or a less expensive therapy is available. Even if we are successful in demonstrating improved efficacy or improved convenience of administration with our future products, pricing of existing drugs may limit the amount we will be able to charge for our products. Increasingly, other third-party payors are requiring that drug companies provide them with predetermined discounts from list prices and are challenging the prices charged for medical products. Payors may deny or revoke the reimbursement status of a given product or establish prices for new or existing marketed products at levels that are too low to enable us to realize an appropriate return on our investment in product development. If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reimbursement is not available or is available only at limited levels, we may not be able to successfully commercialize our future products and may not be able to obtain a satisfactory financial return on products that we may develop.</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is significant uncertainty related to third-party payor coverage and reimbursement of newly approved products. In the United States, third-party payors, including private and governmental payors, such as the Medicare and Medicaid programs, play an important role in determining the extent to which new drugs will be covered. Some third-party payors may require pre-approval of coverage for new or innovative drugs before they will reimburse healthcare providers who use such therapies. It is difficult to predict at this time what third-party payors will decide with respect to the coverage and reimbursement for furmonertinib and any future product candidates, if approved.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Obtaining and maintaining reimbursement status is time-consuming,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a time 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and, in some cases, at short notice, and we believe that changes in these rules and regulations are likely.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Additionally, the IRA authorized the Centers for Medicare &amp; Medicaid Services (CMS) to negotiate drug prices annually for a select number of single source Medicare Part D drugs without generic competition starting in payment year 2026, and to negotiate drug prices for a select number of Medicare Part B drugs starting for payment year 2028. If a drug product is selected by CMS for negotiation, it is expected that the revenue generated from such drug will decrease. CMS has begun to implement these new regulations but their impact on the biopharmaceutical industry in the United States remains uncertain, in part due to several pending federal lawsuits challenging the constitutionality of the program. We cannot be sure that coverage and reimbursement will be available for any product that we commercialize in the future and, if reimbursement is available, what the level of reimbursement will be.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our products candidates, if approved in these jurisdictions.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products. Accordingly, in markets outside the United States, if any, the reimbursement for our products may be reduced compared with the United States and may be insufficient to generate commercially reasonable revenue and profits.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expect to experience pricing pressures in connection with the sale of any of our products due to the trend toward managed healthcare, the increasing influence of health maintenance organizations and additional legislative changes. The downward pressure on healthcare costs in general, and prescription drugs, surgical procedures and other treatments in particular, has become very intense. As a result, increasingly high barriers are being erected to the entry of new products.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face significant competition, and if our competitors develop and commercialize technologies or product candidates more rapidly than we do, or their technologies or product candidates are more effective, safer, or less expensive than furmonertinib and any future product candidates we develop, our business and our ability to develop and successfully commercialize products will be adversely affected.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biopharmaceutical industry is characterized by rapid advancing technologies, intense competition and a strong emphasis on proprietary and novel products and product candidates. Our competitors have developed, are developing or may develop products, product candidates and processes competitive with furmonertinib. Furmonertinib and any future product candidates that we successfully develop and commercialize will compete with existing therapies and new therapies that may become available in the future. Our competitors include larger and better-funded pharmaceutical, biopharmaceutical, biotechnological and therapeutics companies. Moreover, we may also compete with universities and other research institutions who may be active in research in our target indications and could be in direct competition with us. We also compete with these organizations to recruit management, scientists and clinical development personnel, and our inability to compete successfully could negatively affect our level of expertise and our ability to execute our business plan. We will also face competition in establishing clinical trial sites, enrolling subjects for clinical trials and in identifying and in-licensing intellectual property related to new product candidates, as well as entering into collaborations, joint ventures, license agreements and other similar arrangements. Smaller or early-stage companies may also prove to be significant competitors, particularly through collaborative arrangements with large and established companies.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believe that our current and future competition for resources and eventually for customers comes from companies that are commercializing or developing candidates targeting EGFRm-positive NSCLC, including, but not limited to, AstraZeneca, Johnson &amp; Johnson, Takeda Pharmaceutical Company Limited, Blueprint Medicines Corp, Dizal Pharmaceutical, Oric Pharmaceuticals, Black Diamond Therapeutics, Inc., Taiho Pharmaceutical Co., Ltd., Boehringer Ingelheim and Bayer AG. In October 2023, Johnson &amp; Johnson presented the results of the Phase 3 PAPILLON study of chemotherapy in combination with the anti-EGFR anti-MET bispecific antibody amivantamab in first-line NSCLC patents with EGFR exon 20 insertion mutations, and announced in July 2023 that the PAPILLON study met its primary endpoint. In October 2023, Dizal Pharmaceutical and Oric Pharmaceuticals provided updates on their oral EGFR inhibitors sunvozertinib and ORIC-114, respectively, each of which is being studied in Phase 1 trials in first-line NSCLC patients with EGFR exon 20 insertion mutations.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Many of our competitors have significantly greater financial, technical, manufacturing, marketing, sales and supply resources or experience than we do. If we successfully obtain approval for furmonertinib or any future product candidate, we will face competition based on many different factors, including the safety and effectiveness of our products, the ease with which our products can be administered,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Competing products may render furmonertinib or any future product candidates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 See “Business — Competition.”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currently have no marketing and sales organization and have no experience as a company in commercializing products, and we may need to invest significant resources to develop these capabilities. If we are unable to establish marketing and sales capabilities or enter into agreements with third parties to market and sell our products, we may not be able to generate product revenue.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have no internal sales, marketing or distribution capabilities, nor have we commercialized a product. If furmonertinib or any future product candidate ultimately receives regulatory approval, we must build a marketing and sales organization with technical expertise and supporting distribution capabilities to commercialize each such product in major markets, which will be expensive and time consuming, or collaborate with third parties that have direct sales forces and established distribution systems, either to augment our own sales force and distribution systems or in lieu of our own sales force and distribution systems. We have no prior experience as a company with the marketing, sale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distribution of biopharmaceutical products and there are significant risks involved in the building and managing of a sales organization, including our ability to hire, retain and incentivize qualified individuals, generate sufficient sales leads, provide adequate training to sales and marketing personnel, monitor compliance on an ongoing basis, and effectively manage a geographically dispersed sales and marketing team. Any failure or delay in the development of our internal sales, marketing and distribution capabilities would adversely impact the commercialization of these products. We compete with many companies that currently have extensive, experienced and well-funded market access, marketing and sales operations to recruit, hire, train and retain marketing and sales personnel, and will have to compete with those companies to recruit, hire, train and retain any of our own market access, marketing and sales personnel. If we are unable to expand our sales and marketing team, we may be unable to compete successfully against these more established companies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the market opportunities for furmonertinib and any future product candidates are smaller than we believe they are, our revenue may be adversely affected, and our business may suffer.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precise incidence and prevalence for the various mutations of NSCLC we aim to address with furmonertinib or any future product candidates are unknown. Our projections of both the number of people who have EGFRm NSCLC or other diseases we target, as well as the subset of people with these diseases who have the potential to benefit from treatment with our product candidates, are based on a number of internal and third-party estimates. These estimates have been derived from a variety of sources, including the scientific literature, surveys of clinics, patient foundations or market research, and may prove to be incorrect. Further, new trials may change the estimated incidence or prevalence of these indications. While we believe our assumptions and the data underlying our estimates are reasonable, we have not independently verified the accuracy of the third-party data on which we have based our assumptions and estimates, and these assumptions and estimates may not be correct and the conditions supporting our assumptions or estimates may change at any time, including as a result of factors outside our control, thereby reducing the predictive accuracy of these underlying factors. The total addressable market across all of the potential indications for furmonertinib and any future product candidates will ultimately depend upon, among other things, the diagnosis criteria included in the final label for each such product candidate which receives marketing approval for these indications, the availability of alternative treatments and the safety, convenience, cost and efficacy of such product candidates relative to such alternative treatments, acceptance by the medical community and patient access, drug pricing and reimbursement. The number of patients in the United States and other major markets and elsewhere may turn out to be lower than expected, patients may not be otherwise amenable to treatment with our product candidates or new patients may become increasingly difficult to identify or gain access to, all of which would adversely affect our business,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future growth may depend, in part, on our ability to operate in foreign markets, where we would be subject to additional regulatory burdens and other risks and uncertainties.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future growth may depend, in part, on our ability to develop and commercialize furmonertinib and any future product candidates in foreign markets. We are not permitted to market or promote any product candidate before we receive regulatory approval from applicable regulatory authorities in foreign markets, and we may never receive such regulatory approvals for furmonertinib or any future product candidates. To obtain separate regulatory approval in many other countries we must comply with numerous and varying regulatory requirements regarding safety and efficacy and governing, among other things, clinical trials, commercial sales, pricing and distribution of furmonertinib and any future product candidates. Approval procedures may be more onerous than those in the United States and may require that we conduct additional preclinical studies or clinical trials. If we obtain regulatory approval of product candidates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ultimately commercialize our products in foreign markets, we would be subject to additional risks and uncertainties, including:</w:t>
      </w:r>
    </w:p>
    <w:tbl>
      <w:tblPr>
        <w:tblW w:w="6318" w:type="dxa"/>
        <w:jc w:val="left"/>
        <w:tblInd w:w="0" w:type="dxa"/>
        <w:tblLayout w:type="fixed"/>
        <w:tblCellMar>
          <w:top w:w="0" w:type="dxa"/>
          <w:left w:w="0" w:type="dxa"/>
          <w:bottom w:w="0" w:type="dxa"/>
          <w:right w:w="0" w:type="dxa"/>
        </w:tblCellMar>
      </w:tblPr>
      <w:tblGrid>
        <w:gridCol w:w="23"/>
        <w:gridCol w:w="170"/>
        <w:gridCol w:w="61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different regulatory requirements for approval of drugs in foreign countries;</w:t>
            </w:r>
          </w:p>
        </w:tc>
      </w:tr>
    </w:tbl>
    <w:tbl>
      <w:tblPr>
        <w:tblW w:w="4293" w:type="dxa"/>
        <w:jc w:val="left"/>
        <w:tblInd w:w="0" w:type="dxa"/>
        <w:tblLayout w:type="fixed"/>
        <w:tblCellMar>
          <w:top w:w="0" w:type="dxa"/>
          <w:left w:w="0" w:type="dxa"/>
          <w:bottom w:w="0" w:type="dxa"/>
          <w:right w:w="0" w:type="dxa"/>
        </w:tblCellMar>
      </w:tblPr>
      <w:tblGrid>
        <w:gridCol w:w="23"/>
        <w:gridCol w:w="170"/>
        <w:gridCol w:w="41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protection for intellectual property rights;</w:t>
            </w:r>
          </w:p>
        </w:tc>
      </w:tr>
    </w:tbl>
    <w:tbl>
      <w:tblPr>
        <w:tblW w:w="7488" w:type="dxa"/>
        <w:jc w:val="left"/>
        <w:tblInd w:w="0" w:type="dxa"/>
        <w:tblLayout w:type="fixed"/>
        <w:tblCellMar>
          <w:top w:w="0" w:type="dxa"/>
          <w:left w:w="0" w:type="dxa"/>
          <w:bottom w:w="0" w:type="dxa"/>
          <w:right w:w="0" w:type="dxa"/>
        </w:tblCellMar>
      </w:tblPr>
      <w:tblGrid>
        <w:gridCol w:w="23"/>
        <w:gridCol w:w="170"/>
        <w:gridCol w:w="72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existence of additional third-party patent rights of potential relevance to our business;</w:t>
            </w:r>
          </w:p>
        </w:tc>
      </w:tr>
    </w:tbl>
    <w:tbl>
      <w:tblPr>
        <w:tblW w:w="6108" w:type="dxa"/>
        <w:jc w:val="left"/>
        <w:tblInd w:w="0" w:type="dxa"/>
        <w:tblLayout w:type="fixed"/>
        <w:tblCellMar>
          <w:top w:w="0" w:type="dxa"/>
          <w:left w:w="0" w:type="dxa"/>
          <w:bottom w:w="0" w:type="dxa"/>
          <w:right w:w="0" w:type="dxa"/>
        </w:tblCellMar>
      </w:tblPr>
      <w:tblGrid>
        <w:gridCol w:w="23"/>
        <w:gridCol w:w="170"/>
        <w:gridCol w:w="59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unexpected changes in tariffs, trade barriers and regulatory requirements;</w:t>
            </w:r>
          </w:p>
        </w:tc>
      </w:tr>
    </w:tbl>
    <w:tbl>
      <w:tblPr>
        <w:tblW w:w="8988" w:type="dxa"/>
        <w:jc w:val="left"/>
        <w:tblInd w:w="0" w:type="dxa"/>
        <w:tblLayout w:type="fixed"/>
        <w:tblCellMar>
          <w:top w:w="0" w:type="dxa"/>
          <w:left w:w="0" w:type="dxa"/>
          <w:bottom w:w="0" w:type="dxa"/>
          <w:right w:w="0" w:type="dxa"/>
        </w:tblCellMar>
      </w:tblPr>
      <w:tblGrid>
        <w:gridCol w:w="23"/>
        <w:gridCol w:w="170"/>
        <w:gridCol w:w="87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weakness, including inflation, or political instability in particular foreign economies and markets;</w:t>
            </w:r>
          </w:p>
        </w:tc>
      </w:tr>
    </w:tbl>
    <w:tbl>
      <w:tblPr>
        <w:tblW w:w="5463" w:type="dxa"/>
        <w:jc w:val="left"/>
        <w:tblInd w:w="0" w:type="dxa"/>
        <w:tblLayout w:type="fixed"/>
        <w:tblCellMar>
          <w:top w:w="0" w:type="dxa"/>
          <w:left w:w="0" w:type="dxa"/>
          <w:bottom w:w="0" w:type="dxa"/>
          <w:right w:w="0" w:type="dxa"/>
        </w:tblCellMar>
      </w:tblPr>
      <w:tblGrid>
        <w:gridCol w:w="23"/>
        <w:gridCol w:w="170"/>
        <w:gridCol w:w="52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export control and import laws and regulations;</w:t>
            </w:r>
          </w:p>
        </w:tc>
      </w:tr>
    </w:tbl>
    <w:tbl>
      <w:tblPr>
        <w:tblW w:w="8658" w:type="dxa"/>
        <w:jc w:val="left"/>
        <w:tblInd w:w="0" w:type="dxa"/>
        <w:tblLayout w:type="fixed"/>
        <w:tblCellMar>
          <w:top w:w="0" w:type="dxa"/>
          <w:left w:w="0" w:type="dxa"/>
          <w:bottom w:w="0" w:type="dxa"/>
          <w:right w:w="0" w:type="dxa"/>
        </w:tblCellMar>
      </w:tblPr>
      <w:tblGrid>
        <w:gridCol w:w="23"/>
        <w:gridCol w:w="170"/>
        <w:gridCol w:w="84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tax, employment, immigration and labor laws for employees living or traveling abroad;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fluctuations, which could result in increased operating expenses and reduced revenue, and other obligations incident to doing business in another country;</w:t>
            </w:r>
          </w:p>
        </w:tc>
      </w:tr>
    </w:tbl>
    <w:tbl>
      <w:tblPr>
        <w:tblW w:w="4623" w:type="dxa"/>
        <w:jc w:val="left"/>
        <w:tblInd w:w="0" w:type="dxa"/>
        <w:tblLayout w:type="fixed"/>
        <w:tblCellMar>
          <w:top w:w="0" w:type="dxa"/>
          <w:left w:w="0" w:type="dxa"/>
          <w:bottom w:w="0" w:type="dxa"/>
          <w:right w:w="0" w:type="dxa"/>
        </w:tblCellMar>
      </w:tblPr>
      <w:tblGrid>
        <w:gridCol w:w="23"/>
        <w:gridCol w:w="170"/>
        <w:gridCol w:w="44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reimbursement, pricing and insurance regimes;</w:t>
            </w:r>
          </w:p>
        </w:tc>
      </w:tr>
    </w:tbl>
    <w:tbl>
      <w:tblPr>
        <w:tblW w:w="5523" w:type="dxa"/>
        <w:jc w:val="left"/>
        <w:tblInd w:w="0" w:type="dxa"/>
        <w:tblLayout w:type="fixed"/>
        <w:tblCellMar>
          <w:top w:w="0" w:type="dxa"/>
          <w:left w:w="0" w:type="dxa"/>
          <w:bottom w:w="0" w:type="dxa"/>
          <w:right w:w="0" w:type="dxa"/>
        </w:tblCellMar>
      </w:tblPr>
      <w:tblGrid>
        <w:gridCol w:w="23"/>
        <w:gridCol w:w="170"/>
        <w:gridCol w:w="53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workforce uncertainty in countries where labor unrest is common;</w:t>
            </w:r>
          </w:p>
        </w:tc>
      </w:tr>
    </w:tbl>
    <w:tbl>
      <w:tblPr>
        <w:tblW w:w="6378" w:type="dxa"/>
        <w:jc w:val="left"/>
        <w:tblInd w:w="0" w:type="dxa"/>
        <w:tblLayout w:type="fixed"/>
        <w:tblCellMar>
          <w:top w:w="0" w:type="dxa"/>
          <w:left w:w="0" w:type="dxa"/>
          <w:bottom w:w="0" w:type="dxa"/>
          <w:right w:w="0" w:type="dxa"/>
        </w:tblCellMar>
      </w:tblPr>
      <w:tblGrid>
        <w:gridCol w:w="23"/>
        <w:gridCol w:w="170"/>
        <w:gridCol w:w="61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differing regulatory requirements with respect to manufacturing of products;</w:t>
            </w:r>
          </w:p>
        </w:tc>
      </w:tr>
    </w:tbl>
    <w:tbl>
      <w:tblPr>
        <w:tblW w:w="9513" w:type="dxa"/>
        <w:jc w:val="left"/>
        <w:tblInd w:w="0" w:type="dxa"/>
        <w:tblLayout w:type="fixed"/>
        <w:tblCellMar>
          <w:top w:w="0" w:type="dxa"/>
          <w:left w:w="0" w:type="dxa"/>
          <w:bottom w:w="0" w:type="dxa"/>
          <w:right w:w="0" w:type="dxa"/>
        </w:tblCellMar>
      </w:tblPr>
      <w:tblGrid>
        <w:gridCol w:w="23"/>
        <w:gridCol w:w="170"/>
        <w:gridCol w:w="93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production shortages resulting from any events affecting raw material supply or manufacturing capabilities abroad;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interruptions resulting from geopolitical actions, including war and terrorism, or natural disasters including earthquakes, typhoons, floods and fires; and</w:t>
            </w:r>
          </w:p>
        </w:tc>
      </w:tr>
    </w:tbl>
    <w:tbl>
      <w:tblPr>
        <w:tblW w:w="9558" w:type="dxa"/>
        <w:jc w:val="left"/>
        <w:tblInd w:w="0" w:type="dxa"/>
        <w:tblLayout w:type="fixed"/>
        <w:tblCellMar>
          <w:top w:w="0" w:type="dxa"/>
          <w:left w:w="0" w:type="dxa"/>
          <w:bottom w:w="0" w:type="dxa"/>
          <w:right w:w="0" w:type="dxa"/>
        </w:tblCellMar>
      </w:tblPr>
      <w:tblGrid>
        <w:gridCol w:w="23"/>
        <w:gridCol w:w="170"/>
        <w:gridCol w:w="93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disruptions resulting from the impact of public health pandemics or epidemics (including, for example, COVID-19).</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successfully identify, acquire, develop or commercialize new potential product candidates.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Part of our business strategy is to expand our product candidate pipeline by identifying and validating new product candidates, which we may develop ourselves, in-license or otherwise acquire from others. In addition, in the event that our existing product candidates do not receive regulatory approval or are not successfully commercialized, then the success of our business will depend on our ability to expand our product pipeline through internal development, in-licensing or other acquisitions. We may be unable to identify relevant product candidates. If we do identify such product candidates, we may be unable to reach acceptable terms with any third party from which we desire to in-license or acquire them. Any product candidates we identify, acquire, in-license, develop, or manufacture may not be safe or effective for their targeted diseases, and may not receive marketing authorization in a timely manner, or at all.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Business Operations and Industry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operating results may fluctuate significantly, which makes our future operating results difficult to predict and could cause our operating results to fall below expectations or any guidance we may provide.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cost of, and level of investment in, research, development, regulatory approval and commercialization activities relating to furmonertinib or any future product candidates, which may change from time to time;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success or failure of preclinical studies or clinical trials for furmonertinib or any future product candidates or competing product candidates, or any other change in the competitive landscape of our industry, including consolidation among our competitors or partners;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coverage and reimbursement policies with respect to furmonertinib or any future product candidates, if approved, and potential future drugs that compete with our products;</w:t>
            </w:r>
          </w:p>
        </w:tc>
      </w:tr>
    </w:tbl>
    <w:tbl>
      <w:tblPr>
        <w:tblW w:w="9768" w:type="dxa"/>
        <w:jc w:val="left"/>
        <w:tblInd w:w="0" w:type="dxa"/>
        <w:tblLayout w:type="fixed"/>
        <w:tblCellMar>
          <w:top w:w="0" w:type="dxa"/>
          <w:left w:w="0" w:type="dxa"/>
          <w:bottom w:w="0" w:type="dxa"/>
          <w:right w:w="0" w:type="dxa"/>
        </w:tblCellMar>
      </w:tblPr>
      <w:tblGrid>
        <w:gridCol w:w="23"/>
        <w:gridCol w:w="170"/>
        <w:gridCol w:w="95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expenditures that we may incur to acquire, develop or commercialize additional product candidates and technologies;</w:t>
            </w:r>
          </w:p>
        </w:tc>
      </w:tr>
    </w:tbl>
    <w:tbl>
      <w:tblPr>
        <w:tblW w:w="6513" w:type="dxa"/>
        <w:jc w:val="left"/>
        <w:tblInd w:w="0" w:type="dxa"/>
        <w:tblLayout w:type="fixed"/>
        <w:tblCellMar>
          <w:top w:w="0" w:type="dxa"/>
          <w:left w:w="0" w:type="dxa"/>
          <w:bottom w:w="0" w:type="dxa"/>
          <w:right w:w="0" w:type="dxa"/>
        </w:tblCellMar>
      </w:tblPr>
      <w:tblGrid>
        <w:gridCol w:w="23"/>
        <w:gridCol w:w="170"/>
        <w:gridCol w:w="63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demand for any approved products, which may vary significantly;</w:t>
            </w:r>
          </w:p>
        </w:tc>
      </w:tr>
    </w:tbl>
    <w:tbl>
      <w:tblPr>
        <w:tblW w:w="6198" w:type="dxa"/>
        <w:jc w:val="left"/>
        <w:tblInd w:w="0" w:type="dxa"/>
        <w:tblLayout w:type="fixed"/>
        <w:tblCellMar>
          <w:top w:w="0" w:type="dxa"/>
          <w:left w:w="0" w:type="dxa"/>
          <w:bottom w:w="0" w:type="dxa"/>
          <w:right w:w="0" w:type="dxa"/>
        </w:tblCellMar>
      </w:tblPr>
      <w:tblGrid>
        <w:gridCol w:w="23"/>
        <w:gridCol w:w="170"/>
        <w:gridCol w:w="60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accounting pronouncements or changes in our accounting policies;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amount of any milestone, royalty or other payments payable by us or due to us under any collaboration, licensing or other similar agreement; and</w:t>
            </w:r>
          </w:p>
        </w:tc>
      </w:tr>
    </w:tbl>
    <w:tbl>
      <w:tblPr>
        <w:tblW w:w="4473" w:type="dxa"/>
        <w:jc w:val="left"/>
        <w:tblInd w:w="0" w:type="dxa"/>
        <w:tblLayout w:type="fixed"/>
        <w:tblCellMar>
          <w:top w:w="0" w:type="dxa"/>
          <w:left w:w="0" w:type="dxa"/>
          <w:bottom w:w="0" w:type="dxa"/>
          <w:right w:w="0" w:type="dxa"/>
        </w:tblCellMar>
      </w:tblPr>
      <w:tblGrid>
        <w:gridCol w:w="23"/>
        <w:gridCol w:w="170"/>
        <w:gridCol w:w="42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general market and economic conditions.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dependent on the services of our management and other clinical and scientific personnel, and if we are not able to retain these individuals or recruit additional management or clinical and scientific personnel, our business will suffer.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 clinical-stage company, and, as of December 31, 2023, had 40 full-time employees. We are highly dependent on the research and development, clinical and business development expertise of Zhengbin (Bing) Yao, Ph.D., our co-founder, Chief Executive Officer and Chairman, and Stuart Lutzker, M.D., Ph.D., our co-founder and President of Research and Development, as well as the other principal members of our management, scientific and clinical team. Although we have entered into offer letters with our executive officers, each of them may terminate his or her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 quality personnel, our ability to pursue our growth strategy will be limited.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job candidates and existing employees often consider the value of the stock awards they receive in connection with their employment. If the perceived benefits of our stock awards decline, either because we are a public company or for other reasons, it may harm our ability to recruit and retain highly skilled employees.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will need to expand and effectively manage our managerial, operational, financial and other resources in order to successfully pursue our clinical development and commercialization efforts. We may not be successful in maintaining our company culture and continuing to attract or retain qualified management and scientific and clinical personnel in the future due to the intense competition for qualified personnel among biopharmaceutical, biotechnology and other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businesses. Our industry has experienced a high rate of turnover of management personnel in recent years.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will need to develop and expand our organization, and we may encounter difficulties in managing our growth and expanding our operations successfully, which could disrupt our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2023, we had 40 full-time employees. As we continue development and pursue the potential commercialization of furmonertinib and any future product candidates, as well as transition to functioning as a public company, we will need to expand our financial, accounting, development, regulatory, manufacturing, information technology, marketing and sales capabilities or contract with third parties to provide these capabilities for us. We may have difficulty identifying, hiring and integrating new personnel. The expansion of our operations may lead to significant costs and may divert the attention of our management and business development resources away from day-to-day activities and devote a substantial amount of time to managing internal or external growth. As our operations expand, we expect that we will need to manage additional relationships with various strategic partners, suppliers and other third parties and we may not be successful in doing so. Our future financial performance and our ability to develop and commercialize furmonertinib and any future product candidates and to compete effectively will depend, in part, on our ability to manage any future growth effectively.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subject to various U.S. federal, state and foreign healthcare laws and regulations, which could increase compliance costs, and our failure to comply with these laws and regulations could expose us to criminal sanctions, civil and administrative penalties, contractual damages, reputational harm and diminished profits and future earnings, among other penalties, any of which could harm our results of operations and financial condition.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business operations and current and future arrangements with investigators, healthcare professionals, consultants, third-party payors, patient organizations and customers expose us to broadly applicable foreign, federal and state fraud and abuse and other healthcare laws and regulations. These laws may constrain the business or financial arrangements and relationships through which we conduct our operations, including how we research, market, sell and distribute any products for which we obtain marketing approval. Such laws include: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in order to have committed a violation;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false claims laws, including the civil False Claims Act, and civil monetary penalties laws, which prohibit,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civil False Claims Act;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CMS information related to payments and other “transfers of value” made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as well as ownership and investment interests held by physicians and their immediate family members;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laws that require biotechnology companies to report information on the pricing of certain drug products; and some state and local laws that require the registration or pharmaceutical sales representatives.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Efforts to ensure that our current and future business arrangements with third parties will comply with applicable healthcare and privacy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and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are found not to be in compliance with applicable laws or regulations, they may be subject to significant criminal, civil or administrative sanctions, including exclusions from government-funded healthcare programs.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enacted legislation, future legislation and healthcare reform measures may increase the difficulty and cost for us to obtain marketing approval for and commercialize furmonertinib and any future product candidates and may affect the prices we may set.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example, in March 2010, the ACA was enacted in the United States. The ACA established an annual, nondeductible fee on any entity that manufactures or imports specified branded prescription drugs and biologic agents; extended manufacturers’ Medicaid rebate liability to covered drugs dispensed to individuals who are enrolled in Medicaid managed care organizations; expanded eligibility criteria for Medicaid programs; expanded the entities eligible for discounts under the 340B drug pricing program; increased the statutory minimum rebates a manufacturer must pay under the Medicaid Drug Rebate Program; established a new Patient-Centered Outcomes Research Institute to oversee, identify priorities in and conduct comparative clinical effectiveness research, along with funding for such research; and established a Center for Medicare &amp; Medicaid Innovation at CMS to test innovative payment and service delivery models to lower Medicare and Medicaid spending.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other legislative changes have been proposed and adopted since the ACA was enacted. For example, on March 11, 2021, the American Rescue Plan Act of 2021 was signed into law, which eliminated the statutory cap on the Medicaid drug rebate, set at 100% of a drug’s average manufacturing price, beginning January 1, 2024. Further, there has been heightened governmental scrutiny in the United States of pharmaceutical pricing practices in light of the rising cost of prescription drugs. Such scrutiny has resulted in several recent congressional inquiries and proposed and enacted federal and state legislation designed to, among other things, bring more transparency to product pricing, review the relationship between pricing and manufacturer patient assistance programs, and reform government program reimbursement methodologies for products. Most recently, the IRA introduced a number of significant drug pricing reforms, including the establishment of a drug price negotiation program within the HHS (beginning in 2026) that requires manufacturers to charge a negotiated “maximum fair price” for certain selected drugs or pay an excise tax for noncompliance, the establishment of rebate payment requirements on manufacturers under Medicare Parts B and D to penalize price increases that outpace inflation (first due in 2023), and a redesign of the Part D benefit, as part of which manufacturers are required to provide discounts on Part D drugs (beginning in 2025). The program being implemented by HHS is currently the subject of several federal lawsuits, and its ultimate form remains uncertain. Additional drug pricing proposals could also appear in future legislation.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the state level, legislatures have increasingly passed legislation and implemented regulations designed to control pharmaceutical and biological product pricing, including price or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pharmacy benefit managers (PBMs), and other members of the health care and pharmaceutical supply chain, an important decision that had led to further and more aggressive efforts by states in this area. The FTC in mid-2022 also launched sweeping investigations into the practices of the PBM industry that could lead to additional federal and state legislative or regulatory proposals targeting such entities’ operations, pharmacy networks, or financial arrangements, and Congress has been convening hearings to learn more about PBM practices and the pharmaceutical supply chain more broadly. Significant efforts to change the PBM industry as it currently exists in the U.S. may affect the entire pharmaceutical supply chain and the business of other stakeholders, including innovative drug product developers like us. Legally mandated price controls on payment amounts by third-party payors or other restrictions, if enacted and applicable to any of our future commercial products,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furmonertinib and any future product candidates, if approved, or put pressure on our product pricing, which could negatively affect our business, results of operations, financial condition and prospects.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expect that these new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furmonertinib and any future product candidates, if approved.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product liability lawsuits are brought against us, we may incur substantial liabilities and may be required to limit, delay or cease commercialization of any products we may develop.</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face an inherent risk of product liability as a result of the clinical trials of furmonertinib and any future product candidates and will face an even greater risk if we commercialize our product candidates, especially if our products are prescribed for off-label uses, even if we do not promote such uses. For example, we may be sued if our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we cannot successfully defend ourselves against product liability claims, we may incur substantial liabilities or be required to limit, delay or cease the commercialization of our products. Even a successful defense would require significant financial and management resources. Regardless of the merits or eventual outcome, liability claims may result in:</w:t>
      </w:r>
    </w:p>
    <w:tbl>
      <w:tblPr>
        <w:tblW w:w="3618" w:type="dxa"/>
        <w:jc w:val="left"/>
        <w:tblInd w:w="0" w:type="dxa"/>
        <w:tblLayout w:type="fixed"/>
        <w:tblCellMar>
          <w:top w:w="0" w:type="dxa"/>
          <w:left w:w="0" w:type="dxa"/>
          <w:bottom w:w="0" w:type="dxa"/>
          <w:right w:w="0" w:type="dxa"/>
        </w:tblCellMar>
      </w:tblPr>
      <w:tblGrid>
        <w:gridCol w:w="23"/>
        <w:gridCol w:w="170"/>
        <w:gridCol w:w="34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demand for our future products;</w:t>
            </w:r>
          </w:p>
        </w:tc>
      </w:tr>
    </w:tbl>
    <w:tbl>
      <w:tblPr>
        <w:tblW w:w="5508" w:type="dxa"/>
        <w:jc w:val="left"/>
        <w:tblInd w:w="0" w:type="dxa"/>
        <w:tblLayout w:type="fixed"/>
        <w:tblCellMar>
          <w:top w:w="0" w:type="dxa"/>
          <w:left w:w="0" w:type="dxa"/>
          <w:bottom w:w="0" w:type="dxa"/>
          <w:right w:w="0" w:type="dxa"/>
        </w:tblCellMar>
      </w:tblPr>
      <w:tblGrid>
        <w:gridCol w:w="23"/>
        <w:gridCol w:w="170"/>
        <w:gridCol w:w="53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injury to our reputation and significant negative media attention;</w:t>
            </w:r>
          </w:p>
        </w:tc>
      </w:tr>
    </w:tbl>
    <w:tbl>
      <w:tblPr>
        <w:tblW w:w="3423" w:type="dxa"/>
        <w:jc w:val="left"/>
        <w:tblInd w:w="0" w:type="dxa"/>
        <w:tblLayout w:type="fixed"/>
        <w:tblCellMar>
          <w:top w:w="0" w:type="dxa"/>
          <w:left w:w="0" w:type="dxa"/>
          <w:bottom w:w="0" w:type="dxa"/>
          <w:right w:w="0" w:type="dxa"/>
        </w:tblCellMar>
      </w:tblPr>
      <w:tblGrid>
        <w:gridCol w:w="23"/>
        <w:gridCol w:w="170"/>
        <w:gridCol w:w="32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of clinical trial participants;</w:t>
            </w:r>
          </w:p>
        </w:tc>
      </w:tr>
    </w:tbl>
    <w:tbl>
      <w:tblPr>
        <w:tblW w:w="3198" w:type="dxa"/>
        <w:jc w:val="left"/>
        <w:tblInd w:w="0" w:type="dxa"/>
        <w:tblLayout w:type="fixed"/>
        <w:tblCellMar>
          <w:top w:w="0" w:type="dxa"/>
          <w:left w:w="0" w:type="dxa"/>
          <w:bottom w:w="0" w:type="dxa"/>
          <w:right w:w="0" w:type="dxa"/>
        </w:tblCellMar>
      </w:tblPr>
      <w:tblGrid>
        <w:gridCol w:w="23"/>
        <w:gridCol w:w="170"/>
        <w:gridCol w:w="30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to defend the related litigation;</w:t>
            </w:r>
          </w:p>
        </w:tc>
      </w:tr>
    </w:tbl>
    <w:tbl>
      <w:tblPr>
        <w:tblW w:w="4773" w:type="dxa"/>
        <w:jc w:val="left"/>
        <w:tblInd w:w="0" w:type="dxa"/>
        <w:tblLayout w:type="fixed"/>
        <w:tblCellMar>
          <w:top w:w="0" w:type="dxa"/>
          <w:left w:w="0" w:type="dxa"/>
          <w:bottom w:w="0" w:type="dxa"/>
          <w:right w:w="0" w:type="dxa"/>
        </w:tblCellMar>
      </w:tblPr>
      <w:tblGrid>
        <w:gridCol w:w="23"/>
        <w:gridCol w:w="170"/>
        <w:gridCol w:w="45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diversion of our management’s time and our resources;</w:t>
            </w:r>
          </w:p>
        </w:tc>
      </w:tr>
    </w:tbl>
    <w:tbl>
      <w:tblPr>
        <w:tblW w:w="4443" w:type="dxa"/>
        <w:jc w:val="left"/>
        <w:tblInd w:w="0" w:type="dxa"/>
        <w:tblLayout w:type="fixed"/>
        <w:tblCellMar>
          <w:top w:w="0" w:type="dxa"/>
          <w:left w:w="0" w:type="dxa"/>
          <w:bottom w:w="0" w:type="dxa"/>
          <w:right w:w="0" w:type="dxa"/>
        </w:tblCellMar>
      </w:tblPr>
      <w:tblGrid>
        <w:gridCol w:w="23"/>
        <w:gridCol w:w="170"/>
        <w:gridCol w:w="42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monetary awards to any injured patients;</w:t>
            </w:r>
          </w:p>
        </w:tc>
      </w:tr>
    </w:tbl>
    <w:tbl>
      <w:tblPr>
        <w:tblW w:w="6588" w:type="dxa"/>
        <w:jc w:val="left"/>
        <w:tblInd w:w="0" w:type="dxa"/>
        <w:tblLayout w:type="fixed"/>
        <w:tblCellMar>
          <w:top w:w="0" w:type="dxa"/>
          <w:left w:w="0" w:type="dxa"/>
          <w:bottom w:w="0" w:type="dxa"/>
          <w:right w:w="0" w:type="dxa"/>
        </w:tblCellMar>
      </w:tblPr>
      <w:tblGrid>
        <w:gridCol w:w="23"/>
        <w:gridCol w:w="170"/>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recalls, withdrawals or labeling, marketing or promotional restrictions;</w:t>
            </w:r>
          </w:p>
        </w:tc>
      </w:tr>
    </w:tbl>
    <w:tbl>
      <w:tblPr>
        <w:tblW w:w="3258" w:type="dxa"/>
        <w:jc w:val="left"/>
        <w:tblInd w:w="0" w:type="dxa"/>
        <w:tblLayout w:type="fixed"/>
        <w:tblCellMar>
          <w:top w:w="0" w:type="dxa"/>
          <w:left w:w="0" w:type="dxa"/>
          <w:bottom w:w="0" w:type="dxa"/>
          <w:right w:w="0" w:type="dxa"/>
        </w:tblCellMar>
      </w:tblPr>
      <w:tblGrid>
        <w:gridCol w:w="23"/>
        <w:gridCol w:w="170"/>
        <w:gridCol w:w="30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negative financial impact;</w:t>
            </w:r>
          </w:p>
        </w:tc>
      </w:tr>
    </w:tbl>
    <w:tbl>
      <w:tblPr>
        <w:tblW w:w="6903" w:type="dxa"/>
        <w:jc w:val="left"/>
        <w:tblInd w:w="0" w:type="dxa"/>
        <w:tblLayout w:type="fixed"/>
        <w:tblCellMar>
          <w:top w:w="0" w:type="dxa"/>
          <w:left w:w="0" w:type="dxa"/>
          <w:bottom w:w="0" w:type="dxa"/>
          <w:right w:w="0" w:type="dxa"/>
        </w:tblCellMar>
      </w:tblPr>
      <w:tblGrid>
        <w:gridCol w:w="23"/>
        <w:gridCol w:w="170"/>
        <w:gridCol w:w="67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commercialize furmonertinib or any future product candidates; and</w:t>
            </w:r>
          </w:p>
        </w:tc>
      </w:tr>
    </w:tbl>
    <w:tbl>
      <w:tblPr>
        <w:tblW w:w="2448" w:type="dxa"/>
        <w:jc w:val="left"/>
        <w:tblInd w:w="0" w:type="dxa"/>
        <w:tblLayout w:type="fixed"/>
        <w:tblCellMar>
          <w:top w:w="0" w:type="dxa"/>
          <w:left w:w="0" w:type="dxa"/>
          <w:bottom w:w="0" w:type="dxa"/>
          <w:right w:w="0" w:type="dxa"/>
        </w:tblCellMar>
      </w:tblPr>
      <w:tblGrid>
        <w:gridCol w:w="23"/>
        <w:gridCol w:w="170"/>
        <w:gridCol w:w="22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decline in our stock price.</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currently hold approximately $10.0 million in product liability insurance coverage in the aggregate. We may need to increase our insurance coverage as we expand our clinical trials or if we commence commercialization of furmonertinib or any future product candidates. Insurance coverage is increasingly expensive. Our inability to obtain and retain sufficient product liability insurance at an acceptable cost to protect against potential product liability claims could prevent or inhibit the commercialization of furmonertinib or any future product candidates. Although we will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insurance policies are expensive and only protect us from some business risks, which will leave us exposed to significant uninsured liabilities.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do not carry insurance for all categories of risk that our business may encounter. Some of the policies we currently maintain include property, general liability, employment benefits liability, business automobile, workers’ compensation, products liability, malicious invasion of our electronic systems, and directors’ and officers’, and employment practices insurance. We do not know, however, if we will be able to maintain insurance with adequate levels of coverage. No assurance can be given that an insurance carrier will not seek to cancel or deny coverage after a claim has occurred. Any significant uninsured liability may require us to pay substantial amounts, which would adversely affect our financial position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subject to stringent and evolving U.S. and foreign laws, regulations, rules, contractual obligations, and policies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the ordinary course of business, we collect, receive, store, process, generate, use, transfer, disclose, make accessible, protect, secure, dispose of, transmit, and share (collectively, process or processing) personal data and other sensitive information, including proprietary and confidential business data, trade secrets, employee data, intellectual property, data we collect about trial participants in connection with clinical trials, and other sensitive third-party data (collectively, sensitive data). Our data processing activities may subject us to numerous data privacy and security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obligations, such as various laws, regulations, guidance, industry standards, external and internal privacy and security policies, contractual requirements, and other obligations relating to data privacy and security.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Various federal, state, local and foreign legislative and regulatory bodies, or self-regulatory organizations, may expand current laws, rules or regulations, enact new laws, rules or regulations or issue revised rules or guidance regarding data privacy and security. 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HIPAA, as amended by the Health Information Technology for Economic and Clinical Health Act of 2009 and their respective implementing regulations (collectively, HIPAA), imposes certain privacy and security requirements for individually identifiable health information on certain entities, namely certain healthcare providers, health plans, and healthcare clearinghouses (covered entities) and their respective “business associates” who directly or as a subcontractor provide services involving the creation, use, maintenance or disclosure of individually identifiable health information on covered entities’ behalf. As a clinical trial sponsor, we are not directly subject to HIPAA, but we do have relationships with providers and other entities subject to the law and thus must structure those relationships in a manner consistent with HIPAA requirements. If any of the physicians or other health care providers or entities with whom we expect to do business are found to be not in compliance with HIPAA or other applicable privacy laws, they may be subject to criminal, civil or administrative sanctions, including exclusions from government funded health care programs. If regulatory authorities challenge our activities, or those of a collaborator or other third party on which we rely, under HIPAA or other privacy laws applicable to the privacy and security of health information, any such challenge could have a material adverse effect on our reputation, business, results of operations and financial condition. Any investigation of or enforcement against us or the third parties with whom we contract, including a research collaborator, regardless of the outcome, would be costly and time consuming, and may negatively affect our ability to conduct clinical trials, results of operations and financial condition. Additionally, the California Consumer Privacy Act (CCPA) applies to personal information of consumers, business representatives, and employees, and among other things requires covered businesses to provide specific disclosures in privacy notices and honor requests of California residents to exercise certain privacy rights, including the right to opt out of certain disclosures of their information. The CCPA provides for civil penalties of up to $7,500 per violation as well as a private right of action with statutory damages for certain data breaches, thereby potentially increasing risks associated with a data breach. Although the law includes limited exceptions, including for certain information collected as part of clinical trials, the CCPA may impact our processing of personal information and increase our compliance costs. Additionally, the California Privacy Rights Act of 2020 (CPRA) significantly expands the CCPA, such as granting additional rights to California residents, including the right to correct personal information and additional opt-out rights. The CPRA also establishes a regulatory agency dedicated to enforcing the CCPA and the CPRA. Other states, such as Connecticut, Colorado, Indiana, Iowa, Texas and Utah, have also passed comprehensive privacy laws, and similar laws are being considered in several other states, as well as at the federal and local levels. While these state privacy laws, like the CCPA, also exempt some data processed in the context of clinical trials (and most also exempt employee and business personal data), these developments further complicate compliance efforts, and increase legal risk and compliance costs for us and the third parties upon whom we rely. The scope and enforcement of these laws is uncertain and subject to rapid change. For example, increasing concerns about health information privacy have recently prompted the federal government to take a newly expansive view of the scope of existing privacy laws and regulations. Congress and some states are considering (and in some cases have passed) new laws and regulations that further and more broadly protect the privacy and security of personal health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government activity, privacy advocacy groups and technology and other industries are considering various new, additional or different self-regulatory standards that may place additional burdens on us.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There are also various laws and regulations in other jurisdictions outside the United States relating to data privacy and security, with which we may need to comply. For example, the EU GDPR and the United Kingdom’s equivalent (UK GDPR, and together with the EU GDPR, the GDPR), impose strict requirements for processing personal data. Notably, the EU GDPR and UK GDPR impose large penalties for noncompliance, including the potential for fines of up to €20 million under the EU GDPR / £17.5 million under the UK GDPR, or 4% of the annual global revenue of the noncompliant entity, whichever is greater. The EU GDPR and UK GDPR also provide for private litigation related to processing of personal data brought by classes of data subjects or consumer protection organizations authorized at law to represent their interests. Additionally, EU member states may introduce further conditions, including limitations,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make their own laws and regulations further limiting the processing of ‘special categories of personal data, including personal data related to health, biometric data used for unique identification purposes and genetic information, which could limit our ability to collect, use and share EU data, and could cause our compliance costs to increase, ultimately adversely affecting our business, financial condition, results of operations and prospects.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the GDPR and U.S. data privacy laws, virtually every international jurisdiction in which we operate has established its own legal framework relating to privacy, data protection, and information security matters to which we may also be subject. For example, we are also subject to laws in China. Under the Cybersecurity Law of the People’s Republic of China (China’s Cybersecurity Law), any collection, use, transfer and storage of personal information of a Chinese citizen through a network by the network operator should be based on the three principles of legitimacy, justification and necessity and requires the consent of the data subject. The rules, purposes, methods and ranges of such collection should also be disclosed to the data subject. China’s data localization requirements are becoming increasingly common in sector-specific regulations, and laws including data localization requirements exist in many of the other jurisdictions in which we operate. For example, China’s Cybersecurity Law requires operators of critical information infrastructure (CIIOs) to store personal information and important data collected and generated from the critical information infrastructure within China. Non-compliance with China’s Cybersecurity Law can result in fines for the relevant entity as well as for the personnel directly responsible. On September 14, 2022, the Cyberspace Administration of China (CAC), China’s top cybersecurity regulator, released new amendments to China’s Cybersecurity Law for public consultation and if the amendments are passed, the amended law will increase the penalties for violations of cybersecurity obligations under the Cybersecurity Law to up to RMB 50 million, in line with those under the Data Security Law and PIPL.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Building on this, China’s Data Security Law (Data Security Law) became effective on September 1, 2021. The primary purpose of the Data Security Law is to regulate data activities, safeguard data security, promote data development and usage, protect individuals and entities’ legitimate rights and interests, and safeguard state sovereignty, state security and development interests. The Data Security Law applies extraterritorially, and to a broad range of activities that involve “data” (not only personal or sensitive data). Under the Data Security Law, entities and individuals carrying out data activities must abide by various data security obligations. For example, the Data Security Law proposes to classify and protect data based on the importance of data to the state’s economic development, as well as the degree of harm it will cause to national security, public interests, or legitimate rights and interests of individuals or organizations when such data is tampered with, destroyed, leaked, or illegally acquired or used. The appropriate level of protective measures is required to be taken for each respective class of data. The Data Security Law also echoes the data localization requirement in the Cybersecurity Law and requires important data to be stored locally in China. Such important data may only be transferred outside of China subject to compliance with certain data transfer restrictions, such as passing a security assessment organized by the relevant authorities.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Cybersecurity Review Measures, which took effect on February 15, 2022 in China, clarify when entities must apply for a mandatory cybersecurity review from the Chinese government authorities. These circumstances include (i) when CIIOs purchase network products that may affect national security, (ii) when a network platform operator’s data processing activities may affect national security, or (iii) when a network platform operator holds personal information of more than one million individuals and plans on listing publicly outside China. Network platform operators are not defined under the Cybersecurity Review Measures, but are understood to be broadly interpreted to include all Internet platform operators or service providers, thus providing for a broad application. A mandatory cybersecurity review is likely to prolong the timeline of any contemplated listing timeline outside China and increase the regulatory compliance burden on entities that are subject to this requirement. At this time, the Company does not act as a network platform operator and does not hold the personal information of more than one million individuals in China, and as such, we do not believe the Company would be subject to the Cybersecurity Review Measures. However, the relevant Chinese authorities have great discretion and it is generally uncertain as to how they may interpret and enforce the Cybersecurity Review Measures in practice.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Additionally, on August 20, 2021, China announced the Personal Information Protection Law (PIPL), which took effect on November 1, 2021. The PIPL is intended to clarify the scope of application, the definitions of personal information and sensitive personal information, the legality of personal information processing and the basic requirements of notice and consent, among other things. The PIPL also sets out data localization requirements for CIIOs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and personal information processors who process personal information above a certain threshold prescribed by the relevant authorities. The PIPL also includes a list of rules which must be complied with prior to the transfer of personal information outside of China, such as compliance with a security assessment or certification by an agency designated by the relevant authorities or entering into standard form model contracts approved by the relevant authorities with the overseas recipient.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July 7, 2022, the CAC issued Security Assessment Measures for Outbound Data Transfers, which became effective on September 1, 2022. The Security Assessment Measures for Outbound Data Transfers clarifies the security assessment requirement under the PIPL and requires a data processor to apply for the security assessment organized by the CAC under any of the following circumstances before the information is transferred outbound: (i) where a data processor provides key data overseas, (ii) critical information infrastructure operator and personal information processors who process more than one million individuals’ personal information; (iii) where a data processor has cumulatively provided personal information of over 100,000 individuals or sensitive personal information of over 10,000 individuals in total abroad since January 1st of the previous year. Additionally, on November 18, 2022, the CAC and the State Administration of Market Regulation issued the Implementation Rules for Personal Information Protection Certification which apply with immediate effect and which provide important guidance on obtaining a personal information certification for lawful cross-border transfer of personal information under the PIPL.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Notably, the PIPL, similar to both the GDPR and certain U.S. privacy laws, applies extraterritorially. Failure to comply with PIPL can result in fines of up to RMB 50 million or 5% of the prior year’s total annual revenue for the personal information processor and/or a suspension of services or data processing activities. Other potential penalties include a fine of up to RMB 1 million on the person in charge or directly responsible personnel and, in serious cases, individuals and entities may be exposed to criminal liabilities under other local Chinese law, such as the Criminal Law of the People’s Republic of China. The PIPL also prohibits responsible personnel for violations of the PIPL from holding high level management or data protection officer positions in relevant enterprises.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China’s Cybersecurity Law, the Data Security Law and the PIPL, the government agencies of China promulgated several regulations or released a number of draft regulations for public comments which are designed to provide further implemental guidance in accordance with the laws mentioned above. We cannot predict what impact the new laws and regulations or the increased costs of compliance, if any, will have on our operations in China, in particular the Data Security Law or PIPL, or the increased costs of compliance, if any, will have on our operations in China due to their recent enactment and the limited guidance available on their scope and applicability, particularly on PIPL. It is also generally unclear how the laws will be interpreted and enforced in practice by the relevant government authorities as often the abovementioned laws are drafted broadly and thus leaves great discretion to the relevant government authorities to exercise.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evolving and overarching complexity of privacy and data protection laws and regulations around the world may require us to design, implement and maintain different types of state- or country-based, privacy-related compliance controls and programs simultaneously in multiple jurisdictions, thereby further increasing the complexity and cost of compliance. These costs, including others relating to increased regulatory oversight and compliance, could materially and adversely affect our business or our growth plans and result in damages or liability in other forms as a result of failure to implement proper programmatic controls, failure to adhere to those controls, or the malicious or inadvertent breach of applicable privacy and data protection requirements by us, our employees, our business partners, or our customers.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it believes are inadequate.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Other jurisdictions may adopt similarly stringent interpretations of their data localization and cross-border data transfer laws. Although there are currently various mechanisms that may be used to transfer personal data from the EEA and the UK to the United States in compliance with law, such as the EEA and UK’s standard contractual clauses, these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the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EU GDPR’s cross-border data transfer limitations.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data privacy and security laws, we are also bound by other contractual obligations related to data privacy and security, and our efforts to comply with such obligations may not be successful.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Each of these laws, rules, regulations and contractual obligations relating to data privacy and security, and any other such changes or new laws, rules, regulations or contractual obligations could impose significant limitations, require changes to our business, or restrict our collection, use, storage or processing of personal information, which may increase our compliance expenses and make our business more costly or less efficient to conduct. In addition, any such changes could compromise our ability to develop an adequate marketing strategy and pursue our growth strategy effectively or even prevent us from providing certain products in jurisdictions in which we currently operate and in which we may operate in the future or incur potential liability in an effort to comply with such legislation, which, in turn, could adversely affect our business, financial condition, results of operations and prospects. Complying with these numerous, complex and often changing laws, regulations and contractual requirements is expensive and difficult, and suspected and actual failure to comply with any data privacy or security requirements, whether by us, one of our CROs, business partners or another third party, could adversely affect our business, financial condition, results of operations and prospects, including but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other relevant services to impacted individuals; adverse actions against our licenses to do business; reputational damage; and injunctive relief. The recent implementation of the CCPA, EU GDPR and UK GDPR have increased our responsibility and liability in relation to personal data that we process, including in clinical trials, and we may in the future be required to put in place additional mechanisms to ensure compliance with the CCPA and other applicable state laws, EU GDPR and UK GDPR and other applicable laws and regulations,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EEA and other jurisdictions, and we cannot determine the impact such future laws, regulations and standards may have on our business.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Any actual or perceived failure by us or our third-party service providers to comply with any federal, state or foreign laws, rules, regulations, industry self-regulatory principles, industry standards or codes of conduct, regulatory guidance, orders to which we may be subject or other legal obligations relating to privacy, data protection, data security or consumer protection could adversely affect our reputation, brand and business. We may also be contractually required to indemnify and hold harmless third parties from the costs or consequences of non-compliance with any standards, laws, rules and regulations or other legal obligations relating to privacy or any inadvertent or unauthorized use or disclosure of data that we store or handle as part of operating our business. Any of these events could adversely affect our reputation, business, or financial condition, including but not limited to: loss of customers;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 We cannot assure you that our CROs, CMOs or other third-party service providers with access to our or our suppliers’, manufacturers’, collaborators’, trial participants’ and employees’ sensitive information in relation to which we are responsible will not breach contractual obligations imposed by us, or that they will not experience data security incidents, which could have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corresponding effect on our business, including putting us in breach of our obligations under privacy laws and regulations and/or which could in turn adversely affect our business, financial condition, results of operations and prospects. We cannot assure you that our contractual measures and our own privacy and security-related safeguards will protect us from the risks associated with the third-party processing of such information. Any of the foregoing could adversely affect our business, financial condition, results of operations and prospects.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also publicly post our privacy policies and practices concerning our collection, use, disclosure and other processing of the personal information provided to us by our website visitors and by our customers. Although we endeavor to comply with our public statements and documentation, we may at times fail to do so or be perceived to have failed to do so. Our publication of our privacy policies and other statements we publish that provide promises and assurances about privacy and security can subject us to potential state and federal action if they are found to be deceptive, unfair or misrepresentative of our actual practices. Any actual or perceived failure by us to comply with federal, state or foreign laws, rules or regulations, industry standards, contractual or other legal obligations, or any actual, perceived or suspected cybersecurity incident, whether or not resulting in unauthorized access to, or acquisition, release or transfer of personal information or other data, may result in enforcement actions and prosecutions, private litigation, significant fines, penalties and censure, claims for damages by customers and other affected individuals, regulatory inquiries and investigations or adverse publicity and could cause our customers and collaborators to lose trust in us, any of which could adversely affect our business, financial condition, results of operations and prospects.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our internal information technology systems, or those used by our CROs, clinical sites, or other contractors or consultants upon which we rely, are or were compromised, become unavailable or suffer security breaches, loss or leakage of data or other disruptions, we could suffer material adverse consequences resulting from such compromise, including but not limited to, operational or service interruption, harm to our reputation, litigation, fines, penalties and liability, compromise of sensitive information related our business, and other adverse consequences.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the ordinary course of our business, we, and the third parties upon which we rely, process sensitive data and as a result, we and the third parties upon which we rely face a variety of evolving threats which could cause security incidents.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internal information technology systems and those of our CROs, clinical sites, and other contractors and consultants upon which we rely are vulnerable to cyberattacks, computer viruses, bugs, worms, or other malicious codes, malware, including as a result of advanced persistent threat intrusions, and other attacks by computer hackers, cracking, application security attacks, social engineering, including through phishing attacks, supply chain attacks and vulnerabilities through our third-party service providers, denial-of-service attacks, such as credential stuffing, credential harvesting, personnel misconduct or error, supply-chain attacks, software bugs, server malfunctions, software or hardware failures, loss of data or other information technology assets, adware, telecommunications failures, earthquakes, fires, floods, and other similar threats.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In particular, ransomware attacks, including those from organized criminal threat actors, nation-states and nation-state supported actors, are becoming increasingly prevalent and severe and can lead to significant interruptions, delays, or outages in our operations, loss of data, including sensitive customer information, loss of income, significant extra expenses to restore data or systems, reputational loss and the diversion of funds. To alleviate the negative impact of a ransomware attack, it may be preferable to make extortion payments, but we may be unwilling or unable to do so, including, for example, if applicable laws or regulations prohibit such payments.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Some actors also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and our customers may be vulnerable to a heightened risk of these attacks, including retaliatory cyber-attacks, that could materially disrupt our systems and operations, supply chain and ability to produce, sell and distribute our goods and services.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Additionally, 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Furthermore, future or past business transactions, such as acquisitions or integrations, could expose us to additional cybersecurity risks and vulnerabilities, as our systems could be negatively affected by vulnerabilities present in acquired or integrated entities’ systems and technologies. Additionally,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While we take steps to detect and remediate vulnerabilities, we may not be able to detect and remediate all vulnerabilities because the threats and techniques used to exploit such vulnerabilities change frequently and are often sophisticated in nature. Therefore, such vulnerabilities could be exploited but may not be detected until after a security incident has occurred. Further, we may experience delays in developing and deploying remedial measures designed to address any such identified vulnerabilities.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rely on third-party service providers and technologies to operate critical business systems to process sensitive information in a variety of contexts, including, without limitation, cloud-based infrastructure, encryption and authentication technology, employee email, and other functions. We also rely on third-party service providers to assist with our clinical trials, provide other products or services, or otherwise to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services, or the third-party information technology systems that support us and our services.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Any of the previously identified or similar threats could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upon whom we rely. A security incident or other interruption could disrupt our ability, and that of third parties upon whom we rely, to provide our products and services and conduct clinical trials.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costs related to significant security breaches or disruptions could be material and cause us to incur significant expenses. If the information technology systems of our CROs, clinical sites, and other contractors and consultants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If any such incidents were to occur and cause interruptions in our operations, it could result in a disruption of our business and development programs. For example, the loss of clinical trial data from completed or ongoing clinical trials for a product candidate could result in delays in our regulatory approval efforts and significantly increase our costs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recover or reproduce the data, or may limit our ability to effectively execute a product recall, if required in the future. To the extent that any disruption or security incident were to result in the loss of or damage to our data or applications, or inappropriate disclosure of personal, confidential or proprietary information, we could incur liability and the further development of any product candidates could be delayed. Applicable data privacy and security obligations may require us to notify relevant stakeholders of security incidents. Such disclosures are costly, and the disclosure or the failure to comply with such requirements could lead to adverse consequences. Any such event could also result in legal claims or proceedings, liability under laws that protect the privacy of personal information and significant regulatory penalties, and damage to our reputation and a loss of confidence in us and our ability to conduct clinical trials, which could delay the clinical development of our product candidates.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business, operations and clinical development timelines and plans are subject to risks arising from epidemic or pandemic diseases.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COVID-19, which was recently declared no longer a public health emergency both globally and in the United States, presented substantial public health and economic challenges and affected our employees, patients, physicians and other healthcare providers, communities and business operations, as well as the U.S. and global economies and financial markets. International and U.S. governmental authorities in impacted regions took multiple and diverse actions in an effort to slow the spread of COVID-19 and variants of the virus, including issuing varying forms of “stay-at-home” orders. To date we have not experienced material disruptions in our business operations due to COVID-19. Such measures taken by the governmental authorities to respond to any future epidemic or pandemic disease outbreaks could disrupt the supply chain and the manufacture or shipment of drug substances and finished drug products for furmonertinib for use in our clinical trials and research and nonclinical studies and, delay, limit or prevent our employees and CROs from continuing research and development activities, impede our clinical trial initiation and recruitment and the ability of patients to continue in clinical trials, including due to measures taken that may limit social interaction or prevent reopening of high-transmission settings, impede testing, monitoring, data collection and analysis and other related activities, any of which could delay our nonclinical studies and clinical trials and increase our development costs, and have a material adverse effect on our business, financial condition and results of operations. Any future epidemic or pandemic disease outbreak could also potentially further affect the business of the FDA, the European Medical Association (EMA) or other regulatory authorities, which could result in delays in meetings related to our planned clinical trials. Any future epidemic disease outbreak may have an adverse impact on global economic conditions which could have an adverse effect on our business and financial condition, including impairing our ability to raise capital when needed.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Governments outside the United States tend to impose strict price controls, which may adversely affect our revenues, if 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some countries, the pricing of prescription pharmaceuticals is subject to governmental control. In these countries, pricing negotiations with governmental authorities can take considerable time after the receipt of marketing approval for a product candidate.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low-priced and high-priced countries, can further reduce prices. To obtain reimbursement or pricing approval in some countries, we may be required to conduct a clinical trial that compares the cost-effectiveness of our product candidate to other available therapies, which is time-consuming and costly. If coverage and reimbursement of our product candidates are unavailable or limited in scope or amount, or if pricing is set at unsatisfactory levels, our business could be harmed, possibly materially.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business could be affected by litigation, government investigations and enforcement actions.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currently operate in a number of jurisdictions in a highly regulated industry and we could be subject to litigation, government investigation and enforcement actions on a variety of matters in the United States or foreign jurisdictions, including, without limitation, intellectual property, regulatory, product liability, environmental, whistleblower, false claims, privacy, anti-kickback, anti-bribery, securities, commercial, employment and other claims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and legal proceedings which may arise from conducting our business. Any determination that our operations or activities are not in compliance with existing laws or regulations could result in the imposition of fines, civil and criminal penalties, equitable remedies, including disgorgement, injunctive relief and/or other sanctions against us, and remediation of any such findings could have an adverse effect on our business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Legal proceedings, government investigations and enforcement actions can be expensive and time-consuming. An adverse outcome resulting from any such proceedings, investigations or enforcement actions could result in significant damages awards, fines, penalties, exclusion from the federal healthcare programs, healthcare debarment, injunctive relief, product recalls, reputational damage and modifications of our business practices, which could have a material adverse effect on our business and results of operations. Even if such a proceeding, investigation or enforcement action is ultimately decided in our favor, the investigation and defense thereof could require substantial financial and management resources.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employees and independent contractors, including principal investigators, CROs, consultants and vendors, may engage in misconduct or other improper activities, including noncompliance with regulatory standards and requirements and insider trading, which could harm our business, financial condition and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exposed to the risk that our employees and independent contractors, including principal investigators, CROs, consultants and vendors may engage in misconduct or other illegal activity. Misconduct by these parties could include intentional, reckless and/or negligent conduct or disclosure of unauthorized activities to us that violate: (i) the laws and regulations of the FDA and other similar foreign regulatory authority requirements, including those laws that require the reporting of true, complete and accurate information to such authorities, (ii) manufacturing standards, including cGMP requirements, (iii) federal and state data privacy, security, fraud and abuse and other healthcare laws and regulations in the United States and abroad (iv) laws that require the true, complete and accurate reporting of financial information or data, or (v) laws that prohibit insider trading. Activities subject to these laws also involve the improper use or misrepresentation of information obtained in the course of clinical trials, the creation of fraudulent data in our nonclinical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engage in strategic transactions that could increase our capital requirements, dilute our stockholders, cause us to incur debt or assume contingent liabilities, subject us to other risks, adversely affect our liquidity, increase our expenses and present significant distractions to our management.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From time to time, we may consider strategic transactions, such as acquisitions of companies, asset purchases and out-licensing or in-licensing of intellectual property, products or technologies. Additional potential transactions that we may consider include a variety of business arrangements, including spin-offs, strategic partnerships, joint ventures, restructurings, divestitures, business combinations and investments. We may not be able to find suitable partners or acquisition candidates, and we may not be able to complete such transactions on favorable terms, if at all.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favorable terms or at all. These transactions may never be successful and may require significant time and attention of our management. In addition, the integration of any business that we may acquire in the future may disrupt our existing business and may be a complex, risky and costly endeavor for which we may never realize the full benefits. Furthermore, we may experience losses related to investments in other companies, including as a result of failure to realize expected benefits or the materialization of unexpected liabilities or risks, which could have a material negative effect on our results of operations and financial condition.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ability to use net operating loss carryforwards and other tax attributes may be limited in connection with the recent initial public offering or other ownership changes.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incurred substantial losses during our history, do not expect to become profitable in the near future and may never achieve profitability. To the extent that we continue to generate taxable losses, unused losses will carry forward to offset future taxable income, if any, subject to limitations, until such unused losses expire, if at all. At December 31, 2023, we had net operating loss (NOL) carryforwards of $38.7 million for federal income tax purposes and $1.1 million for state income tax purposes. Our federal NOL carryforwards will not expire but may generally only be used to offset 80% of taxable income, which may require us to pay federal income taxes in future years despite generating federal NOL carryforwards in prior years. We also had research and development tax credit carryforwards of $3.4 million that will begin to expire in 2041.</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our NOL carryforwards and other tax attributes are subject to review and possible adjustment by the Internal Revenue Service (IRS) and state tax authorities. Furthermore, in general, under Section 382 of the U.S. Internal Revenue Code of 1986, as amended (the Code), our federal NOL carryforwards may be or become subject to an annual limitation in the event we have had or have in the future an “ownership change.” For these purposes, an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yet determined the amount of the cumulative change in our ownership resulting from our recently completed initial public offering or other transactions, or any resulting limitations on our ability to utilize our NOL carryforwards and other tax attributes. However, we believe that our ability to utilize our NOL carryforwards and other tax attributes to offset future taxable income or tax liabilities may be limited as a result of ownership changes including changes related to our recently completed initial public offering. If we earn taxable income, such limitations could result in increased future income tax liability to us and our future cash flows could be adversely affected. We have recorded a full valuation allowance related to our NOL carryforwards and other deferred tax assets due to the uncertainty of the ultimate realization of the future benefits of those assets.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New tax legislation may impact our results of operations and financial condition.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IRA introduced, among other changes, a 15% corporate minimum tax on certain United States corporations and a 1% excise tax on certain stock redemptions by United States corporations. The U.S. government may enact further significant changes to the taxation of business entities. The likelihood of these changes being enacted or implemented is unclear. We are currently unable to predict the ultimate impact of the Inflation Reduction Act or any such further changes on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Inflation could adversely affect our business and results of operations.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While inflation in the United States has been relatively low in recent years, from 2021 to 2023, the economy in the United States encountered a material level of inflation. The impact of COVID-19, geopolitical developments such as the Russia-Ukraine and Middle East conflicts and global supply chain disruptions continue to increase uncertainty in the outlook of near-term and long-term economic activity, including whether inflation will continue and how long, and at what rate. Increases in inflation raise our costs for commodities, labor, materials and services and other costs required to grow and operate our business, and failure to secure these on reasonable terms may adversely impact our financial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condition. Additionally, increases in inflation, along with the uncertainties surrounding COVID-19, geopolitical developments and global supply chain disruptions, have caused, and may in the future cause, global economic uncertainty and uncertainty about the interest rate environment, which may make it more difficult, costly or dilutive for us to secure additional financing. A failure to adequately respond to these risks could have a material adverse impact on our financial condition, results of operations or cash flows.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Intellectual Property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unable to obtain and maintain, sufficient intellectual property protection for furmonertinib or future product candidates or technology, or if the scope of our intellectual property rights is not sufficiently broad, our competitors or other third parties could develop and commercialize products similar or identical to ours, and our ability to successfully commercialize furmonertinib or any future product candidates may be adversely affected.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commercial success depends in large part on our ability to obtain, maintain, enforce, and defend patent rights, trademarks and our proprietary know-how of sufficient scope in the United States and other countries with respect to our product candidates and other proprietary technologies we may develop. If we are unable to obtain, maintain or enforce our intellectual property rights of sufficient scope, our business, financial condition, results of operations and prospects could be materially harmed.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rely on patent rights in-licensed from Allist to protect furmonertinib. Changes in either the patent laws or their interpretation in the United States and other jurisdictions may diminish our or our licensor’s ability to protect our intellectual property, obtain, maintain and enforce our intellectual property rights and, more generally, could affect the value of our intellectual property or narrow the scope of our protection. We cannot predict whether the patents we have in-licensed from Allist will provide sufficient protection against competitors or other third parties, or if these patents are challenged by our competitors, will be found to be invalid, unenforceable, or not infringed. We also cannot predict whether patent application our licensor is currently pursuing or patent application we may in the future pursue or in-license will issue as patents in any particular jurisdiction.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patent prosecution process is expensive, time-consuming, and complex, and we or our licensors may not be able to file, prosecute, maintain, enforce, or license all necessary or desirable patent applications or reissue applications at a reasonable cost or in a timely manner or in all jurisdictions. It is also possible that we will fail to identify patentable aspects of our research and development output in time to obtain patent protection before public disclosures are made. Although we enter into non-disclosure and confidentiality agreements with parties who have access to confidential or patentable aspects of our research and development output, such as our employees, third-party collaborators, CROs, contract manufacturers, consultants, advisors and other third parties, any of these parties may breach the agreements and disclose such output before a patent application is filed, thereby jeopardizing our or our licensors’ ability to seek patent protection. Consequently, we may not be able to prevent any third party from using any of our technology that is in the public domain to compete with furmonertinib and any future product candidates or technologies. In addition, our ability to obtain and maintain valid and enforceable patents depends on whether the differences between our inventions and the prior art allow our inventions to be patentable in light of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invent the inventions claimed in any of our licensed patents or pending patent applications, or that we or our licensors were the first to make the inventions claimed in those owned or licensed patents or pending patent applications, or that we or our licensors were the first to file for patent protection of such inventions. If a third party can establish that we or our licensors were not the first to make or the first to file for patent protection of such inventions, our owned or licensed patents and patent applications may not issue as patents and even if issued, may be challenged and invalidated or rendered unenforceable.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Composition of matter patents for pharmaceutical product candidates often provide a strong form of intellectual property protection for those types of products, as such patents provide protection without regard to any method of use. We cannot be certain that the claims covering compositions of matter in any of our issued or reissued patents will be considered valid and enforceable by courts in the United States or foreign countries. Method of use patents protect the use of a product for the specified method. This type of patent does not prevent a competitor from making and marketing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product that is identical to our product for an indication that is outside the scope of the patented method. Moreover, even if competitors do not actively promote their product for our targeted indications, physicians may prescribe these products “off-label.” Although off-label prescriptions may infringe or contribute to the infringement of method of use patents, the practice is common and such infringement is difficult to prevent or prosecute.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Any issued patents may not afford sufficient protection of our product candidates or their intended uses against competitors, nor can there be any assurance that the patents issued will not be infringed, designed around, invalidated by third parties, or effectively prevent others from commercializing competitive technologies, products or product candidates. Further, even if these patents are granted, they may be difficult to enforce. 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 In the event we experience noncompliance events that cannot be corrected and we lose our patent rights, competitors could enter the market, which would have a material adverse effect on our business. Further, any issued patents that we license or may license or own covering our furmonertinib or any future product candidates could be narrowed or found invalid or unenforceable if challenged in court or before administrative bodies in the United States or other countries, including the United States Patent and Trademark Office (USPTO). Also, patent terms, including any extensions or adjustments that may or may not be available to us, may be inadequate to protect our competitive position on our product candidates for an adequate amount of time, and we may be subject to claims challenging the inventorship, validity, or enforceability of our patents and/or other intellectual property. Changes in United States patent law, or laws in other countries, could diminish the value of patents in general, thereby impairing our ability to protect our product candidates. Further, if we encounter delays in our clinical trials or delays in obtaining regulatory approval, the period of time during which we could market our product candidates under patent protection would be reduced. Thus, the patents that we own and license may not afford us any meaningful competitive advantage.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Moreover, the claim coverage in a patent application can be significantly narrowed before the corresponding patent is granted. Even if our owned or in-licensed patent applications issue as patents, they may not issue in a form that will provide us with any meaningful protection, prevent competitors or other third parties from competing with us or otherwise provide us with any competitive advantage. Any patents issuing from our patent applications may be challenged, narrowed, circumvented or invalidated by third parties. Our competitors or other third parties may avail themselves of safe harbors under the Drug Price Competition and Patent Term Restoration Act of 1984 (Hatch-Waxman Amendments) to conduct research and clinical trials. Consequently, we do not know whether furmonertinib or any of our future product candidates and other proprietary technology will be protectable or remain protected by valid and enforceable patents. Even if a patent is granted, our competitors or other third parties may be able to circumvent the patent by developing similar or alternative technologies or products in a non-infringing manner which could materially adversely affect our business, financial condition, results of operations and prospects. In addition, given the amount of time required for the development, testing and regulatory review of our future product candidates, patents protecting the product candidates might expire before or shortly after such product candidates are commercialized. As a result, our patents may not provide us with sufficient rights to exclude others from commercializing products similar or identical to ours.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issuance of a patent is not conclusive as to its inventorship, scope, validity, or enforceability and our patent rights may be challenged in the courts or patent offices in the United States and abroad. We may be subject to a third-party post-issuance submission of prior art to the USPTO challenging the validity of one or more claims of our in-licensed patents or patents we may own in the future. Such submissions may also be made prior to a patent’s issuance, precluding the granting of a patent based on one of our owned or licensed pending patent applications. A third party may also claim that our patent rights are invalid or unenforceable in a litigation. The outcome following legal assertions of invalidity and unenforceability is unpredictable. In addition, we may become involved in opposition, derivation, revocation, reexamination, reissue, post-grant and inter partes review or interference proceedings and other similar proceedings in foreign jurisdictions challenging the validity, priority or other features of patentability of our patent rights. An adverse determination in any such submission, proceeding or litigation could reduce the scope of,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invalidate or render unenforceable, our patent rights, allow third parties to commercialize our product candidates and other proprietary technologies we may develop and compete directly with us, without payment to us, or result in our inability to manufacture or commercialize our products without infringing third-party patent rights. Such proceedings also may result in substantial cost and require significant time from our scientists and management, even if the eventual outcome is favorable to us. Any of the foregoing, could have a material adverse effect on our business, financial condition, results of operations and prospects.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Moreover, some of our patent rights are, and may in the future be, co-owned with third parties, including Allist. In the United States, each co-owner has the freedom to license and exploit the technology. If we are unable to obtain an exclusive license to any such third-party co-owners’ interest in such patent rights, such co-owners may be able to license their rights to other third parties without our consent, including our competitors, and our competitors could market competing products and technology. In addition, we may need the cooperation of any such co-owners of such patent rights in order to enforce such patent rights against third parties, and such cooperation may not be provided to us. Any of the foregoing could have a material adverse effect on our competitive position, business, financial conditions, results of operations, and prospects.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depend heavily on intellectual property licensed from a third party, and our licensors may not always act in our best interest. If we fail to comply with our obligations under our intellectual property licenses, if the licenses are terminated or if disputes regarding these licenses arise, we could lose significant rights that are important to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 party to the Allist License Agreement under which we are granted rights to intellectual property that are critical to furmonertinib and our business and we may enter into additional license agreements in the future with other third parties. The Allist License Agreement imposes, and we expect that any future license agreements where we in-license intellectual property, will impose on us, various development, regulatory and/or commercial diligence obligations, payment of milestones and/or royalties and other obligations. We may need to devote substantial time and attention to ensuring that we are compliant with our obligations under such agreements, which may divert management’s time and attention away from our research and development programs or other day-to-day activities. If we fail to comply with our obligations under these agreements, or we are subject to bankruptcy-related proceedings, the licensor may have the right to terminate the license, in which event we would not be able to develop or market products covered by the license, or we may be subject to litigation for breach of these agreements.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we or our licensors fail to adequately prosecute, maintain and protect our licensed intellectual property, our ability to commercialize furmonertinib or any future product candidates could suffer. We do not have complete control over the maintenance, prosecution and litigation of our in-licensed patents and patent applications and may have limited control over future intellectual property that may be in-licensed. For example, we cannot be certain that activities such as the maintenance and prosecution by our licensors have been or will be conducted in compliance with applicable laws and regulations or will result in valid and enforceable patents and other intellectual property rights. It is possible that our licensors’ infringement proceedings or defense activities may be less vigorous than had we conducted them ourselves or may not be conducted in accordance with our best interests.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patents, know-how and proprietary technology, or increase what we believe to be our financial or other obligations under the relevant agreement. Disputes that may arise between us and our licensors regarding intellectual property subject to a license agreement could include disputes regarding:</w:t>
      </w:r>
    </w:p>
    <w:tbl>
      <w:tblPr>
        <w:tblW w:w="7833" w:type="dxa"/>
        <w:jc w:val="left"/>
        <w:tblInd w:w="0" w:type="dxa"/>
        <w:tblLayout w:type="fixed"/>
        <w:tblCellMar>
          <w:top w:w="0" w:type="dxa"/>
          <w:left w:w="0" w:type="dxa"/>
          <w:bottom w:w="0" w:type="dxa"/>
          <w:right w:w="0" w:type="dxa"/>
        </w:tblCellMar>
      </w:tblPr>
      <w:tblGrid>
        <w:gridCol w:w="23"/>
        <w:gridCol w:w="170"/>
        <w:gridCol w:w="76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of rights granted under the license agreement and other interpretation-related issues;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and the extent to which our technology and processes infringe on intellectual property of the licensor that is not subject to the licensing agreement;</w:t>
            </w:r>
          </w:p>
        </w:tc>
      </w:tr>
    </w:tbl>
    <w:tbl>
      <w:tblPr>
        <w:tblW w:w="9033" w:type="dxa"/>
        <w:jc w:val="left"/>
        <w:tblInd w:w="0" w:type="dxa"/>
        <w:tblLayout w:type="fixed"/>
        <w:tblCellMar>
          <w:top w:w="0" w:type="dxa"/>
          <w:left w:w="0" w:type="dxa"/>
          <w:bottom w:w="0" w:type="dxa"/>
          <w:right w:w="0" w:type="dxa"/>
        </w:tblCellMar>
      </w:tblPr>
      <w:tblGrid>
        <w:gridCol w:w="23"/>
        <w:gridCol w:w="170"/>
        <w:gridCol w:w="88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right to sublicense patent and other rights to third parties under collaborative development relationships;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diligence obligations with respect to the use of the licensed technology in relation to our development and commercialization of furmonertinib or any future product candidates and what activities satisfy those diligence obligations;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ownership of inventions and know-how resulting from the joint creation or use of intellectual property by our licensors and us.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disputes over intellectual property that we have licensed prevent or impair our ability to maintain our current licensing arrangements on acceptable terms, we may be unable to successfully develop and commercialize the affected technology or furmonertinib or any future product candidates. As a result, any termination of or disputes over our intellectual property licenses could result in the loss of our ability to develop and commercialize furmonertinib or any future product candidates, or we could lose other significant rights, any of which could have a material adverse effect on our business, financial condition, results of operations and prospects.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able to protect our intellectual property and proprietary rights throughout the world.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Filing, prosecuting, maintaining, enforcing and defending patents covering or relating to furmonertinib and any future product candidates in all countries throughout the world is expensive, and the laws of foreign countries may not protect our intellectual property rights to the same extent as the laws of the United States. Prosecution of patent applications is often a longer process and patents may grant at a later date, and with a shorter term, than in the United States. The requirements for patentability differ in certain jurisdictions and countries. Additionally, the patent laws of some countries do not afford intellectual property protection to the same extent as the laws of the United States. For example, unlike patent law in the United States, patent law in most European countries and many other jurisdictions precludes the patentability of methods of treatment and diagnosis of the human body. Other countries may impose substantial restrictions on the scope of claims, limiting patent protection to specifically disclosed embodiments. Consequently, we may not be able to prevent third parties from practicing our or our licensors’ inventions in all countries outside the United States, or from selling or importing products made using our intellectual property in and into the United States or other jurisdictions. Competitors may use our or our licensors’ intellectual property in jurisdictions where we or our licensors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products, and our owned and in-licensed patents or other intellectual property rights may not be effective or sufficient to prevent them from competing.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In addition, some jurisdictions, such as Europe, Japan and China, may have a higher standard for patentability than in the United States, including, for example, the requirement of claims having literal support in the original patent filing and the limitation on using supporting data that is not in the original patent filing. Under those heightened patentability requirements, we may not be able to obtain sufficient patent protection in certain jurisdictions even though the same or similar patent protection can be secured in the United States and other jurisdictions.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of such patent. If we or any of our licensors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USPTO and various non-U.S. government agencies require compliance with several procedural, documentary, fee payment and other similar provisions during the patent application process. In some circumstances, we are dependent on our licensors to take the necessary action to comply with these requirements with respect to our licensed intellectual property. For example, 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or any patents and applications we may own in the future. In certain circumstances, we rely on our licensors to pay these fees due to U.S. and non-U.S. patent agencies.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USPTO and various non-U.S. government agencies require compliance with certain foreign filing requirements during the patent application process. For example, in some countries, including the United States, China, India and some European countries, a foreign filing license is required before certain patent applications are filed. The foreign filing license requirements vary by country and depend on various factors, including where the inventive activity occurred, citizenship status of the inventors, the residency of the inventors and the invention owner, the place of business for the invention owner and the nature of the subject matter to be disclosed (e.g., items related to national security or national defense). In some cases, a foreign filing license may be obtained retroactively in accordance with the applicable rules. There are situations, however, in which non-compliance can result in abandonment of a pending patent application or can be grounds for revoking or invalidating an issued patent, resulting in the loss of patent rights in the relevant jurisdiction. In such an event, potential competitors might be able to enter the relevant markets with similar or identical products or technology, which could have a material adverse effect on our business, financial condition, results of operations and prospects. We are also dependent on our licensors to take the necessary actions to comply with these requirements with respect to our licensed intellectual property.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Changes in patent laws or their interpretations could diminish the value of patents in general, thereby impairing our ability to protect our products.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invent the claimed invention was entitled to the patent, while outside the United States, the first to file a patent application was entitled to the patent. After March 2013, under the Leahy-Smith America Invents Act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Since March 2013, a third party that files a patent application in the USPTO, but before us or our licensors could be awarded a patent covering an invention of ours or our licensors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furmonertinib or any of our product candidates and other proprietary technologies we may develop or (ii) invent any of the inventions claimed in our patents or patent applications.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America Invents Act also included a number of significant changes that affected the way patent applications are prosecuted and also affect patent litigation. These include allowing third party protests and submission of prior art to the USPTO during patent prosecution and additional procedures to attack the validity of a patent by USPTO-administered post-grant proceedings, including post-grant review, inter 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increased the uncertainties and costs surrounding the prosecution of our patent applications and the enforcement or defense of patents issuing from those patent applications, all of which could have a material adverse effect on our business, financial condition, results of operations and prospects.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the patent positions of companies in the development and commercialization of pharmaceuticals are particularly uncertain. Recent U.S. Supreme Court rulings have narrowed the scope of patent protection available in certain circumstances and weakened the rights of patent owners in certain situations. We cannot predict how decisions by the courts, the U.S. Congress or the USPTO may impact the value of our patent rights.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in 2012, the European Union Patent Package (EU Patent Package) regulations were passed with the goal of providing a single pan-European Unitary Patent and a new European Unified Patent Court (UPC) for litigation involving European patents. The EU Patent Package was implemented on June 1, 2023. As a result, all European patents, including those issued prior to ratification of the European Patent Package, now by default automatically fall under the jurisdiction of the UPC. The UPC provides third parties, including our competitors, with a new forum to seek to centrally revoke our European patents and to seek to obtain pan-European injunctions. It will be several years before we will understand the scope of patent rights that will be recognized and the strength of patent remedies that will be provided by the UPC. Under the current EU Patent Package, we have the right to opt our patents out of the UPC for the first seven years of the UPC’s existence, but doing so may preclude us from realizing the benefits of this new unified court.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Issued patents covering furmonertinib or our future product candidates could be found invalid or unenforceable if challenged in court or before administrative bodies in the United States or abroad.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patent rights may be subject to priority, validity, inventorship and enforceability disputes. Legal proceedings relating to intellectual property claims, with or without merit, are unpredictable and generally expensive and time-consuming and likely to divert significant resources from our core business, including distracting our management and scientific personnel from their normal responsibilities and generally harm our business. If we or our licensors are unsuccessful in any of these proceedings, such patents and patent applications may be narrowed, invalidated or held unenforceable, we may be required to obtain licenses from third parties, which may not be available on commercially reasonable terms or at all, or we may be required to cease the development, manufacture and commercialization of furmonertinib or future product candidates. Any of the foregoing could have a material adverse effect on our business, financial condition, results of operations and prospects.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we or our licensors initiate legal proceedings against a third party to enforce a patent covering furmonertinib or any of our future product candidates, the defendant could counterclaim that such patent is invalid or unenforceable. In patent litigation in the United States, defendant counterclaims alleging invalidity or unenforceability are commonplace. Grounds for a validity challenge could include an alleged failure to meet any of several statutory requirements, including lack of novelty, obviousness, non-enablement, lack of sufficient written description, failure to claim patent-eligible subject matter or obviousness-type double patenting. Grounds for an unenforceability assertion could be an allegation that someone connected with prosecution of the patent withheld relevant information from the USPTO, or made a misleading statement, during prosecution. Third parties may raise claims challenging the validity or enforceability of a patent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 rights in such a way that they no longer cover our product candidates or prevent third parties from competing with our product candidates. The outcome following legal assertions of invalidity and unenforceability is unpredictable. With respect to the validity question, for example, we cannot be certain that there is no invalidating prior art, of which we or our licensing partners and the patent examiner were unaware during prosecution. If a third party were to prevail on a legal assertion of invalidity or unenforceability, we would lose at least part, and perhaps all, of the patent protection on furmonertinib and any future product candidates. Such a loss of patent protection would have a material adverse impact on our business, financial condition, results of operations and prospects.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cannot ensure that patent rights relating to inventions described and claimed in our pending patent applications will issue or that our patents will not be challenged and rendered invalid and/or unenforceable.</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We have pending in-licensed patent applications in our portfolio; however, we cannot predict:</w:t>
      </w:r>
    </w:p>
    <w:tbl>
      <w:tblPr>
        <w:tblW w:w="5373" w:type="dxa"/>
        <w:jc w:val="left"/>
        <w:tblInd w:w="0" w:type="dxa"/>
        <w:tblLayout w:type="fixed"/>
        <w:tblCellMar>
          <w:top w:w="0" w:type="dxa"/>
          <w:left w:w="0" w:type="dxa"/>
          <w:bottom w:w="0" w:type="dxa"/>
          <w:right w:w="0" w:type="dxa"/>
        </w:tblCellMar>
      </w:tblPr>
      <w:tblGrid>
        <w:gridCol w:w="23"/>
        <w:gridCol w:w="170"/>
        <w:gridCol w:w="51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when patents may issue based on our patent applications;</w:t>
            </w:r>
          </w:p>
        </w:tc>
      </w:tr>
    </w:tbl>
    <w:tbl>
      <w:tblPr>
        <w:tblW w:w="6558" w:type="dxa"/>
        <w:jc w:val="left"/>
        <w:tblInd w:w="0" w:type="dxa"/>
        <w:tblLayout w:type="fixed"/>
        <w:tblCellMar>
          <w:top w:w="0" w:type="dxa"/>
          <w:left w:w="0" w:type="dxa"/>
          <w:bottom w:w="0" w:type="dxa"/>
          <w:right w:w="0" w:type="dxa"/>
        </w:tblCellMar>
      </w:tblPr>
      <w:tblGrid>
        <w:gridCol w:w="23"/>
        <w:gridCol w:w="170"/>
        <w:gridCol w:w="63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of protection of any patent issuing based on our patent applications;</w:t>
            </w:r>
          </w:p>
        </w:tc>
      </w:tr>
    </w:tbl>
    <w:tbl>
      <w:tblPr>
        <w:tblW w:w="9768" w:type="dxa"/>
        <w:jc w:val="left"/>
        <w:tblInd w:w="0" w:type="dxa"/>
        <w:tblLayout w:type="fixed"/>
        <w:tblCellMar>
          <w:top w:w="0" w:type="dxa"/>
          <w:left w:w="0" w:type="dxa"/>
          <w:bottom w:w="0" w:type="dxa"/>
          <w:right w:w="0" w:type="dxa"/>
        </w:tblCellMar>
      </w:tblPr>
      <w:tblGrid>
        <w:gridCol w:w="23"/>
        <w:gridCol w:w="170"/>
        <w:gridCol w:w="95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claims of any patent issuing based on our patent applications will provide protection against competitors;</w:t>
            </w:r>
          </w:p>
        </w:tc>
      </w:tr>
    </w:tbl>
    <w:tbl>
      <w:tblPr>
        <w:tblW w:w="7278" w:type="dxa"/>
        <w:jc w:val="left"/>
        <w:tblInd w:w="0" w:type="dxa"/>
        <w:tblLayout w:type="fixed"/>
        <w:tblCellMar>
          <w:top w:w="0" w:type="dxa"/>
          <w:left w:w="0" w:type="dxa"/>
          <w:bottom w:w="0" w:type="dxa"/>
          <w:right w:w="0" w:type="dxa"/>
        </w:tblCellMar>
      </w:tblPr>
      <w:tblGrid>
        <w:gridCol w:w="23"/>
        <w:gridCol w:w="170"/>
        <w:gridCol w:w="70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third parties will find ways to invalidate or circumvent our patent rights;</w:t>
            </w:r>
          </w:p>
        </w:tc>
      </w:tr>
    </w:tbl>
    <w:tbl>
      <w:tblPr>
        <w:tblW w:w="10068" w:type="dxa"/>
        <w:jc w:val="left"/>
        <w:tblInd w:w="0" w:type="dxa"/>
        <w:tblLayout w:type="fixed"/>
        <w:tblCellMar>
          <w:top w:w="0" w:type="dxa"/>
          <w:left w:w="0" w:type="dxa"/>
          <w:bottom w:w="0" w:type="dxa"/>
          <w:right w:w="0" w:type="dxa"/>
        </w:tblCellMar>
      </w:tblPr>
      <w:tblGrid>
        <w:gridCol w:w="23"/>
        <w:gridCol w:w="170"/>
        <w:gridCol w:w="98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others will obtain patents claiming aspects similar to those covered by our patents and patent applications;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we will need to initiate litigation or administrative proceedings to enforce and/or defend our patent rights which will be costly whether we win or lose; and/or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patent applications that we own, or in-license will result in issued patents with claims that cover furmonertinib or any of our future product candidates or uses thereof in the United States or in other foreign countries.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claims in our pending patent applications directed to furmonertinib and any of our future product candidates and/or technologies may not be considered patentable by the USPTO or by patent offices in foreign countries. Any such patent applications may not issue as granted patents.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Even if the patents do issue based on our patent applications, third parties may challenge the validity, enforceability or scope thereof, which may result in such patents being narrowed, invalidated or held unenforceable.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the claims in any of our issued patents may not be considered valid by courts in the United States or foreign countries.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Patent terms may be inadequate to protect the competitive position of our product candidates for an adequate amount of time.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Patents have a limited lifespan.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our product candidates are obtained, once the patent has expired, we may be vulnerable to competition from competitive products, including generics.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products similar or identical to ours. If we do not have sufficient patent life to protect our products, our business, financial condition, results of operations, and prospects will be adversely affected.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do not obtain patent term extension in the United States and equivalent extensions outside of the United States for our product candidates, our business may be materially harmed.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Depending upon the timing, duration and specifics of any FDA marketing approval of furmonertinib or any future product candidate we may develop, one or more of our in-licensed issued U.S. patents or issued U.S. patents we may own in the future may be eligible for limited patent term extension under the Hatch-Waxman Amendments. The Hatch-Waxman Amendments permit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However, we may not be granted an extension for various reasons, including failing to exercise due diligence during the testing phase or regulatory review process, failing to apply within applicable deadlines, failing to apply prior to expiration of relevant patents, or failing to satisfy other applicable requirements. Moreover, the applicable time period or the scope of patent protection afforded could be less than we request. In addition, to the extent we wish to pursue patent term extension based on a patent that we in-license from a third-party, we may need the cooperation of that third party. If we are unable to obtain patent term extension, or the foreign equivalent, or if the term of any such extension is less than we request, our competitors may obtain approval of competing products following our patent expiration, and our business, financial condition, results of operations and prospects could be materially harmed.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subject to claims challenging the inventorship of our patents and other intellectual property.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or our licensors may be subject to claims that former employees, consultants, collaborators or other third parties have an interest in our patent rights, any potential trade secrets, or other intellectual property as an inventor, co-inventor or owner of any potential trade secrets. For example, we may have inventorship disputes arise from conflicting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obligations of consultants or others who are involved in developing our product candidates and other proprietary technologies we may develop. Litigation may be necessary to defend against these and other claims challenging inventorship or our patent rights, any potential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and other proprietary technologies we may develop.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identify relevant third-party patents or may incorrectly interpret the relevance, scope or expiration of a third-party patent, which might adversely affect our ability to develop and market our products and product candidates.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cannot guarantee that any of our or our licensors’ patent searches or analyses, including the identification of relevant patents, the scope of patent claims or the expiration of relevant patents, are complete or thorough, nor can we be certain that we or our licensors have identified each and every third-party patent and pending patent application in the United States and abroad that is relevant to or necessary for the commercialization of our current and future products and product candidates in any jurisdiction. Patent applications in the United States and elsewhere are not published until approximately 18 months after the earliest filing for which priority is claimed, with such earliest filing date being commonly referred to as the priority date. Therefore, patent applications covering our product candidates could have been filed by others without our knowledge. Additionally, pending patent applications that have been published can, subject to certain limitations, be later amended in a manner that could cover product candidates or the use of our product candidates. The scope of a patent claim is determined by the interpretation of the law, the words of a patent claim, the written disclosure in a patent and the patent’s prosecution history. Our interpretation of the relevance or the scope of a patent or a pending patent application may be incorrect, which may negatively impact our ability to market our products. We may incorrectly determine that our products or product candidates are not covered by a third-party patent or may incorrectly predict whether a third party’s pending patent application will issue with claims of relevant scope. Our determination of the expiration date of any patent in the United States or abroad that we consider relevant may be incorrect, and we may incorrectly conclude that a third-party patent is invalid and unenforceable. Our failure to identify and correctly interpret relevant patents may negatively impact our ability to develop and market our products and product candidates. If we fail to identify and correctly interpret relevant patents, we may be subject to infringement claims. Also, because the claims of published patent applications can change between publication and patent grant, there may be published patent applications that may ultimately issue with claims that we infringe. As the number of competitors in the market grows and the number of patents issued in this area increases, the possibility of patent infringement claims escalates.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We cannot guarantee that we will be able to successfully settle or otherwise resolve such infringement claims. If we fail in any such dispute, in addition to being forced to pay damages, we may be temporarily or permanently prohibited from commercializing any of our product candidates that are held to be infringing. We might, if possible, also be forced to redesign product candidates or services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Third-party claims of intellectual property infringement, misappropriation or other violations against us or our collaborators could be expensive and time consuming and may prevent or delay the development and commercialization of our product candidates.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commercial success depends in part on our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for challenging patents, including interference, derivation and reexamination proceedings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before the USPTO or oppositions and other comparable proceedings in foreign jurisdictions. Such challenges may result in loss of exclusivity or freedom to operate or in patent claims being narrowed, invalidated or held unenforceable, in whole or in part, which could limit our ability to stop others from using or commercializing similar or identical products and techniques without payment, or limit the duration of the patent protection of our technology. As discussed above, recently, due to changes in U.S. law referred to as patent reform, new procedures including inter partes review and post-grant review have also been implemented. As stated above, this reform adds uncertainty to the possibility of challenge to our patent rights in the future.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Numerous U.S. and foreign issued patents and pending patent applications owned by third parties exist in the fields in which we are commercializing or plan to commercialize furmonertinib. As the biotechnology and pharmaceutical industries expand and more patents are issued, and as we gain greater visibility and market exposure as a public company, the risk increases that furmonertinib or any future product candidates, and commercializing activities may give rise to claims of infringement of the patent rights of others. We cannot assure you that furmonertinib or any future product candidates will not infringe existing or future patents owned by third parties. We may not be aware of patents that have already been issued for which a third party, such as a competitor in the fields in which we are developing furmonertinib or our future product candidates, might accuse us of infringing. It is also possible that patents owned by third parties of which we are aware, but which we do not believe we infringe or that we believe we have valid defenses to any claims of patent infringement, could be found to be infringed by us. It is not unusual that corresponding patents issued in different countries have different scopes of coverage, such that in one country a third-party patent does not pose a material risk, but in another country, the corresponding third-party patent may pose a material risk to furmonertinib and any future product candidates. As such, we monitor third-party patents in the relevant pharmaceutical markets. In addition, because patent applications can take many years to issue, there may be currently pending patent applications that may later result in issued patents that we may infringe.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the event that any third-party claims that we infringe their patents or that we are otherwise employing their proprietary technology without authorization and initiates litigation against us, even if we believe such claims are without merit, a court of competent jurisdiction could hold that such patents are valid, enforceable and infringed by us. Defense of infringement claims, regardless of their merit,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or technologies. In addition, we may be required to pay substantial damages, including treble damages and attorneys’ fees for willful infringement, obtain one or more licenses from third parties, pay royalties and/or redesign our infringing products or technologies, which may be impossible or require substantial time and monetary expenditure. Such licenses may not be available on commercially reasonable terms or at all. Even if we are able to obtain a license, the license would likely obligate us to pay license fees or royalties or both, and the rights granted to us might be nonexclusive, which could result in our competitors gaining access to the same intellectual property. If we are unable to obtain a necessary license to a third-party patent on commercially reasonable terms or at all, we may be unable to commercialize the infringing products or technologies or such commercialization efforts may be significantly delayed, which could in turn significantly harm our business. In addition, we may in the future pursue patent challenges with respect to third-party patents, including as a defense against the foregoing infringement claims. The outcome of such challenges is unpredictable.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Even if resolved in our favor, the foregoing proceedings could be very expensive, particularly for a company of our size, and time-consuming.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our competitors may be able to sustain the costs of litigation or administrative proceedings more effectively than we can because of greater financial resources. Such proceedings may also absorb significant time of our technical and management personnel and distract them from their normal responsibilities. Uncertainties resulting from such proceedings could impair our ability to compete in the marketplace.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The occurrence of any of the foregoing could have a material adverse effect on our business, financial condition or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become involved in lawsuits to protect or enforce our patent and other intellectual property rights, which could be expensive, time-consuming and unsuccessful.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Third parties, such as a competitor, may infringe our patent rights. In an infringement proceeding, a court may decide that a patent owned by us or licensed to us is invalid or unenforceable or may refuse to stop the other party from using the invention at issue on the grounds that the patent does not cover the technology in question. In addition, our or our licensors’ patent rights may become involved in inventorship, priority or validity disputes. To counter or defend against such claims can be expensive and time-consuming. An adverse result in any litigation proceeding could put our patent rights at risk of being invalidated, held unenforceable or interpreted narrowly. Furthermore, because of the substantial amount of discovery required in connection with intellectual property litigation and proceedings, there is a risk that some of our confidential information could be compromised by disclosure during such litigation and proceedings.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our trademarks and trade names are not adequately protected, then we may not be able to build name recognition in our markets of interest and our business may be adversely affected.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registered or unregistered trademarks or trade names may be challenged, infringed, diluted, circumvented or declared generic or determined to be infringing, misappropriating or violating other marks. We may not be able to protect our rights to these trademarks and trade names, which we need to build name recognition among potential partners or customers in the markets of interest. During trademark registration proceedings, we may receive rejections of our applications by the USPTO or in other foreign jurisdictions. Although we are given an opportunity to respond to such rejections, we may be unable to overcome them. In the event that our trademarks are successfully challenged, we could be forced to rebrand our products, which could result in loss of brand recognition, and could require us to devote resources to advertising and marketing new brands.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may propose to use with furmonertinib or any future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misappropriate or otherwise violate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may not be able to obtain, protect or enforce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misappropriation, dilution or other claims brought by owners of other registered trademarks or trademarks that incorporate variations of our registered or unregistered trademarks or trade names. Over the long term, if we are unable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establish name recognition based on our trademarks and trade names, then we may not be able to compete effectively and our business may be adversely affected. Our efforts to obtain,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successful in obtaining or maintaining necessary rights to technology for our development pipeline through acquisitions and in-licenses.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growth of our business may depend in part on our ability to acquire, in-license or use third-party intellectual property and proprietary rights. For example, furmonertinib or any future product candidates may require specific formulations to work effectively and efficiently, we may develop product candidates containing our compounds and pre-existing pharmaceutical compounds, or we may be required by the FDA or comparable foreign regulatory authorities to provide a companion diagnostic test or tests with our product candidates, any of which could require us to obtain rights to use intellectual property held by third parties. In addition, with respect to any patent or other intellectual property rights we may co-own with third parties, we may require licenses to such co-owners’ interest to such patents. We may be unable to acquire or in-license any compositions, methods of use, processes or other third-party intellectual property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misappropriate or otherwise violate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Additionally, we may collaborate with academic institutions to accelerate our preclinical research or development under written agreements with these institutions. In certain cases, these institutions may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furmonertinib or any future product candidates. More established companies may have a competitive advantage over us due to their size, cash resources and greater clinical development and commercialization capabilities. In addition, companies that perceive us to be a competitor may be unwilling to assign or license rights to us. There can be no assurance that we will be able to successfully complete these types of negotiations and ultimately acquire the rights to the intellectual property surrounding the additional product candidates that we may seek to develop or market. If we are unable to successfully obtain rights to required third-party intellectual property or to maintain the existing intellectual property rights we have, we may have to abandon development of certain programs and our business financial condition, results of operations and prospects could suffer.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intellectual property licensed from third parties may be subject to retained rights.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current or future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For example, pursuant to the Allist License Agreement, Allist retains its rights for any and all purposes in certain retained territories regarding its patent rights, improvements and know-how related to any product containing furmonertinib or any of its derivatives as an active ingredient, including to research, develop, make, have made, use, sell, have sold, offer for sale, import, export and license products and processes in such retained territory. It is difficult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monitor whether our licensors will limit their use of the technology to these uses, and we could incur substantial expenses to enforce our rights to our licensed technology in the event of misuse.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Government agencies may provide funding, facilities, personnel or other assistance in connection with the development of the intellectual property rights owned by or licensed to us. Such government agencies may have retained rights in such intellectual property. For example, the United States federal government retains certain rights in inventions produced with its financial assistance under the Patent and Trademark Law Amendments Act (the Bayh-Dole Act); these include the right to grant or require us to grant mandatory licenses or sublicenses to such intellectual property to third parties under certain specified circumstances, including if it is necessary to meet health and safety needs that we are not reasonably satisfying or if it is necessary to meet requirements for public use specified by federal regulations, or to manufacture products in the United States. Any exercise of such rights, including with respect to any such required sublicense of these licenses could result in the loss of significant rights and could harm our ability to commercialize licensed products. While it is our policy to avoid engaging any potential university partners in projects in which there is a risk that government funds may be commingled, we cannot be sure that any such co-developed intellectual property will be free from government rights. If, in the future, we co-own or license in technology which is critical to our business that is developed in whole or in part with government funds subject to certain government rights, our ability to enforce or otherwise exploit patents covering such technology may be adversely affected.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Intellectual property rights do not necessarily address all potential threats to our competitive advantage.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degree of future protection afforded by our intellectual property rights is uncertain because intellectual property rights have limitations and may not adequately protect our business or permit us to maintain our competitive advantage. For example: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may be able to make products that are similar to furmonertinib or any future product candidates or utilize similar technology but that are not covered by the claims of the patents that we license or may own;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our licensors might not have been the first to make the inventions covered by our or our licensors’ current or future patent applications;</w:t>
            </w:r>
          </w:p>
        </w:tc>
      </w:tr>
    </w:tbl>
    <w:tbl>
      <w:tblPr>
        <w:tblW w:w="8913" w:type="dxa"/>
        <w:jc w:val="left"/>
        <w:tblInd w:w="0" w:type="dxa"/>
        <w:tblLayout w:type="fixed"/>
        <w:tblCellMar>
          <w:top w:w="0" w:type="dxa"/>
          <w:left w:w="0" w:type="dxa"/>
          <w:bottom w:w="0" w:type="dxa"/>
          <w:right w:w="0" w:type="dxa"/>
        </w:tblCellMar>
      </w:tblPr>
      <w:tblGrid>
        <w:gridCol w:w="23"/>
        <w:gridCol w:w="170"/>
        <w:gridCol w:w="87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our licensors might not have been the first to file patent applications covering our or their inventions;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may independently develop similar or alternative technologies or duplicate any of our or our licensors’ technologies without infringing our intellectual property rights;</w:t>
            </w:r>
          </w:p>
        </w:tc>
      </w:tr>
    </w:tbl>
    <w:tbl>
      <w:tblPr>
        <w:tblW w:w="8733" w:type="dxa"/>
        <w:jc w:val="left"/>
        <w:tblInd w:w="0" w:type="dxa"/>
        <w:tblLayout w:type="fixed"/>
        <w:tblCellMar>
          <w:top w:w="0" w:type="dxa"/>
          <w:left w:w="0" w:type="dxa"/>
          <w:bottom w:w="0" w:type="dxa"/>
          <w:right w:w="0" w:type="dxa"/>
        </w:tblCellMar>
      </w:tblPr>
      <w:tblGrid>
        <w:gridCol w:w="23"/>
        <w:gridCol w:w="170"/>
        <w:gridCol w:w="85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our or our licensors’ current or future patent applications will not lead to issued patents;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patent issuing from our or our licensors’ current or future patent applications may be held invalid or unenforceable, including as a result of legal challenges by our competitors or other third parties;</w:t>
            </w:r>
          </w:p>
        </w:tc>
      </w:tr>
    </w:tbl>
    <w:tbl>
      <w:tblPr>
        <w:tblW w:w="9648" w:type="dxa"/>
        <w:jc w:val="left"/>
        <w:tblInd w:w="0" w:type="dxa"/>
        <w:tblLayout w:type="fixed"/>
        <w:tblCellMar>
          <w:top w:w="0" w:type="dxa"/>
          <w:left w:w="0" w:type="dxa"/>
          <w:bottom w:w="0" w:type="dxa"/>
          <w:right w:w="0" w:type="dxa"/>
        </w:tblCellMar>
      </w:tblPr>
      <w:tblGrid>
        <w:gridCol w:w="23"/>
        <w:gridCol w:w="170"/>
        <w:gridCol w:w="94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may have access to the same intellectual property rights licensed to use in the future on a non-exclusive basis;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or other third parties might conduct research and development activities in countries where we or our licensors do not have patent rights and then use the information learned from such activities to develop competitive products for sale in our major commercial markets;</w:t>
            </w:r>
          </w:p>
        </w:tc>
      </w:tr>
    </w:tbl>
    <w:tbl>
      <w:tblPr>
        <w:tblW w:w="6378" w:type="dxa"/>
        <w:jc w:val="left"/>
        <w:tblInd w:w="0" w:type="dxa"/>
        <w:tblLayout w:type="fixed"/>
        <w:tblCellMar>
          <w:top w:w="0" w:type="dxa"/>
          <w:left w:w="0" w:type="dxa"/>
          <w:bottom w:w="0" w:type="dxa"/>
          <w:right w:w="0" w:type="dxa"/>
        </w:tblCellMar>
      </w:tblPr>
      <w:tblGrid>
        <w:gridCol w:w="23"/>
        <w:gridCol w:w="170"/>
        <w:gridCol w:w="61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develop additional proprietary technologies that are patentable;</w:t>
            </w:r>
          </w:p>
        </w:tc>
      </w:tr>
    </w:tbl>
    <w:tbl>
      <w:tblPr>
        <w:tblW w:w="7038" w:type="dxa"/>
        <w:jc w:val="left"/>
        <w:tblInd w:w="0" w:type="dxa"/>
        <w:tblLayout w:type="fixed"/>
        <w:tblCellMar>
          <w:top w:w="0" w:type="dxa"/>
          <w:left w:w="0" w:type="dxa"/>
          <w:bottom w:w="0" w:type="dxa"/>
          <w:right w:w="0" w:type="dxa"/>
        </w:tblCellMar>
      </w:tblPr>
      <w:tblGrid>
        <w:gridCol w:w="23"/>
        <w:gridCol w:w="170"/>
        <w:gridCol w:w="68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patents or other intellectual property rights of others may harm our business;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choose not to file for patent protection in order to maintain certain trade secrets or know-how, and a third party may subsequently file a patent application covering such intellectual property.</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Should any of the foregoing occur, it could adversely affect our business, financial condition, results of operations and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Some of our employees, consultants and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management.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reliance on third parties requires us to share potential trade secrets, which increases the possibility that a competitor or other third party will discover them or that potential trade secrets will be misappropriated or disclosed.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Because we currently rely on a third party to manufacture furmonertinib and to perform quality testing, we must, at times, share our proprietary technology and confidential information, including potential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including any potential trade secrets. Despite the contractual provisions employed when working with third parties, the need to share trade secrets and other confidential information increases the risk that such trade secrets become known by our competitors or other third parties, are intentionally or inadvertently incorporated into the technology of others or are disclosed or used in violation of these agreements. Given that our proprietary position is based, in part, on our know-how and despite our efforts to protect any potential trade secrets, a competitor’s or other third party’s discovery of our proprietary technology and confidential information or other unauthorized use or disclosure of such technology or information would impair our competitive position and may have a material adverse effect on our business, financial condition, results of operations and prospects.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unable to protect the confidentiality of any potential trade secrets, our business and competitive position would be harmed.</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addition to seeking patent protection for our product candidates and proprietary technologies, we may also rely on trade secret protection and confidentiality agreements to protect our unpatented know-how, technology, and other proprietary information and to maintain our competitive position. We seek to protect any potential trade secrets and other proprietary technology, in part, by entering into non-disclosure and confidentiality agreements with parties who have access to them, such as our employees, third-party collaborators, CROs, contract manufacturers, consultants, advisors and other third parties. We also enter into confidentiality and invention or patent assignment agreements with our employees and consultants. Trade secrets and know-how can be difficult to protect. We may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We cannot guarantee that we have entered into applicable agreements with each party that may have or have had access to any potential trade secrets or proprietary technology and processes. Despite these efforts, any of these parties may breach the agreements and disclose our proprietary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information, including any potential trade secrets, and we may not be able to obtain adequate remedies for such breaches. Monitoring unauthorized uses and disclosures is difficult, and we do not know whether the steps we have taken to protect our proprietary technologies will be effective. We cannot guarantee that any potential trade secrets and other proprietary and confidential information will not be disclosed or that competitors will not otherwise gain access to any potential trade secrets.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potential trade secrets were to be lawfully obtained or independently developed by a competitor or other third party, we would have no right to prevent them from using that technology or information to compete with us.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Furthermore, others may independently discover any potential trade secrets and proprietary information. If any of our potential trade secrets were to be lawfully obtained or independently developed by a competitor or other third party, we would have no right to prevent them, or those to whom they communicate it, from using that technology or information to compete with us. If any of our potential trade secrets were to be disclosed or misappropriated or if any such information were to be independently developed by a competitor or other third party, our competitive position would be materially and adversely harmed.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may be subject to claims that third parties have an ownership interest in any potential trade secrets. For example, we may have disputes arise from conflicting obligations of our employees, consultants or others who are involved in developing our product candidate. Litigation may be necessary to defend against these and other claims challenging ownership of any potential trade secrets. If we fail in defending any such claims, in addition to paying monetary damages, we may lose valuable trade secret rights, such as exclusive ownership of, or right to use, trade secrets that are important to our product candidates and other proprietary technologies we may develop. Such an outcome could have a material adverse effect on our business.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Risks Related to Our Common Stock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An active, liquid and orderly market for our common stock may not develop, or we may in the future fail to satisfy the continued listing requirements of Nasdaq and our stock may be delisted, and you may not be able to resell your common stock at your purchase price or at all.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common stock only recently began trading on the Nasdaq Global Market, and we can provide no assurance that we will be able to develop an active trading market for our common stock. Even if an active trading market is developed, it may not be sustained.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trading price of the shares of our common stock could be highly volatile, and purchasers of our common stock could incur substantial losses.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trading price of our common stock is likely to be volatile and could be subject to wide fluctuations in response to various factors, some of which are beyond our control, including limited trading volume. The market price for our common stock may be influenced by those factors discussed in this “Risk Factors” section and others, including:</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of our clinical trials and preclinical studies, and the results of trials of our competitors or those of other companies in our market sector;</w:t>
            </w:r>
          </w:p>
        </w:tc>
      </w:tr>
    </w:tbl>
    <w:tbl>
      <w:tblPr>
        <w:tblW w:w="4728" w:type="dxa"/>
        <w:jc w:val="left"/>
        <w:tblInd w:w="0" w:type="dxa"/>
        <w:tblLayout w:type="fixed"/>
        <w:tblCellMar>
          <w:top w:w="0" w:type="dxa"/>
          <w:left w:w="0" w:type="dxa"/>
          <w:bottom w:w="0" w:type="dxa"/>
          <w:right w:w="0" w:type="dxa"/>
        </w:tblCellMar>
      </w:tblPr>
      <w:tblGrid>
        <w:gridCol w:w="23"/>
        <w:gridCol w:w="170"/>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enroll subjects in our future clinical trials;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and maintain regulatory approval of furmonertinib or any future product candidates or additional indications thereof, or limitations to specific label indications or patient populations for its use, or changes or delays in the regulatory review process;</w:t>
            </w:r>
          </w:p>
        </w:tc>
      </w:tr>
    </w:tbl>
    <w:tbl>
      <w:tblPr>
        <w:tblW w:w="8148" w:type="dxa"/>
        <w:jc w:val="left"/>
        <w:tblInd w:w="0" w:type="dxa"/>
        <w:tblLayout w:type="fixed"/>
        <w:tblCellMar>
          <w:top w:w="0" w:type="dxa"/>
          <w:left w:w="0" w:type="dxa"/>
          <w:bottom w:w="0" w:type="dxa"/>
          <w:right w:w="0" w:type="dxa"/>
        </w:tblCellMar>
      </w:tblPr>
      <w:tblGrid>
        <w:gridCol w:w="23"/>
        <w:gridCol w:w="170"/>
        <w:gridCol w:w="79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or legal developments in the United States and foreign countries, particularly in China;</w:t>
            </w:r>
          </w:p>
        </w:tc>
      </w:tr>
    </w:tbl>
    <w:tbl>
      <w:tblPr>
        <w:tblW w:w="4713" w:type="dxa"/>
        <w:jc w:val="left"/>
        <w:tblInd w:w="0" w:type="dxa"/>
        <w:tblLayout w:type="fixed"/>
        <w:tblCellMar>
          <w:top w:w="0" w:type="dxa"/>
          <w:left w:w="0" w:type="dxa"/>
          <w:bottom w:w="0" w:type="dxa"/>
          <w:right w:w="0" w:type="dxa"/>
        </w:tblCellMar>
      </w:tblPr>
      <w:tblGrid>
        <w:gridCol w:w="23"/>
        <w:gridCol w:w="170"/>
        <w:gridCol w:w="45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structure of healthcare payment systems;</w:t>
            </w:r>
          </w:p>
        </w:tc>
      </w:tr>
    </w:tbl>
    <w:tbl>
      <w:tblPr>
        <w:tblW w:w="8673" w:type="dxa"/>
        <w:jc w:val="left"/>
        <w:tblInd w:w="0" w:type="dxa"/>
        <w:tblLayout w:type="fixed"/>
        <w:tblCellMar>
          <w:top w:w="0" w:type="dxa"/>
          <w:left w:w="0" w:type="dxa"/>
          <w:bottom w:w="0" w:type="dxa"/>
          <w:right w:w="0" w:type="dxa"/>
        </w:tblCellMar>
      </w:tblPr>
      <w:tblGrid>
        <w:gridCol w:w="23"/>
        <w:gridCol w:w="170"/>
        <w:gridCol w:w="84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or failure of our efforts to identify, develop, acquire or license additional product candidates;</w:t>
            </w:r>
          </w:p>
        </w:tc>
      </w:tr>
    </w:tbl>
    <w:tbl>
      <w:tblPr>
        <w:tblW w:w="8028" w:type="dxa"/>
        <w:jc w:val="left"/>
        <w:tblInd w:w="0" w:type="dxa"/>
        <w:tblLayout w:type="fixed"/>
        <w:tblCellMar>
          <w:top w:w="0" w:type="dxa"/>
          <w:left w:w="0" w:type="dxa"/>
          <w:bottom w:w="0" w:type="dxa"/>
          <w:right w:w="0" w:type="dxa"/>
        </w:tblCellMar>
      </w:tblPr>
      <w:tblGrid>
        <w:gridCol w:w="23"/>
        <w:gridCol w:w="170"/>
        <w:gridCol w:w="78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innovations, clinical trial results, product approvals and other developments by our competitors;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or our competitors of significant acquisitions, strategic partnerships, joint ventures or capital commitments;</w:t>
            </w:r>
          </w:p>
        </w:tc>
      </w:tr>
    </w:tbl>
    <w:tbl>
      <w:tblPr>
        <w:tblW w:w="8733" w:type="dxa"/>
        <w:jc w:val="left"/>
        <w:tblInd w:w="0" w:type="dxa"/>
        <w:tblLayout w:type="fixed"/>
        <w:tblCellMar>
          <w:top w:w="0" w:type="dxa"/>
          <w:left w:w="0" w:type="dxa"/>
          <w:bottom w:w="0" w:type="dxa"/>
          <w:right w:w="0" w:type="dxa"/>
        </w:tblCellMar>
      </w:tblPr>
      <w:tblGrid>
        <w:gridCol w:w="23"/>
        <w:gridCol w:w="170"/>
        <w:gridCol w:w="85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degree and rate of physician and market adoption of any of our current and future product candidates;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supply or distribution delays or shortages, including our inability to obtain adequate product supply, at acceptable prices or at all;</w:t>
            </w:r>
          </w:p>
        </w:tc>
      </w:tr>
    </w:tbl>
    <w:tbl>
      <w:tblPr>
        <w:tblW w:w="8838" w:type="dxa"/>
        <w:jc w:val="left"/>
        <w:tblInd w:w="0" w:type="dxa"/>
        <w:tblLayout w:type="fixed"/>
        <w:tblCellMar>
          <w:top w:w="0" w:type="dxa"/>
          <w:left w:w="0" w:type="dxa"/>
          <w:bottom w:w="0" w:type="dxa"/>
          <w:right w:w="0" w:type="dxa"/>
        </w:tblCellMar>
      </w:tblPr>
      <w:tblGrid>
        <w:gridCol w:w="23"/>
        <w:gridCol w:w="170"/>
        <w:gridCol w:w="86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to our relationship with any manufacturers, suppliers, collaborators or other strategic partners;</w:t>
            </w:r>
          </w:p>
        </w:tc>
      </w:tr>
    </w:tbl>
    <w:tbl>
      <w:tblPr>
        <w:tblW w:w="4788" w:type="dxa"/>
        <w:jc w:val="left"/>
        <w:tblInd w:w="0" w:type="dxa"/>
        <w:tblLayout w:type="fixed"/>
        <w:tblCellMar>
          <w:top w:w="0" w:type="dxa"/>
          <w:left w:w="0" w:type="dxa"/>
          <w:bottom w:w="0" w:type="dxa"/>
          <w:right w:w="0" w:type="dxa"/>
        </w:tblCellMar>
      </w:tblPr>
      <w:tblGrid>
        <w:gridCol w:w="23"/>
        <w:gridCol w:w="170"/>
        <w:gridCol w:w="45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achievement of expected product sales and profitability;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financial results or those of companies that are perceived to be similar to us, including variations from expectations of securities analysts or investors;</w:t>
            </w:r>
          </w:p>
        </w:tc>
      </w:tr>
    </w:tbl>
    <w:tbl>
      <w:tblPr>
        <w:tblW w:w="9498" w:type="dxa"/>
        <w:jc w:val="left"/>
        <w:tblInd w:w="0" w:type="dxa"/>
        <w:tblLayout w:type="fixed"/>
        <w:tblCellMar>
          <w:top w:w="0" w:type="dxa"/>
          <w:left w:w="0" w:type="dxa"/>
          <w:bottom w:w="0" w:type="dxa"/>
          <w:right w:w="0" w:type="dxa"/>
        </w:tblCellMar>
      </w:tblPr>
      <w:tblGrid>
        <w:gridCol w:w="23"/>
        <w:gridCol w:w="170"/>
        <w:gridCol w:w="93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in the biopharmaceutical sector and issuance of securities analysts’ reports or recommendations;</w:t>
            </w:r>
          </w:p>
        </w:tc>
      </w:tr>
    </w:tbl>
    <w:tbl>
      <w:tblPr>
        <w:tblW w:w="3273" w:type="dxa"/>
        <w:jc w:val="left"/>
        <w:tblInd w:w="0" w:type="dxa"/>
        <w:tblLayout w:type="fixed"/>
        <w:tblCellMar>
          <w:top w:w="0" w:type="dxa"/>
          <w:left w:w="0" w:type="dxa"/>
          <w:bottom w:w="0" w:type="dxa"/>
          <w:right w:w="0" w:type="dxa"/>
        </w:tblCellMar>
      </w:tblPr>
      <w:tblGrid>
        <w:gridCol w:w="23"/>
        <w:gridCol w:w="170"/>
        <w:gridCol w:w="30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volume of our common stock;</w:t>
            </w:r>
          </w:p>
        </w:tc>
      </w:tr>
    </w:tbl>
    <w:tbl>
      <w:tblPr>
        <w:tblW w:w="7068" w:type="dxa"/>
        <w:jc w:val="left"/>
        <w:tblInd w:w="0" w:type="dxa"/>
        <w:tblLayout w:type="fixed"/>
        <w:tblCellMar>
          <w:top w:w="0" w:type="dxa"/>
          <w:left w:w="0" w:type="dxa"/>
          <w:bottom w:w="0" w:type="dxa"/>
          <w:right w:w="0" w:type="dxa"/>
        </w:tblCellMar>
      </w:tblPr>
      <w:tblGrid>
        <w:gridCol w:w="23"/>
        <w:gridCol w:w="170"/>
        <w:gridCol w:w="68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inability to obtain additional funding or obtaining funding on unattractive terms;</w:t>
            </w:r>
          </w:p>
        </w:tc>
      </w:tr>
    </w:tbl>
    <w:tbl>
      <w:tblPr>
        <w:tblW w:w="8538" w:type="dxa"/>
        <w:jc w:val="left"/>
        <w:tblInd w:w="0" w:type="dxa"/>
        <w:tblLayout w:type="fixed"/>
        <w:tblCellMar>
          <w:top w:w="0" w:type="dxa"/>
          <w:left w:w="0" w:type="dxa"/>
          <w:bottom w:w="0" w:type="dxa"/>
          <w:right w:w="0" w:type="dxa"/>
        </w:tblCellMar>
      </w:tblPr>
      <w:tblGrid>
        <w:gridCol w:w="23"/>
        <w:gridCol w:w="170"/>
        <w:gridCol w:w="83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stock by us, our insiders or our stockholders, as well as the anticipation of lock-up releases;</w:t>
            </w:r>
          </w:p>
        </w:tc>
      </w:tr>
    </w:tbl>
    <w:tbl>
      <w:tblPr>
        <w:tblW w:w="9348" w:type="dxa"/>
        <w:jc w:val="left"/>
        <w:tblInd w:w="0" w:type="dxa"/>
        <w:tblLayout w:type="fixed"/>
        <w:tblCellMar>
          <w:top w:w="0" w:type="dxa"/>
          <w:left w:w="0" w:type="dxa"/>
          <w:bottom w:w="0" w:type="dxa"/>
          <w:right w:w="0" w:type="dxa"/>
        </w:tblCellMar>
      </w:tblPr>
      <w:tblGrid>
        <w:gridCol w:w="23"/>
        <w:gridCol w:w="170"/>
        <w:gridCol w:w="91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industry and market conditions other events or factors, many of which are beyond our control;</w:t>
            </w:r>
          </w:p>
        </w:tc>
      </w:tr>
    </w:tbl>
    <w:tbl>
      <w:tblPr>
        <w:tblW w:w="7113" w:type="dxa"/>
        <w:jc w:val="left"/>
        <w:tblInd w:w="0" w:type="dxa"/>
        <w:tblLayout w:type="fixed"/>
        <w:tblCellMar>
          <w:top w:w="0" w:type="dxa"/>
          <w:left w:w="0" w:type="dxa"/>
          <w:bottom w:w="0" w:type="dxa"/>
          <w:right w:w="0" w:type="dxa"/>
        </w:tblCellMar>
      </w:tblPr>
      <w:tblGrid>
        <w:gridCol w:w="23"/>
        <w:gridCol w:w="170"/>
        <w:gridCol w:w="69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financial condition and results of operations;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publication of news releases by Allist, other companies in our industry, and especially direct competitors, including about adverse developments related to safety, effectiveness, accuracy and usability of their products, reputational concerns, reimbursement coverage, regulatory compliance, and product recalls;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 or progression of geopolitical events, including in relation to the conflicts in the Middle East and between Russia and Ukraine;</w:t>
            </w:r>
          </w:p>
        </w:tc>
      </w:tr>
    </w:tbl>
    <w:tbl>
      <w:tblPr>
        <w:tblW w:w="5358" w:type="dxa"/>
        <w:jc w:val="left"/>
        <w:tblInd w:w="0" w:type="dxa"/>
        <w:tblLayout w:type="fixed"/>
        <w:tblCellMar>
          <w:top w:w="0" w:type="dxa"/>
          <w:left w:w="0" w:type="dxa"/>
          <w:bottom w:w="0" w:type="dxa"/>
          <w:right w:w="0" w:type="dxa"/>
        </w:tblCellMar>
      </w:tblPr>
      <w:tblGrid>
        <w:gridCol w:w="23"/>
        <w:gridCol w:w="170"/>
        <w:gridCol w:w="51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senior management or key personnel;</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58" w:type="dxa"/>
        <w:jc w:val="left"/>
        <w:tblInd w:w="0" w:type="dxa"/>
        <w:tblLayout w:type="fixed"/>
        <w:tblCellMar>
          <w:top w:w="0" w:type="dxa"/>
          <w:left w:w="0" w:type="dxa"/>
          <w:bottom w:w="0" w:type="dxa"/>
          <w:right w:w="0" w:type="dxa"/>
        </w:tblCellMar>
      </w:tblPr>
      <w:tblGrid>
        <w:gridCol w:w="23"/>
        <w:gridCol w:w="170"/>
        <w:gridCol w:w="96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product liability or other litigation against us or our inability to enforce our intellectual property;</w:t>
            </w:r>
          </w:p>
        </w:tc>
      </w:tr>
    </w:tbl>
    <w:tbl>
      <w:tblPr>
        <w:tblW w:w="9228" w:type="dxa"/>
        <w:jc w:val="left"/>
        <w:tblInd w:w="0" w:type="dxa"/>
        <w:tblLayout w:type="fixed"/>
        <w:tblCellMar>
          <w:top w:w="0" w:type="dxa"/>
          <w:left w:w="0" w:type="dxa"/>
          <w:bottom w:w="0" w:type="dxa"/>
          <w:right w:w="0" w:type="dxa"/>
        </w:tblCellMar>
      </w:tblPr>
      <w:tblGrid>
        <w:gridCol w:w="23"/>
        <w:gridCol w:w="170"/>
        <w:gridCol w:w="90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capital structure, such as future issuances of securities and the incurrence of additional debt; and</w:t>
            </w:r>
          </w:p>
        </w:tc>
      </w:tr>
    </w:tbl>
    <w:tbl>
      <w:tblPr>
        <w:tblW w:w="6918" w:type="dxa"/>
        <w:jc w:val="left"/>
        <w:tblInd w:w="0" w:type="dxa"/>
        <w:tblLayout w:type="fixed"/>
        <w:tblCellMar>
          <w:top w:w="0" w:type="dxa"/>
          <w:left w:w="0" w:type="dxa"/>
          <w:bottom w:w="0" w:type="dxa"/>
          <w:right w:w="0" w:type="dxa"/>
        </w:tblCellMar>
      </w:tblPr>
      <w:tblGrid>
        <w:gridCol w:w="23"/>
        <w:gridCol w:w="170"/>
        <w:gridCol w:w="67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standards, policies, guidelines, interpretations or principles.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These and other market and industry factors may cause the market price and demand for our common stock to fluctuate substantially, regardless of our actual operating performance, which may limit or prevent investors from readily selling their common stock and may otherwise negatively affect the liquidity of the trading market for our common stock.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the stock market has experienced significant volatility, particularly with respect to pharmaceutical, biotechnology and other life sciences company stocks. The volatility of pharmaceutical, biotechnology and other life sciences company stocks often does not relate to the operating performance of the companies represented by the stock.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executive officers, directors and principal stockholders, if they choose to act together, have the ability to significantly influence all matters submitted to stockholders for approval and may prevent new investors from influencing significant corporate decisions.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March 22, 2024, our executive officers, directors and greater than 5% stockholders, in the aggregate, own a substantial portion of our outstanding common stock. As a result, such persons, acting together, have the ability to significantly influence all matters submitted to our board of directors or stockholders for approval, including the appointment of our management, the election and removal of directors and approval of any significant transactions, as well as our management and business affairs, which may prevent new investors from influencing some or all of the foregoing.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Some of these persons or entities may have interests different than yours. For example, because many of these stockholders purchased their shares at prices substantially below the current market price of our common stock and have held their shares for a longer period, they may be more interested in selling our company to an acquirer than other investors, or they may want us to pursue strategies that deviate from the interests of other stockholders.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do not currently intend to pay dividends on our common stock, and, consequently, your ability to achieve a return on your investment will depend on appreciation, if any, in the price of our common stock.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any future debt agreements may preclude us from paying dividends. For the foreseeable future, any return to stockholders will therefore be limited to the appreciation of their stock. There is no guarantee that shares of our common stock will appreciate in value or even maintain the price at which stockholders have purchased their shares. Investors seeking cash dividends should not purchase our common stock. See “Dividend Policy” under Item 5 of Part II of this Annual Report for additional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Sales, or the possibility of sales, of a substantial number of shares of our common stock by our existing stockholders in the public market could cause our stock price to fall.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or equity-linked securities.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connection with our initial public offering, our directors and executive officers and holders of substantially all of our outstanding securities have entered into lock-up agreements with the underwriters pursuant to which they may not, with limited exceptions, for a period of 180 days from the date of our initial public offering, offer, sell or otherwise transfer or dispose of any of our securities, without the prior written consent of Goldman Sachs &amp; Co. LLC, Jefferies LLC and Citigroup Global Markets Inc. Such underwriters may permit our officers, directors and other securityholders who are subject to the lock-up agreements to sell shares prior to the expiration of the lock-up agreements at any time in their sole discretion. Sales of these shares, or perceptions that they will be sold, could cause the trading price of our common stock to decline. After the lock-up agreements expire, these shares of common stock will be eligible for sale in the public market, except that shares held by directors, executive officers and other affiliates will be subject to volume limitations under Rule 144 under the Securities Act of 1933, as amended (the Securities Act).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as of December 31, 2023, 1,683,156 shares of common stock that are subject to outstanding options under our employee benefit plans will become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trading price of our common stock could decline.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holders of 19,567,306 shares of our outstanding common stock, or approximately 58.4% of our total outstanding common stock based on shares outstanding as of December 31, 2023, are entitled to rights with respect to the registration of their shares under the Securities Act, subject to the 180-day lock-up agreements entered into in connection with our initial public offering.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or the registration of such shares, could have a material adverse effect on the trading price of our common stock.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an emerging growth company and a smaller reporting company, and the reduced disclosure and governance requirements applicable to emerging growth companies and smaller reporting companies may make our common stock less attractive to investors.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an emerging growth company, as defined in the JOBS Act, and may remain an emerging growth company until the last day of the fiscal year following the fifth anniversary of the closing of our recently completed initial public offering. However, if certain events occur prior to the end of such five-year period, including if we become a “large accelerated filer”, as defined under the Exchange Act, our annual gross revenues exceed $1.235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permitted to provide only two years of audited financial statements, in addition to any required unaudited interim financial statements, with correspondingly reduced “Management’s Discussion and Analysis of Financial Condition and Results of Operations” disclosure in connection with registered securities offerings;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being required to comply with the auditor attestation requirements in the assessment of our internal control over financial reporting pursuant to the Sarbanes-Oxley Act;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being required to comply with any requirement that may be adopted by the PCAOB regarding mandatory audit firm rotation or a supplement to the auditor’s report providing additional information about the audit and the financial statements, unless the SEC determines the new rules are necessary for protecting the public;</w:t>
            </w:r>
          </w:p>
        </w:tc>
      </w:tr>
    </w:tbl>
    <w:tbl>
      <w:tblPr>
        <w:tblW w:w="5958" w:type="dxa"/>
        <w:jc w:val="left"/>
        <w:tblInd w:w="0" w:type="dxa"/>
        <w:tblLayout w:type="fixed"/>
        <w:tblCellMar>
          <w:top w:w="0" w:type="dxa"/>
          <w:left w:w="0" w:type="dxa"/>
          <w:bottom w:w="0" w:type="dxa"/>
          <w:right w:w="0" w:type="dxa"/>
        </w:tblCellMar>
      </w:tblPr>
      <w:tblGrid>
        <w:gridCol w:w="23"/>
        <w:gridCol w:w="170"/>
        <w:gridCol w:w="57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disclosure obligations regarding executive compensation;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exemptions from the requirements of holding a nonbinding advisory vote on executive compensation and shareholder approval of any golden parachute payments not previously approved.</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have taken advantage of reduced reporting burdens in this Annual Report. In particular, in this Annual Report, we have provided only two years of audited financial statements and have not included all of the executive compensation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to avail ourselves of this exemption and, therefore, we may not be subject to the same new or revised accounting standards as other public companies that are not emerging growth companies. We intend to rely on other exemptions provided by the JOBS Act, including without limitation, not being required to comply with the auditor attestation requirements of Section 404(b) of the Sarbanes-Oxley Act.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Provisions in our charter documents and under Delaware law could discourage a takeover that stockholders may consider favorable and may lead to entrenchment of management.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amended and restated certificate of incorporation and amended and restated bylaws contain provisions that could delay or prevent a merger, acquisition, or other change in control of our company or changes in our board of directors that our stockholders might consider favorable, including transactions in which you might otherwise receive a premium for your shares. Some of these provisions include: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board of directors divided into three classes serving staggered three-year terms, such that not all members of the board will be elected at one time;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prohibition on stockholder action through written consent, which requires that all stockholder actions be taken at an annual or special meeting of our stockholders;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requirement that special meetings of stockholders be called only by the board of directors acting pursuant to a resolution approved by the affirmative vote of a majority of the directors then in office;</w:t>
            </w:r>
          </w:p>
        </w:tc>
      </w:tr>
    </w:tbl>
    <w:tbl>
      <w:tblPr>
        <w:tblW w:w="9078" w:type="dxa"/>
        <w:jc w:val="left"/>
        <w:tblInd w:w="0" w:type="dxa"/>
        <w:tblLayout w:type="fixed"/>
        <w:tblCellMar>
          <w:top w:w="0" w:type="dxa"/>
          <w:left w:w="0" w:type="dxa"/>
          <w:bottom w:w="0" w:type="dxa"/>
          <w:right w:w="0" w:type="dxa"/>
        </w:tblCellMar>
      </w:tblPr>
      <w:tblGrid>
        <w:gridCol w:w="23"/>
        <w:gridCol w:w="170"/>
        <w:gridCol w:w="88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notice requirements for stockholder proposals and nominations for election to our board of directors;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requirement that no member of our board of directors may be removed from office by our stockholders except for cause and, in addition to any other vote required by law, upon the approval of not less than 75% of all outstanding shares of our voting stock then entitled to vote in the election of directors;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requirement of approval of not less than 75% of all outstanding shares of our voting stock to amend any bylaws by stockholder action or to amend specific provisions of our certificate of incorporation;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authority of the board of directors to issue convertible preferred stock on terms determined by the board of directors without stockholder approval and which convertible preferred stock may include rights superior to the rights of the holders of common stock.</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addition, because we are incorporated in Delaware, we are governed by the provisions of Section 203 of the General Corporation Law of the State of Delaware,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120</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stockholders to elect directors of your choosing or cause us to take other corporate actions you desire. Any delay or prevention of a change in control transaction or changes in our board of directors could cause the market price of our common stock to decline.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amended and restated certificate of incorporation designates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amended and restated certificate of incorporation provides that, unless we consent in writing to an alternative forum, the Court of Chancery of the State of Delaware will be the sole and exclusive forum for any state law claims for (i) any derivative action or proceeding brought on our behalf, (ii) any action or proceeding asserting a claim of breach of fiduciary duty owed by any of our current or former directors, officers, employees or agents to us or our stockholders, (iii) any action or proceeding asserting a claim arising pursuant to any provision of the General Corporation Law of the State of Delaware or our certificate of incorporation or bylaws (in each case, as they may be amended from time to time), (iv) any action or proceeding to interpret, apply, enforce or determine the validity of our amended and restated certificate of incorporation or bylaws, (v) any action or proceeding as to which the Delaware General Corporation Law confers jurisdiction to the Court of Chancery of the State of Delaware, or (vi) any action asserting a claim against us or any of our directors, officers or employees that is governed by the internal affairs doctrine; provided, however, that this exclusive forum provision does not apply to any action arising under the Exchange Act. Our amended and restated certificate of incorporation further provides that, unless we consent in writing to an alternative forum, the United States District Court for the Eastern District of Pennsylvania will be the exclusive forum for resolving any complaint asserting a cause of action arising under the Securities Act. We have chosen the United States District Court for the Eastern District of Pennsylvania as the exclusive forum for such Securities Act causes of action because our principal executive offices are located in Newtown Square, Pennsylvania. In addition, our amended and restated certificate of incorporation provides that any person or entity purchasing or otherwise acquiring any interest in shares of our common stock is deemed to have notice of and consented to the foregoing provisions. We recognize that the forum selection clause in our amended and restated certificate of incorporation may impose additional litigation costs on stockholders in pursuing any such claims, particularly if the stockholders do not reside in or near the State of Delaware or the State of Pennsylvania, as applicable. Additionally, the forum selection clause in our amended and restated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Court of Chancery of the State of Delaware or the United States District Court for the Eastern District of Pennsylvania may also reach different judgments or results than would other courts, including courts where a stockholder considering an action may be located or would otherwise choose to bring the action, and such judgments may be more or less favorable to us than our stockholders. Alternatively, if a court were to find the choice of forum provisions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Because the applicability of the exclusive forum provision is limited to the extent permitted by applicable law, we do not intend that the exclusive forum provision would apply to suits brought to enforce any duty or liability created by the Exchange Act or any other claim for which the federal courts have exclusive jurisdiction. We also acknowledge that Section 22 of the Securities Act creates concurrent jurisdiction for federal and state courts over all suits brought to enforce any duty or liability created by the Securities Act or the rules and regulations thereunder and that there is uncertainty as to whether a court would enforce an exclusive forum provision for actions arising under the Securities Act.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 Risk Factors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disclosure controls and procedures may not prevent or detect all errors or acts of fraud.</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121</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time periods specified in the rules and even if we are successful in remediating our material weaknesses,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 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incur significantly increased costs as a result of operating as a public company, and our management will be required to devote substantial time to new compliance initiatives.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public company, we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the establishment and maintenance of effective disclosure and financial reporting controls and changes in corporate governance practices. Further, in July 2010, the Dodd-Frank Wall Street Reform and Consumer Protection Act (Dodd-Frank Act) was enacted. There are significant corporate governance and executive compensation related provisions in the Dodd-Frank Act concerning areas such as “say on pay” and proxy access. Emerging growth companies are permitted to implement many of these requirements over a longer period, which may be up to five years from the pricing of our initial public offering in January 2024.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an adverse effect on our business. The increased costs could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We have identified material weaknesses in our internal control over financial reporting related to our control environment. If we do not remediate the material weaknesses in our internal control over financial reporting, or if we fail to establish and maintain effective internal control over financial reporting, we may not be able to accurately report our financial results, which may cause investors to lose confidence in our reported financial information and may lead to a decline in the market price of our stock.</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Pursuant to Section 404 of the Sarbanes-Oxley Act, our management will be required to report on the effectiveness of our internal control over financial reporting beginning with the annual report for our fiscal year ending December 31, 2024. When we lose our status as an “emerging growth company” and do not otherwise qualify as a “smaller reporting company” with less than $100.0 million in annual revenue, our independent registered public accounting firm will be required to attest to the effectiveness of our internal control over financial reporting. The rules governing the standards that must be met for our management to assess our internal control over financial reporting are complex and require significant documentation, testing and possible remediation. To comply with the requirements of being a reporting company under the Exchange Act, we may need to upgrade our information technology systems; implement additional financial and management controls, reporting systems and procedures; and hire additional accounting and finance staff. If we or, if required, our auditors are unable to conclude that our internal control over financial reporting is effective,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investors may lose confidence in our financial reporting and the trading price of our common stock may decline. The identification of material weaknesses could result in an adverse reaction in the financial markets due to a loss of confidence in the reliability of our financial statements. The PCAOB has defined a material weakness as “a deficiency, or a combination of deficiencies in internal control over financial reporting, such that there is a reasonable possibility that a material misstatement of the annual or interim statements will not be prevented or detected on a timely basis.”</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We determined that we had material weaknesses relating to our control environment, risk assessment and control activities. Specifically, we had insufficient accounting resources which resulted in the following ineffective risk assessment activities:</w:t>
      </w:r>
    </w:p>
    <w:tbl>
      <w:tblPr>
        <w:tblW w:w="9558" w:type="dxa"/>
        <w:jc w:val="left"/>
        <w:tblInd w:w="0" w:type="dxa"/>
        <w:tblLayout w:type="fixed"/>
        <w:tblCellMar>
          <w:top w:w="0" w:type="dxa"/>
          <w:left w:w="0" w:type="dxa"/>
          <w:bottom w:w="0" w:type="dxa"/>
          <w:right w:w="0" w:type="dxa"/>
        </w:tblCellMar>
      </w:tblPr>
      <w:tblGrid>
        <w:gridCol w:w="23"/>
        <w:gridCol w:w="230"/>
        <w:gridCol w:w="930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effectively design and implement controls related to the review and approval of manual journal entries.</w:t>
            </w:r>
          </w:p>
        </w:tc>
      </w:tr>
    </w:tbl>
    <w:tbl>
      <w:tblPr>
        <w:tblW w:w="9768" w:type="dxa"/>
        <w:jc w:val="left"/>
        <w:tblInd w:w="0" w:type="dxa"/>
        <w:tblLayout w:type="fixed"/>
        <w:tblCellMar>
          <w:top w:w="0" w:type="dxa"/>
          <w:left w:w="0" w:type="dxa"/>
          <w:bottom w:w="0" w:type="dxa"/>
          <w:right w:w="0" w:type="dxa"/>
        </w:tblCellMar>
      </w:tblPr>
      <w:tblGrid>
        <w:gridCol w:w="23"/>
        <w:gridCol w:w="245"/>
        <w:gridCol w:w="950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ineffectively designed process-level controls associated with accounting for certain non-routine transactions.</w:t>
            </w:r>
          </w:p>
        </w:tc>
      </w:tr>
    </w:tbl>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We are in the process of implementing our remediation plans with respect to the material weaknesses. We have increased the number of resources (internal and third-party) dedicated to our accounting and finance team, including personnel with additional knowledge, experience, and training, to ensure we have adequate staff, to segregate key duties, and to comply with company policies and procedures. We also plan to engage a third-party provider to help us assess and improve our internal controls in preparation for compliance with the Sarbanes-Oxley Act. Additionally, we are in the process of developing written policies and implementing process level and management review controls for our manual journal entries. However, we cannot assure you that we will be successful in remediating the material weaknesses we identified or that our internal control over financial reporting, as modified, will enable us to identify or avoid material weaknesses in the future.</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We cannot assure you that management will be successful in identifying and retaining appropriate personnel; that newly engaged staff or outside consultants will be successful in identifying material weaknesses in the future; or that appropriate personnel will be identified and retained prior to these deficiencies resulting in material and adverse effects on our business.</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Any failure to remediate the material weaknesses we identified or develop or to maintain internal control over financial reporting could severely inhibit our ability to accurately report our financial condition, results of operations or cash flows. If we are unable to remediate the material weaknesses we identified or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If we fail to comply with these laws, we could face civil or criminal liability and other serious consequences for violations, which could harm our business.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CROs, contractors and other collaborators and partners from authorizing, promising, offering, providing, soliciting or receiving, directly or indirectly, improper payments or anything else of value to recipients in the public or private sector.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123</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We may engage third parties for clinical trials outside of the United States, to sell our products abroad if and when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CROs, contractors and other collaborators and partners, even if we do not explicitly authorize or have actual knowledge of such activities, and any training or compliance programs or other initiatives we undertake to prevent such activities may not be effective.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Furthermore, U.S. export control laws and economic sanctions prohibit the provision of certain products and services to countries, governments, and persons targeted by U.S. sanctions. U.S. sanctions that have been or may be imposed as a result of military conflicts in other countries may impact our ability to continue activities at future clinical trial sites within regions covered by such sanctions. If we fail to comply with export and import regulations and such economic sanctions, penalties could be imposed, including fines and/or denial of certain export privileges. These export and import controls and economic sanctions could also adversely affect our supply chain.</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Our third-party manufacturers or suppliers may use potent chemical agents and hazardous materials, and any claims relating to improper handling, storage or disposal of these materials could be time-consuming or costly.</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Our third-party manufacturers or suppliers use, and potential future collaborators will use, biological materials, potent chemical agents and may use hazardous materials, including chemicals and biological agents and compounds that could be dangerous to human health and safety of the environment. The operations of our third-party manufacturers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our third-party manufacturers and suppliers cannot eliminate the risk of accidental injury or contamination from these materials or wastes. We do not carry specific biological or hazardous waste insurance coverage, and our property, casualty and general liability insurance policies specifically exclude coverage for damages and fines arising from biological or hazardous waste exposure or contamination. In the event of contamination or injury at our manufacturers’ or suppliers’ sites, we could be held liable for damages or be penalized with fines in an amount exceeding our resources, and our clinical trials or regulatory approvals could be suspended. Although we maintain workers’ compensation insurance for certain costs and expenses we may incur due to injuries to our employees resulting from work-related injuries, this insurance may not provide adequate coverage against potential liabilities. We do not maintain insurance for toxic tort claims that may be asserted against us in connection with our third-party manufacturers’ and suppliers’ storage or disposal of biologic, hazardous or radioactive materials.</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In addition, our third-party manufacturers and suppliers may need to incur substantial costs in order to comply with current or future environmental, health and safety laws and regulations, which have tended to become more stringent over time, which may increase the cost of their services to us. These current or future laws and regulations may impair our research, development or production efforts. Failure to comply with these laws and regulations also may result in substantial fines, penalties or other sanctions or liabilities for our third-party manufacturers and suppliers, which could in turn materially adversely affect our business, financial condition, results of operations and prospects. To the extent we develop our own manufacturing operations in the future, we may similarly incur substantial costs to ensure compliance with these laws, and all the foregoing risks will further apply to us, as well.</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Business disruptions could seriously harm our future revenue and financial condition and increase our costs and expenses.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operations and the operations of our suppliers, CROs, CMOs and clinical sites could be subject to earthquakes, power shortages, telecommunications or infrastructure failures, cybersecurity incidents, physical security breaches, water shortages, floods, hurricanes, typhoons, blizzards and other extreme weather conditions, fires, public health pandemics or epidemics and other natural or manmade disasters or business interruptions, for which we are predominantly self-insured. We rely on third-party manufacturers or suppliers to produce furmonertinib and its components and on CROs and clinical sites to conduct our clinical trials, and do not have a redundant source of supply for all components of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124</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product candidate. Our ability to obtain clinical or, if approved, commercial, supplies of furmonertinib or any future product candidates could be disrupted if the operations of these suppliers were affected by a man-made or natural disaster or other business interruption, and our ability to commence, conduct or complete our clinical trials in a timely manner could be similarly adversely affected by any of the foregoing. The occurrence of any of these business disruptions could seriously harm our operations and financial condition and increase our costs and expenses.</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Unstable market and economic conditions may have serious adverse consequences on our business, financial condition and stock price.</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The global credit and financial markets have recently experienced extreme volatility and disruptions, including severely diminished liquidity and credit availability, declines in consumer confidence, declines in economic growth, increases in unemployment rates and uncertainty about economic stability. The financial markets and the global economy may also be adversely affected by the current or anticipated impact of military conflict, including the conflicts in the Middle East and between Russia and Ukraine, terrorism or other geopolitical events. Sanctions imposed by the United States and other countries in response to such conflicts, including the ones in the Middle East and in Ukraine, may also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limit, reduce, or terminate our product development or future commercialization efforts or grant rights to develop and market our product candidates even if we would otherwise prefer to develop and market such product candidates ourselves, or on less favorable terms than we would otherwise choose. In addition, one or more of our current service providers, manufacturers and other partners may not survive an economic downturn, which could directly affect our ability to attain our clinical development goals on schedule and on budget.</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Uncertainty about global economic conditions could result in increased costs related to the manufacture of our product candidates and, if our drug candidates are approved and made available for sale, customers may postpone purchases of our drug candidates in response to tighter credit, unemployment, negative financial news and/or declines in income or asset values and other macroeconomic factors, which could have a material adverse effect on demand for our drug candidates,</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Changes in tax law may materially adversely affect our financial condition, results of operations and cash flows, or adversely impact the value of an investment in our common stock.</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New income, sales, use or other tax laws, statutes, rules, regulations or ordinances could be enacted at any time, or interpreted, changed, modified or applied adversely to us, any of which could adversely affect our business operations and financial performance. We urge our investors to consult with their legal and tax advisors with respect to any changes in tax law and the potential tax consequences of investing in our common stock.</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If securities or industry analysts do not publish research or reports or publish unfavorable research or reports about our business, our stock price and trading volume could decline.</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The trading market for our common stock depends in part on the research and reports that securities or industry analysts publish about us, our business, our market or our competitors. If one or more of the analysts who covers us downgrades our stock, or if we fail to meet the expectations of one or more of these analysts, our stock price would likely decline. If one or more of these analysts ceases to cover us or fails to regularly publish reports on us, interest in our stock could decrease, which could cause our stock price or trading volume to decline.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125</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We could be subject to securities class action litigation.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If we face such litigation, even if ultimately decided in our favor, it could result in substantial costs that may not be fully covered by insurance, and a diversion of our management’s attention and resources, which could harm our business.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1B. Unresolved Staff Comments</w:t>
      </w:r>
      <w:bookmarkStart w:id="7" w:name="Item1BUnresolvedStaffComments_852271"/>
      <w:bookmarkEnd w:id="7"/>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1C. Cybers</w:t>
      </w:r>
      <w:bookmarkStart w:id="8" w:name="Item1C"/>
      <w:bookmarkEnd w:id="8"/>
      <w:r>
        <w:rPr>
          <w:rFonts w:ascii="Times New Roman;Times;serif" w:hAnsi="Times New Roman;Times;serif"/>
          <w:b/>
          <w:sz w:val="20"/>
        </w:rPr>
        <w:t>ecurity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Cybersecurity</w:t>
      </w:r>
    </w:p>
    <w:p>
      <w:pPr>
        <w:pStyle w:val="TextBody"/>
        <w:bidi w:val="0"/>
        <w:spacing w:before="0" w:after="0"/>
        <w:ind w:left="0" w:right="0" w:hanging="0"/>
        <w:jc w:val="both"/>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recognize the critical importance of maintaining the trust and confidence of patients, business partners and employees toward our business and are committed to protecting the confidentiality, integrity and availability of our business operations and systems. Our board of directors, led by the audit committee, is actively involved in oversight of our Enterprise Risk Management or ERM activities, and cybersecurity represents an important element of our overall approach to risk management. Our cybersecurity policies, standards, processes and practices are based on recognized frameworks established by the National Institute of Standards and Technology, or NIST, and other applicable industry standards.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Cybersecurity Risk Management and Strategy; Effect of Risk</w:t>
      </w:r>
    </w:p>
    <w:p>
      <w:pPr>
        <w:pStyle w:val="TextBody"/>
        <w:bidi w:val="0"/>
        <w:spacing w:before="0" w:after="0"/>
        <w:ind w:left="0" w:right="0" w:hanging="0"/>
        <w:jc w:val="both"/>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face risks related to cybersecurity such as unauthorized access, cybersecurity attacks and other security incidents, including as perpetrated by hackers and unintentional damage or disruption to hardware and software systems, loss of data, and misappropriation of confidential information. To identify and assess material risks from cybersecurity threats, we maintain a comprehensive cybersecurity program to ensure our systems are effective and prepared for information security risks, including regular oversight of our programs for security monitoring for internal and external threats to ensure the confidentiality and integrity of our information assets. We consider risks from cybersecurity threats alongside other company risks as part of our ERM process. We employ a range of tools and services, including regular network and endpoint monitoring, audits, vulnerability assessments, will implement penetration testing and threat modeling in 2024 to inform our risk identification and assessment. As discussed in more detail under “Cybersecurity Governance” below, our audit committee provides oversight of our cybersecurity risk management and strategy processes, which are led by our Chief Operating Officer.</w:t>
      </w:r>
    </w:p>
    <w:p>
      <w:pPr>
        <w:pStyle w:val="TextBody"/>
        <w:bidi w:val="0"/>
        <w:spacing w:before="0" w:after="0"/>
        <w:ind w:left="0" w:right="0" w:hanging="0"/>
        <w:jc w:val="both"/>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also identify our cybersecurity threat risks by comparing our processes to standards set by NIST as well as by engaging experts to attempt to infiltrate our information systems. To provide for the availability of critical data and systems, maintain regulatory compliance, manage our material risks from cybersecurity threats, and protect against and respond to cybersecurity incidents, we undertake the following activities: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 emerging data protection laws and implement changes to our processes that are designed to comply with such laws;</w:t>
            </w:r>
          </w:p>
        </w:tc>
      </w:tr>
    </w:tbl>
    <w:p>
      <w:pPr>
        <w:pStyle w:val="TextBody"/>
        <w:bidi w:val="0"/>
        <w:spacing w:before="0"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our policies, practices and contracts (as applicable), require employees, as well as third parties that provide services on our behalf, to treat confidential information and data with care;</w:t>
            </w:r>
          </w:p>
        </w:tc>
      </w:tr>
    </w:tbl>
    <w:p>
      <w:pPr>
        <w:pStyle w:val="TextBody"/>
        <w:bidi w:val="0"/>
        <w:spacing w:before="0"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w:t>
            </w:r>
          </w:p>
        </w:tc>
      </w:tr>
    </w:tbl>
    <w:p>
      <w:pPr>
        <w:pStyle w:val="TextBody"/>
        <w:bidi w:val="0"/>
        <w:spacing w:before="0" w:after="0"/>
        <w:ind w:left="72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regular training for our employees and contractors regarding cybersecurity threats as a means to equip them with effective tools to address cybersecurity threats, and to communicate our evolving information security policies, standards, processes and practices;</w:t>
            </w:r>
          </w:p>
        </w:tc>
      </w:tr>
    </w:tbl>
    <w:p>
      <w:pPr>
        <w:pStyle w:val="TextBody"/>
        <w:bidi w:val="0"/>
        <w:spacing w:before="0" w:after="0"/>
        <w:ind w:left="180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regular phishing email simulations for all employees and contractors with access to our email systems to enhance awareness and responsiveness to possible threats;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leverage the NIST incident handling framework to help us identify, protect, detect, respond and recover when there is an actual or potential cybersecurity incident; and</w:t>
            </w:r>
          </w:p>
        </w:tc>
      </w:tr>
    </w:tbl>
    <w:p>
      <w:pPr>
        <w:pStyle w:val="TextBody"/>
        <w:bidi w:val="0"/>
        <w:spacing w:before="0" w:after="0"/>
        <w:ind w:left="180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 information security risk insurance that provides protection against the potential losses arising from a cybersecurity incident.</w:t>
            </w:r>
          </w:p>
        </w:tc>
      </w:tr>
    </w:tbl>
    <w:p>
      <w:pPr>
        <w:pStyle w:val="TextBody"/>
        <w:bidi w:val="0"/>
        <w:spacing w:before="0" w:after="0"/>
        <w:ind w:left="1800" w:right="0" w:hanging="0"/>
        <w:jc w:val="both"/>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business continuity policy coordinates the activities we take to prepare for, detect, respond to and recover from cybersecurity incidents, which include processes to triage, assess severity for, escalate, contain, investigate and remediate the incident, as well as to comply with potentially applicable legal obligations and mitigate damage to our business and reputation.</w:t>
      </w:r>
    </w:p>
    <w:p>
      <w:pPr>
        <w:pStyle w:val="TextBody"/>
        <w:bidi w:val="0"/>
        <w:spacing w:before="0" w:after="0"/>
        <w:ind w:left="0" w:right="0" w:hanging="0"/>
        <w:jc w:val="both"/>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part of the above processes, we regularly engage with consultants, auditors and other third parties, including annually having a third-party review our cybersecurity program to help identify areas for continued focus, improvement and compliance.</w:t>
      </w:r>
    </w:p>
    <w:p>
      <w:pPr>
        <w:pStyle w:val="TextBody"/>
        <w:bidi w:val="0"/>
        <w:spacing w:before="0" w:after="0"/>
        <w:ind w:left="0" w:right="0" w:hanging="0"/>
        <w:jc w:val="both"/>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processes also address cybersecurity threat risks associated with our use of third-party service providers, including our suppliers and manufacturers or who have access to patient and employee data or our systems. In addition, cybersecurity considerations affect the selection and oversight of our third-party service providers. Additionally, we generally require those third parties that could introduce significant cybersecurity risk to us to agree by contract to manage their cybersecurity risks in specified ways, and to agree to be subject to cybersecurity audits, which we conduct as appropriate.</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in Item 1A, “Risk Factors”, which disclosures are incorporated by reference herein.</w:t>
      </w:r>
    </w:p>
    <w:p>
      <w:pPr>
        <w:pStyle w:val="TextBody"/>
        <w:bidi w:val="0"/>
        <w:spacing w:before="0" w:after="0"/>
        <w:ind w:left="0" w:right="0" w:hanging="0"/>
        <w:jc w:val="both"/>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the last three fiscal years, we have not experienced any material cybersecurity incidents and the expenses we have incurred from cybersecurity incidents were immaterial. This includes penalties and settlements, of which there were none.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Cybersecurity Governance; Management</w:t>
      </w:r>
    </w:p>
    <w:p>
      <w:pPr>
        <w:pStyle w:val="TextBody"/>
        <w:bidi w:val="0"/>
        <w:spacing w:before="0" w:after="0"/>
        <w:ind w:left="0" w:right="0" w:hanging="0"/>
        <w:jc w:val="both"/>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Cybersecurity is an important part of our risk management processes and an area of focus for our board of directors and management. In general, our board of directors oversees risk management activities designed and implemented by our management, and considers specific risks, including, for example, risks associated with our strategic plan, business operations, and capital structure. The audit committee of our board of directors is responsible for the oversight of risks from cybersecurity threats. </w:t>
      </w:r>
    </w:p>
    <w:p>
      <w:pPr>
        <w:pStyle w:val="TextBody"/>
        <w:bidi w:val="0"/>
        <w:spacing w:before="0" w:after="0"/>
        <w:ind w:left="0" w:right="0" w:hanging="0"/>
        <w:jc w:val="both"/>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Periodically, our audit committee, and annually, our board of directors receives an update from management of our cybersecurity threat risk management and strategy processes covering topics such as data security posture, results from third-party assessments, progress towards pre-determined risk-mitigation-related goals, our incident response plan, and material cybersecurity threat risks or incidents and developments, as well as the steps management has taken to respond to such risks. In such sessions, our audit committee generally receives information that includes a cybersecurity summary and other information discussing current and emerging material cybersecurity threat risks, and describing our ability to mitigate those risks, as well as recent developments, evolving standards, technological developments and information security considerations arising with respect to our peers and third parties, Our audit committee and board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127</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directors also receive prompt and timely information regarding any cybersecurity incident that meets establishing reporting thresholds, as well as ongoing updates regarding any such incident until it has been addressed. </w:t>
      </w:r>
    </w:p>
    <w:p>
      <w:pPr>
        <w:pStyle w:val="TextBody"/>
        <w:bidi w:val="0"/>
        <w:spacing w:before="0" w:after="0"/>
        <w:ind w:left="0" w:right="0" w:hanging="0"/>
        <w:jc w:val="both"/>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Members of our audit committee and board of directors are also encouraged to regularly engage in conversations with management on cybersecurity-related news events and discuss any updates to our cybersecurity risk management and strategy programs. Material cybersecurity threat risks are also considered during separate board meeting discussions of important matters like ERM, operational budgeting, business continuity planning, mergers and acquisitions, brand management, and other relevant matters.</w:t>
      </w:r>
    </w:p>
    <w:p>
      <w:pPr>
        <w:pStyle w:val="TextBody"/>
        <w:bidi w:val="0"/>
        <w:spacing w:before="0" w:after="0"/>
        <w:ind w:left="0" w:right="0" w:hanging="0"/>
        <w:jc w:val="both"/>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cybersecurity risk management and strategy processes, which are discussed in greater detail above, are led by our Chief Operating Officer in consultation with our Chief Financial Officer and General Counsel. Such individuals and their respective teams have collectively over a dozen years of prior work experience in various roles involving managing information security, developing cybersecurity strategy, implementing effective information and cybersecurity programs. These management team members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 As discussed above, these management team members report to the audit committee of our board of directors quarterly, and our board of directors annually about cybersecurity threat risks, among other cybersecurity related matters.</w:t>
      </w:r>
    </w:p>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2. Properties</w:t>
      </w:r>
      <w:bookmarkStart w:id="9" w:name="Item2Properties_509434"/>
      <w:bookmarkEnd w:id="9"/>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currently lease office space in and around the San Francisco Peninsula and Washington, D.C./Maryland area.</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lease office space at 1350 Bayshore Highway, Burlingame, CA 94041, containing approximately 7,685 square feet of office space pursuant to a lease agreement that expires in January 2026. This is our corporate headquarters. This lease replaced a lease at the same address which expired in January 2024.</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also lease office space at 9841 Washingtonian Boulevard, Gaithersburg, MD 20878, pursuant to a lease agreement that expires in February 2025. This lease replaced a lease at the same address which expired in February 2024. The initial lease term for this lease was less than twelve months.</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believe these facilities will be adequate for the foreseeable future and that suitable additional or substitute space will be available as and when needed.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3. Legal Proceedings</w:t>
      </w:r>
      <w:bookmarkStart w:id="10" w:name="Item3LegalProceedings_721813"/>
      <w:bookmarkEnd w:id="10"/>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Item 4. </w:t>
      </w:r>
      <w:bookmarkStart w:id="11" w:name="Item4MineSafetyDisclosures_892234"/>
      <w:bookmarkEnd w:id="11"/>
      <w:r>
        <w:rPr>
          <w:rFonts w:ascii="Times New Roman;Times;serif" w:hAnsi="Times New Roman;Times;serif"/>
          <w:b/>
          <w:sz w:val="20"/>
        </w:rPr>
        <w:t>Mine Safety Disclosures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PART II</w:t>
      </w:r>
      <w:bookmarkStart w:id="12" w:name="PARTII_585094"/>
      <w:bookmarkEnd w:id="12"/>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5. Market for Registrant’s Common Equity, Related Stockholder Matters and Issuer Purchases of Equity Securities</w:t>
      </w:r>
      <w:bookmarkStart w:id="13" w:name="Item5MarketforRegistrantsCommonEquityRel"/>
      <w:bookmarkEnd w:id="13"/>
    </w:p>
    <w:p>
      <w:pPr>
        <w:pStyle w:val="TextBody"/>
        <w:bidi w:val="0"/>
        <w:spacing w:before="0" w:after="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Our common stock has been listed on the Nasdaq Global Market under the symbol “AVBP” since January 26, 2024. Prior to that date there was no public trading market for our common stock.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128</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Holders </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of March 22, 2024, there were approximately 53 holders of record of our common stock. We believe actual number of stockholders is greater than this number of record holders. The approximate number of holders includes holders who are beneficial owners, but whose shares are held in street name by brokers and other nominees. This number of holders of record also does not include holders whose share may be held in trust by other entities.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Securities Authorized for Issuance Under Equity Compensation Plans</w:t>
      </w:r>
    </w:p>
    <w:p>
      <w:pPr>
        <w:pStyle w:val="TextBody"/>
        <w:bidi w:val="0"/>
        <w:spacing w:before="0" w:after="0"/>
        <w:ind w:left="0" w:right="0" w:hanging="0"/>
        <w:jc w:val="left"/>
        <w:rPr/>
      </w:pPr>
      <w:r>
        <w:rPr/>
        <w:t>​</w:t>
      </w:r>
    </w:p>
    <w:p>
      <w:pPr>
        <w:pStyle w:val="TextBody"/>
        <w:bidi w:val="0"/>
        <w:spacing w:before="0" w:after="0"/>
        <w:ind w:left="0" w:right="0" w:firstLine="360"/>
        <w:jc w:val="left"/>
        <w:rPr/>
      </w:pPr>
      <w:r>
        <w:rPr>
          <w:rFonts w:ascii="Times New Roman;Times;serif" w:hAnsi="Times New Roman;Times;serif"/>
          <w:sz w:val="20"/>
        </w:rPr>
        <w:t>Information about securities authorized for issuance under our equity compensation plans is incorporated herein by reference to </w:t>
      </w:r>
      <w:hyperlink w:anchor="Item12SecurityOwnershipofCertainBenefici">
        <w:r>
          <w:rPr>
            <w:rStyle w:val="InternetLink"/>
            <w:rFonts w:ascii="Times New Roman;Times;serif" w:hAnsi="Times New Roman;Times;serif"/>
            <w:b w:val="false"/>
            <w:i w:val="false"/>
            <w:caps w:val="false"/>
            <w:smallCaps w:val="false"/>
            <w:sz w:val="20"/>
          </w:rPr>
          <w:t>Item 12</w:t>
        </w:r>
      </w:hyperlink>
      <w:r>
        <w:rPr>
          <w:rFonts w:ascii="Times New Roman;Times;serif" w:hAnsi="Times New Roman;Times;serif"/>
          <w:sz w:val="20"/>
        </w:rPr>
        <w:t> of Part III of this Annual Report.</w:t>
      </w:r>
    </w:p>
    <w:p>
      <w:pPr>
        <w:pStyle w:val="TextBody"/>
        <w:shd w:fill="FFFFFF" w:val="clear"/>
        <w:bidi w:val="0"/>
        <w:spacing w:before="360" w:after="0"/>
        <w:ind w:left="0" w:right="0" w:hanging="0"/>
        <w:jc w:val="left"/>
        <w:rPr>
          <w:rFonts w:ascii="Times New Roman;Times;serif" w:hAnsi="Times New Roman;Times;serif"/>
          <w:b/>
          <w:sz w:val="20"/>
        </w:rPr>
      </w:pPr>
      <w:r>
        <w:rPr>
          <w:rFonts w:ascii="Times New Roman;Times;serif" w:hAnsi="Times New Roman;Times;serif"/>
          <w:b/>
          <w:sz w:val="20"/>
        </w:rPr>
        <w:t>Dividend Policy</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have never declared or paid cash dividends on our common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and will depend upon, among other factors, our results of operations, financial condition, capital requirements, contractual restrictions, business prospects and other factors our board of directors might deem relevant.</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Recent Sales of Unregistered Securities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 Issuances of Securities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multiple closings held between December 2022 and March 2023, we issued and sold an aggregate of 147,619,034 shares of Series B convertible preferred stock at a purchase price of $1.05 per share for aggregate gross cash consideration of $155.0 million. </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 underwriters were involved in the foregoing issuances of securities. These securities described in this section (a) were issued to investors in reliance upon the exemption from the registration requirements of the Securities Act, as set forth in Section 4(a)(2) under the Securities Act and Regulation D promulgated thereunder relative to transactions by an issuer not involving any public offering, to the extent an exemption from such registration was required. All holders of securities described above represented to us in connection with their purchase or issuance that they were accredited investors and were acquiring the securities for their own account for investment purposes only and not with a view to, or for sale in connection with, any distribution thereof and that they could bear the risks of the investment and could hold the securities for an indefinite period of time. The holders received written disclosures that the securities had not been registered under the Securities Act and that any resale must be made pursuant to a registration statement or an available exemption from such registration.</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(b) Grants of Stock Options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During 2023, we granted to certain of our directors, employees and consultants (in connection with services provided to us by such persons) options to purchase 801,091 shares of our common stock with a weighted average exercise price of $4.63 under our 2021 Employee, Director and Consultant Equity Incentive Plan, as amended (2021 Plan).</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stock options and the common stock issuable upon the exercise of such options as described in this section (b) were issued pursuant to written compensatory plans or arrangements with our employees and directors, in reliance on the exemption from the registration requirements of the Securities Act provided by Rule 701 promulgated under the Securities Act or the exemption set forth in Section 4(a)(2) under the Securities Act and Regulation D promulgated thereunder relative to transactions by an issuer not involving any public offering. All recipients either received adequate information about us or had access, through employment or other relationships, to such information. On February 2, 2024, we filed a registration statement on Form S-8 under the Securities Act to register all of the shares of our common stock subject to outstanding options and all shares of our common stock otherwise issuable pursuant to our equity compensation plans.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129</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All of the foregoing securities are deemed restricted securities for purposes of the Securities Act. All certificates representing the issued shares of capital stock described in this Item 5 include appropriate legends setting forth that the securities had not been registered and the applicable restrictions on transfer.</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Use of Proceeds </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 January 25, 2024, our registration statement on Form S-1 (File No 333-276397) relating to our initial public offering of common stock was declared effective by the SEC. Upon the closing of the initial public offering, we issued 11,180,555 shares of common stock (including the exercise in full by the underwriters of their option to purchase an additional 1,458,333 shares of common stock) at a public offering price of $18.00 per share. We received net proceeds from the initial public offering of $183.4 million, after deducting the underwriting discounts and commissions. None of the expenses associated with our initial public offering were paid to directors, officers, persons owning 10% or more of any class of equity securities, or to our affiliates. </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There has been no material change in the planned use of proceeds from the initial public offering from that described in the prospectus filed with the SEC pursuant to Rule 424(b)(4) under the Securities Act on January 26, 2024.</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Purchases of Equity Securities by the Issuer and Affiliated Purchases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Item 6. </w:t>
      </w:r>
      <w:bookmarkStart w:id="14" w:name="Item6SelectedFinancialData_120462"/>
      <w:bookmarkEnd w:id="14"/>
      <w:r>
        <w:rPr>
          <w:rFonts w:ascii="Times New Roman;Times;serif" w:hAnsi="Times New Roman;Times;serif"/>
          <w:b/>
          <w:sz w:val="20"/>
        </w:rPr>
        <w:t>[Reserved]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7. Management’s Discussion and Analysis of Financial Condition and Results of Operations</w:t>
      </w:r>
      <w:bookmarkStart w:id="15" w:name="Item7ManagementsDiscussionandAnalysisofF"/>
      <w:bookmarkEnd w:id="15"/>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together with our financial statements and related notes appearing elsewhere in this Annual Report. Some of the information contained in this discussion and analysis or set forth elsewhere, including information with respect to our plans and strategy for our business and related financing, includes forward-looking statements that involve risks and uncertainties. As a result of many factors, including those factors set forth in the “Risk Factors” section of this Annual Report, our actual results could differ materially from the results described in or implied by the forward-looking statements contained in the following discussion and analysis. You should carefully read the “Risk Factors” section of this Annual Report to gain an understanding of the important factors that could cause actual results to differ materially from our forward-looking statements. Please also see the section titled “Special Note Regarding Forward-Looking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are a clinical-stage biopharmaceutical company dedicated to the identification, development and commercialization of differentiated medicines to address the unmet medical needs of patients with cancers. We seek to utilize our team’s deep drug development experience to maximize the potential of our lead development candidate, furmonertinib, and advance a pipeline of novel therapeutics, such as next-generation antibody drug conjugates, through approval and commercialization in patients suffering from cancer, with an initial focus on solid tumors. Furmonertinib is currently being evaluated in multiple clinical trials across a range of EGFRm in NSCLC, including a pivotal Phase 3 clinical trial in treatment naive, or first-line, patients with locally advanced or metastatic EGFRm NSCLC with exon 20 insertion mutations. We received Breakthrough Therapy Designation for furmonertinib for this disease from the FDA in October 2023, and Orphan Drug Designation for treatment of NSCLC with EGFRm or HER2 mutations or HER4 mutations in February 2024. A product candidate can receive Breakthrough Therapy Designation if preliminary clinical evidence indicates that the product candidate, alone or in combination with one or more other drugs,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can help to identify the most efficient path for development. The receipt of a Breakthrough Therapy Designation for a product candidate may not result in a faster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130</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development process, review or approval compared to product candidates considered for approval under conventional FDA procedures and does not increase the likelihood that the product candidate will ultimately receive FDA approval for any indication.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Furmonertinib is an investigational, novel, EGFR mutant-selective TKI that we are developing for the treatment of NSCLC patients across a broader set of EGFRm than are currently served by approved EGFR TKIs. Furmonertinib is currently only approved and commercially distributed by Allist in China as a first-line therapy to treat classical EGFRm NSCLC. The FDA has not approved furmonertinib for any use. We selected furmonertinib for global development against nonclassical, or uncommon, mutations based on preliminary reductions in tumor size observed in seven out of ten patients in first-line treatment with EGFR exon 20 insertion mutations in the ongoing Phase 1b clinical trial, the FAVOUR trial, conducted by Allist in China, and preclinical activity in PACC mutations, each a subtype of uncommon mutation. In a subsequent interim data readout from the FAVOUR trial of furmonertinib in first-line patients with locally advanced or metastatic EGFRm NSCLC with exon 20 insertion mutations, 79% of patients (n=22 out of 28 patients) were observed to experience a reduction in tumor size of at least 30%. Allist expects to release final results of the primary analysis from the FAVOUR study in 2024. If the future clinical trial results of the FAVOUR trial are unfavorable, our clinical development plans for furmonertinib, which include conducting our global, pivotal Phase 3 FURVENT clinical trial in first-line non-squamous locally advanced or metastatic EGFRm NSCLC patients with exon 20 insertion mutations, may be adversely affected. In 2021, we licensed from Allist the right to develop and commercialize furmonertinib worldwide, with the exception of greater China, which includes mainland China, Hong Kong, Macau and Taiwan.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one of the most prevalent cancers in the world, lung cancer imposes a significant global burden on human health, and EGFRm NSCLC represents a significant proportion of those affected. Despite progress in the therapeutic landscape for EGFRm NSCLC, many patients, particularly those with uncommon mutations, such as exon 20 insertions or PACC mutations, are underserved by existing treatments. In an interim data readout from the FAVOUR trial of furmonertinib in first-line patients with locally advanced or metastatic EGFRm NSCLC with exon 20 insertion mutations, 79% of patients (n=22 out of 28 patients) were observed to experience a reduction in tumor size of at least 30% from the baseline in a patient without evidence of progression as measured by RECIST 1.1 criteria, which measurement of reduction is the threshold in this trial for a partial response and for inclusion in determination of the ORR, which is the primary endpoint of this trial. In the same interim data readout, those 79% of patients were observed to experience a 15.2 month median DOR. Interim results may not be indicative of final results; however, we believe these interim clinical results underscore furmonertinib’s potential in patients whose tumors contain an uncommon EGFRm.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entered into the Allist License Agreement, pursuant to which, we have, among other things, secured an exclusive, royalty bearing and sublicensable license under certain intellectual property, including patents and know-how, owned or controlled by Allist to develop and commercialize any product containing furmonertinib or any of its salts or derivatives as an active ingredient of a product, which is led by a joint collaboration committee, comprising of representatives from both Allist and us. Under the Allist License Agreement, we are obligated to pay Allist milestone payments up to an aggregate of $765.0 million upon the achievement of certain development, regulatory and sales milestone events as set forth in the Allist License Agreement. During the year ended December 31, 2023, we paid $5.0 million in clinical milestones to Allist. We are also obligated under the Allist License Agreement to pay Allist tiered royalties based on net sales of Licensed Products. See “Business — Licenses, Partnerships and Collaborations — Allist Agreements.”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Since our inception in April 2021, we have devoted substantially all of our resources to organizing and staffing our company, acquiring the rights to develop furmonertinib, clinical development of furmonertinib, business planning, raising capital, identifying potential product candidates, enhancing our intellectual property portfolio and undertaking research and clinical and preclinical studies for our development programs. We do not have any products approved for sale and have not generated any revenue from product sales or otherwise. We have funded our operations to date primarily through the private placement of convertible preferred stock.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have incurred significant operating losses since our inception and have not yet generated any revenue. Our net losses were $69.3 million and $36.9 million for the years ended December 31, 2023 and 2022, respectively. As of December 31, 2023, we had an accumulated deficit of $157.8 million. Our net losses may fluctuate significantly from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131</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quarter-to-quarter and year-to-year, depending on the timing of our preclinical studies, clinical trials and our expenditures on other research and development activities. We expect to continue to incur losses for the foreseeable future. We anticipate these losses will increase substantially as we:</w:t>
      </w:r>
    </w:p>
    <w:tbl>
      <w:tblPr>
        <w:tblW w:w="6228" w:type="dxa"/>
        <w:jc w:val="left"/>
        <w:tblInd w:w="0" w:type="dxa"/>
        <w:tblLayout w:type="fixed"/>
        <w:tblCellMar>
          <w:top w:w="0" w:type="dxa"/>
          <w:left w:w="0" w:type="dxa"/>
          <w:bottom w:w="0" w:type="dxa"/>
          <w:right w:w="0" w:type="dxa"/>
        </w:tblCellMar>
      </w:tblPr>
      <w:tblGrid>
        <w:gridCol w:w="23"/>
        <w:gridCol w:w="170"/>
        <w:gridCol w:w="60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our lead product candidate, furmonertinib, through clinical trials;</w:t>
            </w:r>
          </w:p>
        </w:tc>
      </w:tr>
    </w:tbl>
    <w:tbl>
      <w:tblPr>
        <w:tblW w:w="4398" w:type="dxa"/>
        <w:jc w:val="left"/>
        <w:tblInd w:w="0" w:type="dxa"/>
        <w:tblLayout w:type="fixed"/>
        <w:tblCellMar>
          <w:top w:w="0" w:type="dxa"/>
          <w:left w:w="0" w:type="dxa"/>
          <w:bottom w:w="0" w:type="dxa"/>
          <w:right w:w="0" w:type="dxa"/>
        </w:tblCellMar>
      </w:tblPr>
      <w:tblGrid>
        <w:gridCol w:w="23"/>
        <w:gridCol w:w="170"/>
        <w:gridCol w:w="42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 or in-license additional product candidates;</w:t>
            </w:r>
          </w:p>
        </w:tc>
      </w:tr>
    </w:tbl>
    <w:tbl>
      <w:tblPr>
        <w:tblW w:w="4293" w:type="dxa"/>
        <w:jc w:val="left"/>
        <w:tblInd w:w="0" w:type="dxa"/>
        <w:tblLayout w:type="fixed"/>
        <w:tblCellMar>
          <w:top w:w="0" w:type="dxa"/>
          <w:left w:w="0" w:type="dxa"/>
          <w:bottom w:w="0" w:type="dxa"/>
          <w:right w:w="0" w:type="dxa"/>
        </w:tblCellMar>
      </w:tblPr>
      <w:tblGrid>
        <w:gridCol w:w="23"/>
        <w:gridCol w:w="170"/>
        <w:gridCol w:w="41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our preclinical programs to clinical trials;</w:t>
            </w:r>
          </w:p>
        </w:tc>
      </w:tr>
    </w:tbl>
    <w:tbl>
      <w:tblPr>
        <w:tblW w:w="2598" w:type="dxa"/>
        <w:jc w:val="left"/>
        <w:tblInd w:w="0" w:type="dxa"/>
        <w:tblLayout w:type="fixed"/>
        <w:tblCellMar>
          <w:top w:w="0" w:type="dxa"/>
          <w:left w:w="0" w:type="dxa"/>
          <w:bottom w:w="0" w:type="dxa"/>
          <w:right w:w="0" w:type="dxa"/>
        </w:tblCellMar>
      </w:tblPr>
      <w:tblGrid>
        <w:gridCol w:w="23"/>
        <w:gridCol w:w="170"/>
        <w:gridCol w:w="24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invest in our pipeline;</w:t>
            </w:r>
          </w:p>
        </w:tc>
      </w:tr>
    </w:tbl>
    <w:tbl>
      <w:tblPr>
        <w:tblW w:w="5463" w:type="dxa"/>
        <w:jc w:val="left"/>
        <w:tblInd w:w="0" w:type="dxa"/>
        <w:tblLayout w:type="fixed"/>
        <w:tblCellMar>
          <w:top w:w="0" w:type="dxa"/>
          <w:left w:w="0" w:type="dxa"/>
          <w:bottom w:w="0" w:type="dxa"/>
          <w:right w:w="0" w:type="dxa"/>
        </w:tblCellMar>
      </w:tblPr>
      <w:tblGrid>
        <w:gridCol w:w="23"/>
        <w:gridCol w:w="170"/>
        <w:gridCol w:w="52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support our external partners’ manufacturing capabilities;</w:t>
            </w:r>
          </w:p>
        </w:tc>
      </w:tr>
    </w:tbl>
    <w:tbl>
      <w:tblPr>
        <w:tblW w:w="4458" w:type="dxa"/>
        <w:jc w:val="left"/>
        <w:tblInd w:w="0" w:type="dxa"/>
        <w:tblLayout w:type="fixed"/>
        <w:tblCellMar>
          <w:top w:w="0" w:type="dxa"/>
          <w:left w:w="0" w:type="dxa"/>
          <w:bottom w:w="0" w:type="dxa"/>
          <w:right w:w="0" w:type="dxa"/>
        </w:tblCellMar>
      </w:tblPr>
      <w:tblGrid>
        <w:gridCol w:w="23"/>
        <w:gridCol w:w="170"/>
        <w:gridCol w:w="42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regulatory approval for our product candidates;</w:t>
            </w:r>
          </w:p>
        </w:tc>
      </w:tr>
    </w:tbl>
    <w:tbl>
      <w:tblPr>
        <w:tblW w:w="4488" w:type="dxa"/>
        <w:jc w:val="left"/>
        <w:tblInd w:w="0" w:type="dxa"/>
        <w:tblLayout w:type="fixed"/>
        <w:tblCellMar>
          <w:top w:w="0" w:type="dxa"/>
          <w:left w:w="0" w:type="dxa"/>
          <w:bottom w:w="0" w:type="dxa"/>
          <w:right w:w="0" w:type="dxa"/>
        </w:tblCellMar>
      </w:tblPr>
      <w:tblGrid>
        <w:gridCol w:w="23"/>
        <w:gridCol w:w="170"/>
        <w:gridCol w:w="42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pursue commercialization of our product candidates;</w:t>
            </w:r>
          </w:p>
        </w:tc>
      </w:tr>
    </w:tbl>
    <w:tbl>
      <w:tblPr>
        <w:tblW w:w="6078" w:type="dxa"/>
        <w:jc w:val="left"/>
        <w:tblInd w:w="0" w:type="dxa"/>
        <w:tblLayout w:type="fixed"/>
        <w:tblCellMar>
          <w:top w:w="0" w:type="dxa"/>
          <w:left w:w="0" w:type="dxa"/>
          <w:bottom w:w="0" w:type="dxa"/>
          <w:right w:w="0" w:type="dxa"/>
        </w:tblCellMar>
      </w:tblPr>
      <w:tblGrid>
        <w:gridCol w:w="23"/>
        <w:gridCol w:w="170"/>
        <w:gridCol w:w="58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expand, protect and defend our intellectual property portfolio;</w:t>
            </w:r>
          </w:p>
        </w:tc>
      </w:tr>
    </w:tbl>
    <w:tbl>
      <w:tblPr>
        <w:tblW w:w="8733" w:type="dxa"/>
        <w:jc w:val="left"/>
        <w:tblInd w:w="0" w:type="dxa"/>
        <w:tblLayout w:type="fixed"/>
        <w:tblCellMar>
          <w:top w:w="0" w:type="dxa"/>
          <w:left w:w="0" w:type="dxa"/>
          <w:bottom w:w="0" w:type="dxa"/>
          <w:right w:w="0" w:type="dxa"/>
        </w:tblCellMar>
      </w:tblPr>
      <w:tblGrid>
        <w:gridCol w:w="23"/>
        <w:gridCol w:w="170"/>
        <w:gridCol w:w="85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 facilities to support continued growth in our research, development and commercialization efforts;</w:t>
            </w:r>
          </w:p>
        </w:tc>
      </w:tr>
    </w:tbl>
    <w:tbl>
      <w:tblPr>
        <w:tblW w:w="9063" w:type="dxa"/>
        <w:jc w:val="left"/>
        <w:tblInd w:w="0" w:type="dxa"/>
        <w:tblLayout w:type="fixed"/>
        <w:tblCellMar>
          <w:top w:w="0" w:type="dxa"/>
          <w:left w:w="0" w:type="dxa"/>
          <w:bottom w:w="0" w:type="dxa"/>
          <w:right w:w="0" w:type="dxa"/>
        </w:tblCellMar>
      </w:tblPr>
      <w:tblGrid>
        <w:gridCol w:w="23"/>
        <w:gridCol w:w="170"/>
        <w:gridCol w:w="88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our headcount to support our development efforts and to expand our clinical development team; and</w:t>
            </w:r>
          </w:p>
        </w:tc>
      </w:tr>
    </w:tbl>
    <w:tbl>
      <w:tblPr>
        <w:tblW w:w="7083" w:type="dxa"/>
        <w:jc w:val="left"/>
        <w:tblInd w:w="0" w:type="dxa"/>
        <w:tblLayout w:type="fixed"/>
        <w:tblCellMar>
          <w:top w:w="0" w:type="dxa"/>
          <w:left w:w="0" w:type="dxa"/>
          <w:bottom w:w="0" w:type="dxa"/>
          <w:right w:w="0" w:type="dxa"/>
        </w:tblCellMar>
      </w:tblPr>
      <w:tblGrid>
        <w:gridCol w:w="23"/>
        <w:gridCol w:w="170"/>
        <w:gridCol w:w="68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additional costs and headcount associated with operating as a public company.</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if we obtain regulatory approval for furmonertinib or any product candidates, we expect to incur significant commercialization expenses related to product manufacturing, marketing, sales and distribution.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do not expect to generate any revenues from product sales unless and until we successfully complete development and obtain regulatory approval for one or more product candidates. Accordingly, until such time as we can generate significant revenue from sales of our product candidates, if ever, we expect to finance our cash needs through public or private equity offerings, debt financings, collaborations and licensing arrangements or other capital sources.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product candidates that we would otherwise prefer to develop and market ourselves.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January 30, 2024, we completed the closing of our initial public offering of 9,722,222 shares of common stock at a price of $18.00 per share. Additionally, the underwriters exercised their option to purchase an additional 1,458,333 shares of common stock at a price of $18.00 per share. The shares of common stock began trading on the Nasdaq Global Market on January 26, 2024, under the symbol “AVBP”. We received net proceeds of $183.4 million, after deducting underwriting discounts and commissions and other estimated offering expenses. In addition, as a result of the closing of our initial public offering, our convertible preferred stock converted into 19,567,306 shares of common stock in January 2024.</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Components of Our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 date, our research and development expenses have been related primarily to the development of furmonertinib, preclinical studies and other clinical activities related to our portfolio. Research and development costs are expensed as incurred and payments made prior to the receipt of goods or services to be used in research and development are deferred and recognized when the goods or services are received.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Research and development costs include: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payroll taxes, employee benefits and stock-based compensation expenses for those individuals involved in research and development efforts;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research and development costs incurred under agreements with CROs and consultants to conduct our clinical trials and other preclinical studies;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manufacturing our product candidates, including fees paid to third-party manufacturers and raw material suppliers;</w:t>
            </w:r>
          </w:p>
        </w:tc>
      </w:tr>
    </w:tbl>
    <w:tbl>
      <w:tblPr>
        <w:tblW w:w="3288" w:type="dxa"/>
        <w:jc w:val="left"/>
        <w:tblInd w:w="0" w:type="dxa"/>
        <w:tblLayout w:type="fixed"/>
        <w:tblCellMar>
          <w:top w:w="0" w:type="dxa"/>
          <w:left w:w="0" w:type="dxa"/>
          <w:bottom w:w="0" w:type="dxa"/>
          <w:right w:w="0" w:type="dxa"/>
        </w:tblCellMar>
      </w:tblPr>
      <w:tblGrid>
        <w:gridCol w:w="23"/>
        <w:gridCol w:w="170"/>
        <w:gridCol w:w="30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fees and research funding; and</w:t>
            </w:r>
          </w:p>
        </w:tc>
      </w:tr>
    </w:tbl>
    <w:tbl>
      <w:tblPr>
        <w:tblW w:w="9288" w:type="dxa"/>
        <w:jc w:val="left"/>
        <w:tblInd w:w="0" w:type="dxa"/>
        <w:tblLayout w:type="fixed"/>
        <w:tblCellMar>
          <w:top w:w="0" w:type="dxa"/>
          <w:left w:w="0" w:type="dxa"/>
          <w:bottom w:w="0" w:type="dxa"/>
          <w:right w:w="0" w:type="dxa"/>
        </w:tblCellMar>
      </w:tblPr>
      <w:tblGrid>
        <w:gridCol w:w="23"/>
        <w:gridCol w:w="170"/>
        <w:gridCol w:w="90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allocated expenses, which include direct and allocated expenses, insurance, equipment and other supplies.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direct research and development expenses consist principally of external costs, such as fees paid to CROs and consultants in connection with our clinical trials for furmonertinib, preclinical and toxicology studies and costs related to manufacturing materials for clinical and preclinical studies. Prior to our identification of potential product candidates in 2022, we did not track external costs by program. Subsequent to the identification of potential product candidates, a significant majority of our direct research and development costs have been related to furmonertinib. We deploy our personnel resources across all of our research and development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plan to substantially increase our research and development expenses for the foreseeable future as we continue the development of furmonertinib and the identification and development of new product candidates. We cannot determine with certainty the timing of initiation, the duration or the completion costs of future clinical trials and preclinical studies of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and development programs to pursue and how much funding to direct to each product candidate or program on an ongoing basis in response to the results of ongoing and future preclinical studies and clinical trials, regulatory developments and our ongoing assessments as to each product candidate’s commercial potential. In addition, we cannot forecast which product candidates may be subject to future collaborations, when such arrangements will be secured, if at all, and to what degree such arrangements would affect our development plans and capital requirements.</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Our future clinical development costs may vary significantly based on factors such as:</w:t>
      </w:r>
    </w:p>
    <w:tbl>
      <w:tblPr>
        <w:tblW w:w="1968" w:type="dxa"/>
        <w:jc w:val="left"/>
        <w:tblInd w:w="0" w:type="dxa"/>
        <w:tblLayout w:type="fixed"/>
        <w:tblCellMar>
          <w:top w:w="0" w:type="dxa"/>
          <w:left w:w="0" w:type="dxa"/>
          <w:bottom w:w="0" w:type="dxa"/>
          <w:right w:w="0" w:type="dxa"/>
        </w:tblCellMar>
      </w:tblPr>
      <w:tblGrid>
        <w:gridCol w:w="23"/>
        <w:gridCol w:w="170"/>
        <w:gridCol w:w="17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patient trial costs;</w:t>
            </w:r>
          </w:p>
        </w:tc>
      </w:tr>
    </w:tbl>
    <w:tbl>
      <w:tblPr>
        <w:tblW w:w="5523" w:type="dxa"/>
        <w:jc w:val="left"/>
        <w:tblInd w:w="0" w:type="dxa"/>
        <w:tblLayout w:type="fixed"/>
        <w:tblCellMar>
          <w:top w:w="0" w:type="dxa"/>
          <w:left w:w="0" w:type="dxa"/>
          <w:bottom w:w="0" w:type="dxa"/>
          <w:right w:w="0" w:type="dxa"/>
        </w:tblCellMar>
      </w:tblPr>
      <w:tblGrid>
        <w:gridCol w:w="23"/>
        <w:gridCol w:w="170"/>
        <w:gridCol w:w="53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patients needed to determine a recommended dose;</w:t>
            </w:r>
          </w:p>
        </w:tc>
      </w:tr>
    </w:tbl>
    <w:tbl>
      <w:tblPr>
        <w:tblW w:w="3603" w:type="dxa"/>
        <w:jc w:val="left"/>
        <w:tblInd w:w="0" w:type="dxa"/>
        <w:tblLayout w:type="fixed"/>
        <w:tblCellMar>
          <w:top w:w="0" w:type="dxa"/>
          <w:left w:w="0" w:type="dxa"/>
          <w:bottom w:w="0" w:type="dxa"/>
          <w:right w:w="0" w:type="dxa"/>
        </w:tblCellMar>
      </w:tblPr>
      <w:tblGrid>
        <w:gridCol w:w="23"/>
        <w:gridCol w:w="170"/>
        <w:gridCol w:w="34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trials required for approval;</w:t>
            </w:r>
          </w:p>
        </w:tc>
      </w:tr>
    </w:tbl>
    <w:tbl>
      <w:tblPr>
        <w:tblW w:w="3528" w:type="dxa"/>
        <w:jc w:val="left"/>
        <w:tblInd w:w="0" w:type="dxa"/>
        <w:tblLayout w:type="fixed"/>
        <w:tblCellMar>
          <w:top w:w="0" w:type="dxa"/>
          <w:left w:w="0" w:type="dxa"/>
          <w:bottom w:w="0" w:type="dxa"/>
          <w:right w:w="0" w:type="dxa"/>
        </w:tblCellMar>
      </w:tblPr>
      <w:tblGrid>
        <w:gridCol w:w="23"/>
        <w:gridCol w:w="170"/>
        <w:gridCol w:w="33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sites included in the trials;</w:t>
            </w:r>
          </w:p>
        </w:tc>
      </w:tr>
    </w:tbl>
    <w:tbl>
      <w:tblPr>
        <w:tblW w:w="4008" w:type="dxa"/>
        <w:jc w:val="left"/>
        <w:tblInd w:w="0" w:type="dxa"/>
        <w:tblLayout w:type="fixed"/>
        <w:tblCellMar>
          <w:top w:w="0" w:type="dxa"/>
          <w:left w:w="0" w:type="dxa"/>
          <w:bottom w:w="0" w:type="dxa"/>
          <w:right w:w="0" w:type="dxa"/>
        </w:tblCellMar>
      </w:tblPr>
      <w:tblGrid>
        <w:gridCol w:w="23"/>
        <w:gridCol w:w="170"/>
        <w:gridCol w:w="38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countries in which the trials are conducted;</w:t>
            </w:r>
          </w:p>
        </w:tc>
      </w:tr>
    </w:tbl>
    <w:tbl>
      <w:tblPr>
        <w:tblW w:w="4533" w:type="dxa"/>
        <w:jc w:val="left"/>
        <w:tblInd w:w="0" w:type="dxa"/>
        <w:tblLayout w:type="fixed"/>
        <w:tblCellMar>
          <w:top w:w="0" w:type="dxa"/>
          <w:left w:w="0" w:type="dxa"/>
          <w:bottom w:w="0" w:type="dxa"/>
          <w:right w:w="0" w:type="dxa"/>
        </w:tblCellMar>
      </w:tblPr>
      <w:tblGrid>
        <w:gridCol w:w="23"/>
        <w:gridCol w:w="170"/>
        <w:gridCol w:w="43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length of time required to enroll eligible patients;</w:t>
            </w:r>
          </w:p>
        </w:tc>
      </w:tr>
    </w:tbl>
    <w:tbl>
      <w:tblPr>
        <w:tblW w:w="4323" w:type="dxa"/>
        <w:jc w:val="left"/>
        <w:tblInd w:w="0" w:type="dxa"/>
        <w:tblLayout w:type="fixed"/>
        <w:tblCellMar>
          <w:top w:w="0" w:type="dxa"/>
          <w:left w:w="0" w:type="dxa"/>
          <w:bottom w:w="0" w:type="dxa"/>
          <w:right w:w="0" w:type="dxa"/>
        </w:tblCellMar>
      </w:tblPr>
      <w:tblGrid>
        <w:gridCol w:w="23"/>
        <w:gridCol w:w="170"/>
        <w:gridCol w:w="41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patients that participate in the trials;</w:t>
            </w:r>
          </w:p>
        </w:tc>
      </w:tr>
    </w:tbl>
    <w:tbl>
      <w:tblPr>
        <w:tblW w:w="3573" w:type="dxa"/>
        <w:jc w:val="left"/>
        <w:tblInd w:w="0" w:type="dxa"/>
        <w:tblLayout w:type="fixed"/>
        <w:tblCellMar>
          <w:top w:w="0" w:type="dxa"/>
          <w:left w:w="0" w:type="dxa"/>
          <w:bottom w:w="0" w:type="dxa"/>
          <w:right w:w="0" w:type="dxa"/>
        </w:tblCellMar>
      </w:tblPr>
      <w:tblGrid>
        <w:gridCol w:w="23"/>
        <w:gridCol w:w="170"/>
        <w:gridCol w:w="33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doses that patients receive;</w:t>
            </w:r>
          </w:p>
        </w:tc>
      </w:tr>
    </w:tbl>
    <w:tbl>
      <w:tblPr>
        <w:tblW w:w="4143" w:type="dxa"/>
        <w:jc w:val="left"/>
        <w:tblInd w:w="0" w:type="dxa"/>
        <w:tblLayout w:type="fixed"/>
        <w:tblCellMar>
          <w:top w:w="0" w:type="dxa"/>
          <w:left w:w="0" w:type="dxa"/>
          <w:bottom w:w="0" w:type="dxa"/>
          <w:right w:w="0" w:type="dxa"/>
        </w:tblCellMar>
      </w:tblPr>
      <w:tblGrid>
        <w:gridCol w:w="23"/>
        <w:gridCol w:w="170"/>
        <w:gridCol w:w="39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drop-out or discontinuation rates of patients;</w:t>
            </w:r>
          </w:p>
        </w:tc>
      </w:tr>
    </w:tbl>
    <w:tbl>
      <w:tblPr>
        <w:tblW w:w="6093" w:type="dxa"/>
        <w:jc w:val="left"/>
        <w:tblInd w:w="0" w:type="dxa"/>
        <w:tblLayout w:type="fixed"/>
        <w:tblCellMar>
          <w:top w:w="0" w:type="dxa"/>
          <w:left w:w="0" w:type="dxa"/>
          <w:bottom w:w="0" w:type="dxa"/>
          <w:right w:w="0" w:type="dxa"/>
        </w:tblCellMar>
      </w:tblPr>
      <w:tblGrid>
        <w:gridCol w:w="23"/>
        <w:gridCol w:w="170"/>
        <w:gridCol w:w="59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additional safety monitoring requested by regulatory agencies;</w:t>
            </w:r>
          </w:p>
        </w:tc>
      </w:tr>
    </w:tbl>
    <w:tbl>
      <w:tblPr>
        <w:tblW w:w="5328" w:type="dxa"/>
        <w:jc w:val="left"/>
        <w:tblInd w:w="0" w:type="dxa"/>
        <w:tblLayout w:type="fixed"/>
        <w:tblCellMar>
          <w:top w:w="0" w:type="dxa"/>
          <w:left w:w="0" w:type="dxa"/>
          <w:bottom w:w="0" w:type="dxa"/>
          <w:right w:w="0" w:type="dxa"/>
        </w:tblCellMar>
      </w:tblPr>
      <w:tblGrid>
        <w:gridCol w:w="23"/>
        <w:gridCol w:w="170"/>
        <w:gridCol w:w="51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duration of patient participation in the trials and follow-up;</w:t>
            </w:r>
          </w:p>
        </w:tc>
      </w:tr>
    </w:tbl>
    <w:tbl>
      <w:tblPr>
        <w:tblW w:w="4728" w:type="dxa"/>
        <w:jc w:val="left"/>
        <w:tblInd w:w="0" w:type="dxa"/>
        <w:tblLayout w:type="fixed"/>
        <w:tblCellMar>
          <w:top w:w="0" w:type="dxa"/>
          <w:left w:w="0" w:type="dxa"/>
          <w:bottom w:w="0" w:type="dxa"/>
          <w:right w:w="0" w:type="dxa"/>
        </w:tblCellMar>
      </w:tblPr>
      <w:tblGrid>
        <w:gridCol w:w="23"/>
        <w:gridCol w:w="170"/>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phase of development of the product candidate; and</w:t>
            </w:r>
          </w:p>
        </w:tc>
      </w:tr>
    </w:tbl>
    <w:tbl>
      <w:tblPr>
        <w:tblW w:w="4683" w:type="dxa"/>
        <w:jc w:val="left"/>
        <w:tblInd w:w="0" w:type="dxa"/>
        <w:tblLayout w:type="fixed"/>
        <w:tblCellMar>
          <w:top w:w="0" w:type="dxa"/>
          <w:left w:w="0" w:type="dxa"/>
          <w:bottom w:w="0" w:type="dxa"/>
          <w:right w:w="0" w:type="dxa"/>
        </w:tblCellMar>
      </w:tblPr>
      <w:tblGrid>
        <w:gridCol w:w="23"/>
        <w:gridCol w:w="170"/>
        <w:gridCol w:w="44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efficacy and safety profile of the product candidate.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133</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General and administrative expenses consist primarily of salaries, payroll taxes, employee benefits and stock-based compensation expenses for those individuals in executive, finance and other administrative functions. Other significant costs include legal fees relating to intellectual property and corporate matters, professional fees for accounting and consulting services, and insurance costs. We anticipate that our general and administrative expenses will increase in the future to support our continued research and development activities and, if any product candidates receive marketing approval, commercialization activities. We also anticipate increased expenses related to audit, legal, regulatory and tax-related services associated with maintaining compliance with exchange listing and SEC requirements, director and officer insurance premiums and investor relations costs associated with operating as a public company.</w:t>
      </w:r>
    </w:p>
    <w:p>
      <w:pPr>
        <w:pStyle w:val="TextBody"/>
        <w:bidi w:val="0"/>
        <w:spacing w:before="0" w:after="220"/>
        <w:ind w:left="0" w:right="0" w:hanging="0"/>
        <w:jc w:val="left"/>
        <w:rPr>
          <w:rFonts w:ascii="Times New Roman;Times;serif" w:hAnsi="Times New Roman;Times;serif"/>
          <w:i/>
          <w:sz w:val="20"/>
        </w:rPr>
      </w:pPr>
      <w:r>
        <w:rPr>
          <w:rFonts w:ascii="Times New Roman;Times;serif" w:hAnsi="Times New Roman;Times;serif"/>
          <w:i/>
          <w:sz w:val="20"/>
        </w:rPr>
        <w:t>Interest Income</w:t>
      </w:r>
    </w:p>
    <w:p>
      <w:pPr>
        <w:pStyle w:val="TextBody"/>
        <w:bidi w:val="0"/>
        <w:spacing w:before="0" w:after="220"/>
        <w:ind w:left="400" w:right="0" w:hanging="0"/>
        <w:jc w:val="left"/>
        <w:rPr>
          <w:rFonts w:ascii="Times New Roman;Times;serif" w:hAnsi="Times New Roman;Times;serif"/>
          <w:sz w:val="20"/>
        </w:rPr>
      </w:pPr>
      <w:r>
        <w:rPr>
          <w:rFonts w:ascii="Times New Roman;Times;serif" w:hAnsi="Times New Roman;Times;serif"/>
          <w:sz w:val="20"/>
        </w:rPr>
        <w:t>Interest income consists of interest earned on our cash equivalents and short-term investments.</w:t>
      </w:r>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Comparison of the Years Ended December 31, 2023 and 2022</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The following table summarizes our results of operations for the years ended December 31, 2023 and 2022:</w:t>
      </w:r>
    </w:p>
    <w:tbl>
      <w:tblPr>
        <w:tblW w:w="6355" w:type="dxa"/>
        <w:jc w:val="center"/>
        <w:tblInd w:w="0" w:type="dxa"/>
        <w:tblLayout w:type="fixed"/>
        <w:tblCellMar>
          <w:top w:w="0" w:type="dxa"/>
          <w:left w:w="0" w:type="dxa"/>
          <w:bottom w:w="0" w:type="dxa"/>
          <w:right w:w="0" w:type="dxa"/>
        </w:tblCellMar>
      </w:tblPr>
      <w:tblGrid>
        <w:gridCol w:w="2311"/>
        <w:gridCol w:w="326"/>
        <w:gridCol w:w="211"/>
        <w:gridCol w:w="796"/>
        <w:gridCol w:w="326"/>
        <w:gridCol w:w="211"/>
        <w:gridCol w:w="796"/>
        <w:gridCol w:w="326"/>
        <w:gridCol w:w="211"/>
        <w:gridCol w:w="841"/>
      </w:tblGrid>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31" name="Frame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05460" cy="175260"/>
                      <wp:effectExtent l="0" t="0" r="0" b="0"/>
                      <wp:wrapNone/>
                      <wp:docPr id="32" name="Frame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34" name="Frame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05460" cy="175260"/>
                      <wp:effectExtent l="0" t="0" r="0" b="0"/>
                      <wp:wrapNone/>
                      <wp:docPr id="35" name="Frame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37"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34035" cy="175260"/>
                      <wp:effectExtent l="0" t="0" r="0" b="0"/>
                      <wp:wrapNone/>
                      <wp:docPr id="38" name="Frame1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1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64,884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30,433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34,451</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3,233</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74,590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36,906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37,684</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(37,684)</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5,257</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loss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(69,333)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(36,906)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(32,427)</w:t>
            </w:r>
          </w:p>
        </w:tc>
      </w:tr>
    </w:tbl>
    <w:p>
      <w:pPr>
        <w:pStyle w:val="TextBody"/>
        <w:bidi w:val="0"/>
        <w:spacing w:before="0" w:after="0"/>
        <w:ind w:left="0" w:right="0" w:hanging="0"/>
        <w:jc w:val="left"/>
        <w:rPr/>
      </w:pPr>
      <w:r>
        <w:rPr/>
        <w:t>​</w:t>
      </w:r>
    </w:p>
    <w:p>
      <w:pPr>
        <w:pStyle w:val="TextBody"/>
        <w:bidi w:val="0"/>
        <w:spacing w:before="0" w:after="220"/>
        <w:ind w:left="0" w:right="0" w:hanging="0"/>
        <w:jc w:val="left"/>
        <w:rPr>
          <w:rFonts w:ascii="Times New Roman;Times;serif" w:hAnsi="Times New Roman;Times;serif"/>
          <w:i/>
          <w:sz w:val="20"/>
        </w:rPr>
      </w:pPr>
      <w:r>
        <w:rPr>
          <w:rFonts w:ascii="Times New Roman;Times;serif" w:hAnsi="Times New Roman;Times;serif"/>
          <w:i/>
          <w:sz w:val="20"/>
        </w:rPr>
        <w:t>Research and Development</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We track outsourced clinical and preclinical costs and other external research and development costs associated with our lead product candidate, furmonertinib, and other discovery-stage programs. We do not track internal research and development costs by product candidate. The following table summarizes our research and development expenses for the years ended December 31, 2023 and 2022:</w:t>
      </w:r>
    </w:p>
    <w:tbl>
      <w:tblPr>
        <w:tblW w:w="7240" w:type="dxa"/>
        <w:jc w:val="center"/>
        <w:tblInd w:w="0" w:type="dxa"/>
        <w:tblLayout w:type="fixed"/>
        <w:tblCellMar>
          <w:top w:w="0" w:type="dxa"/>
          <w:left w:w="0" w:type="dxa"/>
          <w:bottom w:w="0" w:type="dxa"/>
          <w:right w:w="0" w:type="dxa"/>
        </w:tblCellMar>
      </w:tblPr>
      <w:tblGrid>
        <w:gridCol w:w="3496"/>
        <w:gridCol w:w="326"/>
        <w:gridCol w:w="211"/>
        <w:gridCol w:w="676"/>
        <w:gridCol w:w="326"/>
        <w:gridCol w:w="211"/>
        <w:gridCol w:w="676"/>
        <w:gridCol w:w="326"/>
        <w:gridCol w:w="211"/>
        <w:gridCol w:w="781"/>
      </w:tblGrid>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3985" cy="175260"/>
                      <wp:effectExtent l="0" t="0" r="0" b="0"/>
                      <wp:wrapNone/>
                      <wp:docPr id="40"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29260" cy="175260"/>
                      <wp:effectExtent l="0" t="0" r="0" b="0"/>
                      <wp:wrapNone/>
                      <wp:docPr id="41" name="Frame1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3985" cy="175260"/>
                      <wp:effectExtent l="0" t="0" r="0" b="0"/>
                      <wp:wrapNone/>
                      <wp:docPr id="43"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29260" cy="175260"/>
                      <wp:effectExtent l="0" t="0" r="0" b="0"/>
                      <wp:wrapNone/>
                      <wp:docPr id="44" name="Frame1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3985" cy="175260"/>
                      <wp:effectExtent l="0" t="0" r="0" b="0"/>
                      <wp:wrapNone/>
                      <wp:docPr id="46"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496570" cy="175260"/>
                      <wp:effectExtent l="0" t="0" r="0" b="0"/>
                      <wp:wrapNone/>
                      <wp:docPr id="47" name="Frame20"/>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1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Furmonertinib:</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FURTHER</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18,886</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7,185</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11,701</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FURVENT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18,598</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FAVOUR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Furmonertinib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Furmonertinib</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50,477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30,123</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Discovery-stage programs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1,221</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Personnel-related and other internal costs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12,705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3,107</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64,884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30,433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34,451</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Research and development expenses were $64.9 million and $30.4 million for the years ended December 31, 2023 and 2022, respectively. The increase of $34.5 million was primarily due to an increase of $30.1 million related to our lead product candidate, furmonertinib, an increase of $3.1 million of higher personnel-related costs due to increased headcount and $1.2 million in preclinical discovery work. Cost related to furmonertinib increased as a result of increased costs related to our FURVENT Phase 3 clinical trial of $18.6 million, which includes a $5.0 million milestone incurred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134</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under the Allist License Agreement, and a $11.7 million increase in costs related to our FURTHER Phase 1 clinical trial due to additional patients added to the studies in second half of 2023, offset by decreases in costs related to our FAVOUR trial and other general furmonertinib costs totaling $0.2 million.</w:t>
      </w:r>
    </w:p>
    <w:p>
      <w:pPr>
        <w:pStyle w:val="TextBody"/>
        <w:bidi w:val="0"/>
        <w:spacing w:before="0" w:after="220"/>
        <w:ind w:left="0" w:right="0" w:hanging="0"/>
        <w:jc w:val="left"/>
        <w:rPr>
          <w:rFonts w:ascii="Times New Roman;Times;serif" w:hAnsi="Times New Roman;Times;serif"/>
          <w:i/>
          <w:sz w:val="20"/>
        </w:rPr>
      </w:pPr>
      <w:r>
        <w:rPr>
          <w:rFonts w:ascii="Times New Roman;Times;serif" w:hAnsi="Times New Roman;Times;serif"/>
          <w:i/>
          <w:sz w:val="20"/>
        </w:rPr>
        <w:t>General and Administrative</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General and administrative expenses were $9.7 million and $6.5 million for the years ended December 31, 2023 and 2022, respectively. The increase of $3.2 million was due primarily to increases of $2.2 million in professional services and $1.0 million in personnel-related expenses.</w:t>
      </w:r>
    </w:p>
    <w:p>
      <w:pPr>
        <w:pStyle w:val="TextBody"/>
        <w:bidi w:val="0"/>
        <w:spacing w:before="0" w:after="220"/>
        <w:ind w:left="0" w:right="0" w:hanging="0"/>
        <w:jc w:val="left"/>
        <w:rPr>
          <w:rFonts w:ascii="Times New Roman;Times;serif" w:hAnsi="Times New Roman;Times;serif"/>
          <w:i/>
          <w:sz w:val="20"/>
        </w:rPr>
      </w:pPr>
      <w:r>
        <w:rPr>
          <w:rFonts w:ascii="Times New Roman;Times;serif" w:hAnsi="Times New Roman;Times;serif"/>
          <w:i/>
          <w:sz w:val="20"/>
        </w:rPr>
        <w:t>Interest Income</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Interest income was $5.3 million for the year ended December 31, 2023 and consisted of interest earned on our cash equivalents and short-term investments. For the year ended December 31, 2022, we did not earn any interest income.</w:t>
      </w:r>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Sources of Liquidity</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We have funded our operations primarily through the private placement of convertible preferred stock. To date, we have raised gross proceeds of $305.0 million from the issuance of convertible preferred stock. As of December 31, 2023, we had cash and cash equivalents of $150.4 million.</w:t>
      </w:r>
      <w:bookmarkStart w:id="16" w:name="_cp_change_334"/>
      <w:bookmarkStart w:id="17" w:name="_cp_change_333"/>
      <w:bookmarkEnd w:id="16"/>
      <w:bookmarkEnd w:id="17"/>
      <w:r>
        <w:rPr>
          <w:rFonts w:ascii="Times New Roman;Times;serif" w:hAnsi="Times New Roman;Times;serif"/>
          <w:sz w:val="20"/>
        </w:rPr>
        <w:t xml:space="preserve"> In the first quarter of 2024, we completed our initial public offering of 11,180,555 shares of our common stock at a price to the public of $18.00 per share, including the exercise in full by the underwriters of their option to purchase 1,458,333 additional shares of our common stock. Including the option exercise, our aggregate net proceeds from the offering were $183.4 million, net of underwriting discounts, commissions and estimated offering costs.</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Future Funding Requirements</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We plan to continue to fund our operating expenses and capital expenditure requirements through additional public or private equity offerings, debt financings, collaborations and licensing arrangements or other capital sources. Debt or equity financing or collaborations and partnerships with other entities may not be available on a timely basis, on acceptable terms, or at all. In addition, we may be required to scale back or discontinue the advancement of product candidates, reduce headcount or reduce other operating expenses. This could have an adverse impact on our ability to achieve certain of our planned objectives, and thus, materially harm our business. Our ability to successfully transition to profitability will depend upon obtaining additional financing and achieving a level of product sales adequate to support our cost structure. We cannot be assured that we will ever be profitable or generate positive cash flows from operating activities.</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We believe that our existing cash and cash equivalents, together with the net proceeds from our initial public offering, will be sufficient to meet our anticipated cash requirements into 2026.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w:t>
      </w:r>
    </w:p>
    <w:p>
      <w:pPr>
        <w:pStyle w:val="TextBody"/>
        <w:bidi w:val="0"/>
        <w:spacing w:before="0" w:after="220"/>
        <w:ind w:left="360" w:right="0" w:hanging="0"/>
        <w:jc w:val="left"/>
        <w:rPr>
          <w:rFonts w:ascii="Times New Roman;Times;serif" w:hAnsi="Times New Roman;Times;serif"/>
          <w:sz w:val="20"/>
        </w:rPr>
      </w:pPr>
      <w:r>
        <w:rPr>
          <w:rFonts w:ascii="Times New Roman;Times;serif" w:hAnsi="Times New Roman;Times;serif"/>
          <w:sz w:val="20"/>
        </w:rPr>
        <w:t>Our future capital requirements will depend on many factors, including:</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initiation, progress, timing, costs and results of drug discovery, preclinical studies and clinical trials of our lead product candidate, furmonertinib, and any other product candidates;</w:t>
            </w:r>
          </w:p>
        </w:tc>
      </w:tr>
    </w:tbl>
    <w:tbl>
      <w:tblPr>
        <w:tblW w:w="5748" w:type="dxa"/>
        <w:jc w:val="left"/>
        <w:tblInd w:w="0" w:type="dxa"/>
        <w:tblLayout w:type="fixed"/>
        <w:tblCellMar>
          <w:top w:w="0" w:type="dxa"/>
          <w:left w:w="0" w:type="dxa"/>
          <w:bottom w:w="0" w:type="dxa"/>
          <w:right w:w="0" w:type="dxa"/>
        </w:tblCellMar>
      </w:tblPr>
      <w:tblGrid>
        <w:gridCol w:w="23"/>
        <w:gridCol w:w="170"/>
        <w:gridCol w:w="55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characteristics of product candidates that we pursue;</w:t>
            </w:r>
          </w:p>
        </w:tc>
      </w:tr>
    </w:tbl>
    <w:tbl>
      <w:tblPr>
        <w:tblW w:w="5313" w:type="dxa"/>
        <w:jc w:val="left"/>
        <w:tblInd w:w="0" w:type="dxa"/>
        <w:tblLayout w:type="fixed"/>
        <w:tblCellMar>
          <w:top w:w="0" w:type="dxa"/>
          <w:left w:w="0" w:type="dxa"/>
          <w:bottom w:w="0" w:type="dxa"/>
          <w:right w:w="0" w:type="dxa"/>
        </w:tblCellMar>
      </w:tblPr>
      <w:tblGrid>
        <w:gridCol w:w="23"/>
        <w:gridCol w:w="170"/>
        <w:gridCol w:w="51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timing and costs of seeking regulatory approvals;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manufacturing furmonertinib, if approved, and future product candidates for clinical trials in preparation for marketing approval and in preparation for commercialization;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135</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any third-party products used in our combination clinical trials that are not covered by such third party or other sources;</w:t>
            </w:r>
          </w:p>
        </w:tc>
      </w:tr>
    </w:tbl>
    <w:tbl>
      <w:tblPr>
        <w:tblW w:w="9798" w:type="dxa"/>
        <w:jc w:val="left"/>
        <w:tblInd w:w="0" w:type="dxa"/>
        <w:tblLayout w:type="fixed"/>
        <w:tblCellMar>
          <w:top w:w="0" w:type="dxa"/>
          <w:left w:w="0" w:type="dxa"/>
          <w:bottom w:w="0" w:type="dxa"/>
          <w:right w:w="0" w:type="dxa"/>
        </w:tblCellMar>
      </w:tblPr>
      <w:tblGrid>
        <w:gridCol w:w="23"/>
        <w:gridCol w:w="170"/>
        <w:gridCol w:w="96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associated with hiring additional personnel and consultants as our preclinical and clinical activities increase;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receipt of marketing approval and revenue received from any potential commercial sales of furmonertinib or other product candidates;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commercialization activities for furmonertinib and future product candidates we develop if we receive marketing approval, including marketing, sales and distribution costs;</w:t>
            </w:r>
          </w:p>
        </w:tc>
      </w:tr>
    </w:tbl>
    <w:tbl>
      <w:tblPr>
        <w:tblW w:w="6603" w:type="dxa"/>
        <w:jc w:val="left"/>
        <w:tblInd w:w="0" w:type="dxa"/>
        <w:tblLayout w:type="fixed"/>
        <w:tblCellMar>
          <w:top w:w="0" w:type="dxa"/>
          <w:left w:w="0" w:type="dxa"/>
          <w:bottom w:w="0" w:type="dxa"/>
          <w:right w:w="0" w:type="dxa"/>
        </w:tblCellMar>
      </w:tblPr>
      <w:tblGrid>
        <w:gridCol w:w="23"/>
        <w:gridCol w:w="170"/>
        <w:gridCol w:w="64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emergence of competing therapies and other adverse market developments;</w:t>
            </w:r>
          </w:p>
        </w:tc>
      </w:tr>
    </w:tbl>
    <w:tbl>
      <w:tblPr>
        <w:tblW w:w="10008" w:type="dxa"/>
        <w:jc w:val="left"/>
        <w:tblInd w:w="0" w:type="dxa"/>
        <w:tblLayout w:type="fixed"/>
        <w:tblCellMar>
          <w:top w:w="0" w:type="dxa"/>
          <w:left w:w="0" w:type="dxa"/>
          <w:bottom w:w="0" w:type="dxa"/>
          <w:right w:w="0" w:type="dxa"/>
        </w:tblCellMar>
      </w:tblPr>
      <w:tblGrid>
        <w:gridCol w:w="23"/>
        <w:gridCol w:w="170"/>
        <w:gridCol w:w="98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establish and maintain strategic licensing or other arrangements and the financial terms of such agreements;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involved in preparing, filing, prosecuting, maintaining, expanding, defending and enforcing patent claims, including litigation costs and the outcome of such litigation;</w:t>
            </w:r>
          </w:p>
        </w:tc>
      </w:tr>
    </w:tbl>
    <w:tbl>
      <w:tblPr>
        <w:tblW w:w="6798" w:type="dxa"/>
        <w:jc w:val="left"/>
        <w:tblInd w:w="0" w:type="dxa"/>
        <w:tblLayout w:type="fixed"/>
        <w:tblCellMar>
          <w:top w:w="0" w:type="dxa"/>
          <w:left w:w="0" w:type="dxa"/>
          <w:bottom w:w="0" w:type="dxa"/>
          <w:right w:w="0" w:type="dxa"/>
        </w:tblCellMar>
      </w:tblPr>
      <w:tblGrid>
        <w:gridCol w:w="23"/>
        <w:gridCol w:w="170"/>
        <w:gridCol w:w="66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in-license or acquire other products and technologies; and</w:t>
            </w:r>
          </w:p>
        </w:tc>
      </w:tr>
    </w:tbl>
    <w:tbl>
      <w:tblPr>
        <w:tblW w:w="3708" w:type="dxa"/>
        <w:jc w:val="left"/>
        <w:tblInd w:w="0" w:type="dxa"/>
        <w:tblLayout w:type="fixed"/>
        <w:tblCellMar>
          <w:top w:w="0" w:type="dxa"/>
          <w:left w:w="0" w:type="dxa"/>
          <w:bottom w:w="0" w:type="dxa"/>
          <w:right w:w="0" w:type="dxa"/>
        </w:tblCellMar>
      </w:tblPr>
      <w:tblGrid>
        <w:gridCol w:w="23"/>
        <w:gridCol w:w="170"/>
        <w:gridCol w:w="35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operating as a public company.</w:t>
            </w:r>
          </w:p>
        </w:tc>
      </w:tr>
    </w:tbl>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Until such time, if ever, as we can generate substantial product revenues to support our cost structure, we expect to finance our cash needs through a combination of public or private equity offerings, debt financings, collaborations and licensing arrangements or other sources.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platform technology, future revenue streams, research programs or product candidates or may have to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220"/>
        <w:ind w:left="400" w:right="0" w:hanging="0"/>
        <w:jc w:val="left"/>
        <w:rPr>
          <w:rFonts w:ascii="Times New Roman;Times;serif" w:hAnsi="Times New Roman;Times;serif"/>
          <w:sz w:val="20"/>
        </w:rPr>
      </w:pPr>
      <w:r>
        <w:rPr>
          <w:rFonts w:ascii="Times New Roman;Times;serif" w:hAnsi="Times New Roman;Times;serif"/>
          <w:sz w:val="20"/>
        </w:rPr>
        <w:t>The following table summarizes our cash flows for the periods indicated:</w:t>
      </w:r>
    </w:p>
    <w:tbl>
      <w:tblPr>
        <w:tblW w:w="7077" w:type="dxa"/>
        <w:jc w:val="center"/>
        <w:tblInd w:w="0" w:type="dxa"/>
        <w:tblLayout w:type="fixed"/>
        <w:tblCellMar>
          <w:top w:w="0" w:type="dxa"/>
          <w:left w:w="0" w:type="dxa"/>
          <w:bottom w:w="0" w:type="dxa"/>
          <w:right w:w="0" w:type="dxa"/>
        </w:tblCellMar>
      </w:tblPr>
      <w:tblGrid>
        <w:gridCol w:w="4321"/>
        <w:gridCol w:w="326"/>
        <w:gridCol w:w="211"/>
        <w:gridCol w:w="796"/>
        <w:gridCol w:w="326"/>
        <w:gridCol w:w="211"/>
        <w:gridCol w:w="886"/>
      </w:tblGrid>
      <w:tr>
        <w:trPr/>
        <w:tc>
          <w:tcPr>
            <w:tcW w:w="4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9"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05460" cy="175260"/>
                      <wp:effectExtent l="0" t="0" r="0" b="0"/>
                      <wp:wrapNone/>
                      <wp:docPr id="50" name="Frame2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3985" cy="175260"/>
                      <wp:effectExtent l="0" t="0" r="0" b="0"/>
                      <wp:wrapNone/>
                      <wp:docPr id="52"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62610" cy="175260"/>
                      <wp:effectExtent l="0" t="0" r="0" b="0"/>
                      <wp:wrapNone/>
                      <wp:docPr id="53" name="Frame2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provided by:</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(55,842)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(43,631)</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42,859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169,723</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(decrease) increase in 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(12,983)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126,092</w:t>
            </w:r>
          </w:p>
        </w:tc>
      </w:tr>
    </w:tbl>
    <w:p>
      <w:pPr>
        <w:pStyle w:val="TextBody"/>
        <w:bidi w:val="0"/>
        <w:spacing w:before="0" w:after="240"/>
        <w:ind w:left="0" w:right="0" w:hanging="0"/>
        <w:jc w:val="left"/>
        <w:rPr/>
      </w:pPr>
      <w:r>
        <w:rPr/>
        <w:t>​</w:t>
      </w:r>
    </w:p>
    <w:p>
      <w:pPr>
        <w:pStyle w:val="TextBody"/>
        <w:bidi w:val="0"/>
        <w:spacing w:before="0" w:after="22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Net cash used in operating activities was $55.8 million for the year ended December 31, 2023 reflecting our net loss of $69.3 million that was offset by $0.9 million in stock-based compensation and a $12.6 million net change in our operating assets and liabilities attributable to the timing in which we pay our vendors for research and development activities.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Net cash used in operating activities was $43.6 million for the year ended December 31, 2022 reflecting our net loss of $36.9 million and a $7.1 million net change in our operating assets and liabilities attributable to the timing in which we pay our vendors for research and development activities offset, in part, by $0.4 million in stock-based compensation.</w:t>
      </w:r>
    </w:p>
    <w:p>
      <w:pPr>
        <w:pStyle w:val="TextBody"/>
        <w:bidi w:val="0"/>
        <w:spacing w:before="0" w:after="220"/>
        <w:ind w:left="0" w:right="0" w:hanging="0"/>
        <w:jc w:val="left"/>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220"/>
        <w:ind w:left="0" w:right="0" w:firstLine="72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Net cash used in investing activities for the year ended December 31, 2023 included $25.0 million of purchases of short-term investments, offset by $25.0 of maturities of short-term investments.</w:t>
      </w:r>
    </w:p>
    <w:p>
      <w:pPr>
        <w:pStyle w:val="TextBody"/>
        <w:bidi w:val="0"/>
        <w:spacing w:before="0" w:after="220"/>
        <w:ind w:left="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Net cash provided by financing activities was $42.9 million for the year ended December 31, 2023, due to $44.9 million of net proceeds from the issuance of Series B convertible preferred stock and $0.4 million of proceeds from the exercise of stock options offset by a $2.4 million payment of deferred offering costs.</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 xml:space="preserve">Net cash provided by financing activities was $169.7 million for the year ended December 31, 2022, due to the net proceeds of $60.0 million from the issuance of Series A convertible preferred stock and net proceeds of $109.7 million from the issuance of Series B convertible preferred stock. </w:t>
      </w:r>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120" w:after="0"/>
        <w:ind w:left="0" w:right="0" w:firstLine="490"/>
        <w:jc w:val="left"/>
        <w:rPr>
          <w:rFonts w:ascii="Times New Roman;Times;serif" w:hAnsi="Times New Roman;Times;serif"/>
          <w:sz w:val="20"/>
        </w:rPr>
      </w:pPr>
      <w:r>
        <w:rPr>
          <w:rFonts w:ascii="Times New Roman;Times;serif" w:hAnsi="Times New Roman;Times;serif"/>
          <w:sz w:val="20"/>
        </w:rPr>
        <w:t xml:space="preserve">The following table summarizes our contractual obligations as of December 31, 2023 and the effects that such obligations are expected to have on our liquidity and cash flows in future periods: </w:t>
      </w:r>
    </w:p>
    <w:p>
      <w:pPr>
        <w:pStyle w:val="TextBody"/>
        <w:bidi w:val="0"/>
        <w:spacing w:before="0" w:after="0"/>
        <w:ind w:left="0" w:right="0" w:hanging="0"/>
        <w:jc w:val="left"/>
        <w:rPr/>
      </w:pPr>
      <w:r>
        <w:rPr/>
        <w:t>​</w:t>
      </w:r>
    </w:p>
    <w:tbl>
      <w:tblPr>
        <w:tblW w:w="7007" w:type="dxa"/>
        <w:jc w:val="center"/>
        <w:tblInd w:w="0" w:type="dxa"/>
        <w:tblLayout w:type="fixed"/>
        <w:tblCellMar>
          <w:top w:w="0" w:type="dxa"/>
          <w:left w:w="0" w:type="dxa"/>
          <w:bottom w:w="0" w:type="dxa"/>
          <w:right w:w="0" w:type="dxa"/>
        </w:tblCellMar>
      </w:tblPr>
      <w:tblGrid>
        <w:gridCol w:w="2356"/>
        <w:gridCol w:w="109"/>
        <w:gridCol w:w="211"/>
        <w:gridCol w:w="421"/>
        <w:gridCol w:w="109"/>
        <w:gridCol w:w="109"/>
        <w:gridCol w:w="275"/>
        <w:gridCol w:w="550"/>
        <w:gridCol w:w="109"/>
        <w:gridCol w:w="109"/>
        <w:gridCol w:w="211"/>
        <w:gridCol w:w="421"/>
        <w:gridCol w:w="109"/>
        <w:gridCol w:w="109"/>
        <w:gridCol w:w="211"/>
        <w:gridCol w:w="346"/>
        <w:gridCol w:w="109"/>
        <w:gridCol w:w="109"/>
        <w:gridCol w:w="329"/>
        <w:gridCol w:w="541"/>
        <w:gridCol w:w="154"/>
      </w:tblGrid>
      <w:tr>
        <w:trPr/>
        <w:tc>
          <w:tcPr>
            <w:tcW w:w="235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9215" cy="175260"/>
                      <wp:effectExtent l="0" t="0" r="0" b="0"/>
                      <wp:wrapNone/>
                      <wp:docPr id="54" name="Frame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3985" cy="29210"/>
                      <wp:effectExtent l="0" t="0" r="0" b="0"/>
                      <wp:wrapNone/>
                      <wp:docPr id="55" name="Frame28"/>
                      <a:graphic xmlns:a="http://schemas.openxmlformats.org/drawingml/2006/main">
                        <a:graphicData uri="http://schemas.microsoft.com/office/word/2010/wordprocessingShape">
                          <wps:wsp>
                            <wps:cNvSpPr txBox="1"/>
                            <wps:spPr>
                              <a:xfrm>
                                <a:off x="0" y="0"/>
                                <a:ext cx="133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67335" cy="29210"/>
                      <wp:effectExtent l="0" t="0" r="0" b="0"/>
                      <wp:wrapNone/>
                      <wp:docPr id="56" name="Frame29"/>
                      <a:graphic xmlns:a="http://schemas.openxmlformats.org/drawingml/2006/main">
                        <a:graphicData uri="http://schemas.microsoft.com/office/word/2010/wordprocessingShape">
                          <wps:wsp>
                            <wps:cNvSpPr txBox="1"/>
                            <wps:spPr>
                              <a:xfrm>
                                <a:off x="0" y="0"/>
                                <a:ext cx="2673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9215" cy="175260"/>
                      <wp:effectExtent l="0" t="0" r="0" b="0"/>
                      <wp:wrapNone/>
                      <wp:docPr id="57" name="Frame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9215" cy="175260"/>
                      <wp:effectExtent l="0" t="0" r="0" b="0"/>
                      <wp:wrapNone/>
                      <wp:docPr id="58" name="Frame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74625" cy="29210"/>
                      <wp:effectExtent l="0" t="0" r="0" b="0"/>
                      <wp:wrapNone/>
                      <wp:docPr id="59" name="Frame32"/>
                      <a:graphic xmlns:a="http://schemas.openxmlformats.org/drawingml/2006/main">
                        <a:graphicData uri="http://schemas.microsoft.com/office/word/2010/wordprocessingShape">
                          <wps:wsp>
                            <wps:cNvSpPr txBox="1"/>
                            <wps:spPr>
                              <a:xfrm>
                                <a:off x="0" y="0"/>
                                <a:ext cx="1746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349250" cy="29210"/>
                      <wp:effectExtent l="0" t="0" r="0" b="0"/>
                      <wp:wrapNone/>
                      <wp:docPr id="60" name="Frame33"/>
                      <a:graphic xmlns:a="http://schemas.openxmlformats.org/drawingml/2006/main">
                        <a:graphicData uri="http://schemas.microsoft.com/office/word/2010/wordprocessingShape">
                          <wps:wsp>
                            <wps:cNvSpPr txBox="1"/>
                            <wps:spPr>
                              <a:xfrm>
                                <a:off x="0" y="0"/>
                                <a:ext cx="3492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9215" cy="175260"/>
                      <wp:effectExtent l="0" t="0" r="0" b="0"/>
                      <wp:wrapNone/>
                      <wp:docPr id="61" name="Frame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9215" cy="29210"/>
                      <wp:effectExtent l="0" t="0" r="0" b="0"/>
                      <wp:wrapNone/>
                      <wp:docPr id="62" name="Frame35"/>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29210"/>
                      <wp:effectExtent l="0" t="0" r="0" b="0"/>
                      <wp:wrapNone/>
                      <wp:docPr id="63" name="Frame36"/>
                      <a:graphic xmlns:a="http://schemas.openxmlformats.org/drawingml/2006/main">
                        <a:graphicData uri="http://schemas.microsoft.com/office/word/2010/wordprocessingShape">
                          <wps:wsp>
                            <wps:cNvSpPr txBox="1"/>
                            <wps:spPr>
                              <a:xfrm>
                                <a:off x="0" y="0"/>
                                <a:ext cx="133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67335" cy="29210"/>
                      <wp:effectExtent l="0" t="0" r="0" b="0"/>
                      <wp:wrapNone/>
                      <wp:docPr id="64" name="Frame37"/>
                      <a:graphic xmlns:a="http://schemas.openxmlformats.org/drawingml/2006/main">
                        <a:graphicData uri="http://schemas.microsoft.com/office/word/2010/wordprocessingShape">
                          <wps:wsp>
                            <wps:cNvSpPr txBox="1"/>
                            <wps:spPr>
                              <a:xfrm>
                                <a:off x="0" y="0"/>
                                <a:ext cx="2673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9215" cy="175260"/>
                      <wp:effectExtent l="0" t="0" r="0" b="0"/>
                      <wp:wrapNone/>
                      <wp:docPr id="65" name="Frame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9215" cy="175260"/>
                      <wp:effectExtent l="0" t="0" r="0" b="0"/>
                      <wp:wrapNone/>
                      <wp:docPr id="66" name="Frame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29210"/>
                      <wp:effectExtent l="0" t="0" r="0" b="0"/>
                      <wp:wrapNone/>
                      <wp:docPr id="67" name="Frame40"/>
                      <a:graphic xmlns:a="http://schemas.openxmlformats.org/drawingml/2006/main">
                        <a:graphicData uri="http://schemas.microsoft.com/office/word/2010/wordprocessingShape">
                          <wps:wsp>
                            <wps:cNvSpPr txBox="1"/>
                            <wps:spPr>
                              <a:xfrm>
                                <a:off x="0" y="0"/>
                                <a:ext cx="133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29210"/>
                      <wp:effectExtent l="0" t="0" r="0" b="0"/>
                      <wp:wrapNone/>
                      <wp:docPr id="68" name="Frame41"/>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9215" cy="175260"/>
                      <wp:effectExtent l="0" t="0" r="0" b="0"/>
                      <wp:wrapNone/>
                      <wp:docPr id="69" name="Frame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9215" cy="175260"/>
                      <wp:effectExtent l="0" t="0" r="0" b="0"/>
                      <wp:wrapNone/>
                      <wp:docPr id="70" name="Frame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8915" cy="29210"/>
                      <wp:effectExtent l="0" t="0" r="0" b="0"/>
                      <wp:wrapNone/>
                      <wp:docPr id="71" name="Frame44"/>
                      <a:graphic xmlns:a="http://schemas.openxmlformats.org/drawingml/2006/main">
                        <a:graphicData uri="http://schemas.microsoft.com/office/word/2010/wordprocessingShape">
                          <wps:wsp>
                            <wps:cNvSpPr txBox="1"/>
                            <wps:spPr>
                              <a:xfrm>
                                <a:off x="0" y="0"/>
                                <a:ext cx="2089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343535" cy="29210"/>
                      <wp:effectExtent l="0" t="0" r="0" b="0"/>
                      <wp:wrapNone/>
                      <wp:docPr id="72" name="Frame45"/>
                      <a:graphic xmlns:a="http://schemas.openxmlformats.org/drawingml/2006/main">
                        <a:graphicData uri="http://schemas.microsoft.com/office/word/2010/wordprocessingShape">
                          <wps:wsp>
                            <wps:cNvSpPr txBox="1"/>
                            <wps:spPr>
                              <a:xfrm>
                                <a:off x="0" y="0"/>
                                <a:ext cx="3435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97790" cy="175260"/>
                      <wp:effectExtent l="0" t="0" r="0" b="0"/>
                      <wp:wrapNone/>
                      <wp:docPr id="73" name="Frame4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56"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4388" w:type="dxa"/>
            <w:gridSpan w:val="18"/>
            <w:tcBorders>
              <w:bottom w:val="single" w:sz="8"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Payments Due by Period</w:t>
            </w:r>
          </w:p>
        </w:tc>
        <w:tc>
          <w:tcPr>
            <w:tcW w:w="154" w:type="dxa"/>
            <w:tcBorders>
              <w:bottom w:val="single" w:sz="8" w:space="0" w:color="000000"/>
            </w:tcBorders>
            <w:shd w:fill="FFFFFF" w:val="clear"/>
            <w:tcMar>
              <w:bottom w:w="28" w:type="dxa"/>
            </w:tcMar>
            <w:vAlign w:val="center"/>
          </w:tcPr>
          <w:p>
            <w:pPr>
              <w:pStyle w:val="TableContents"/>
              <w:bidi w:val="0"/>
              <w:spacing w:before="0" w:after="0"/>
              <w:ind w:left="0" w:right="0" w:hanging="0"/>
              <w:jc w:val="center"/>
              <w:rPr/>
            </w:pPr>
            <w:r>
              <w:rPr/>
              <w:t>​</w:t>
            </w:r>
          </w:p>
        </w:tc>
      </w:tr>
      <w:tr>
        <w:trPr/>
        <w:tc>
          <w:tcPr>
            <w:tcW w:w="2356"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632" w:type="dxa"/>
            <w:gridSpan w:val="2"/>
            <w:tcBorders>
              <w:bottom w:val="single" w:sz="8"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09" w:type="dxa"/>
            <w:tcBorders>
              <w:bottom w:val="single" w:sz="8" w:space="0" w:color="000000"/>
            </w:tcBorders>
            <w:shd w:fill="FFFFFF" w:val="clear"/>
            <w:tcMar>
              <w:bottom w:w="28" w:type="dxa"/>
            </w:tcMar>
            <w:vAlign w:val="center"/>
          </w:tcPr>
          <w:p>
            <w:pPr>
              <w:pStyle w:val="TableContents"/>
              <w:bidi w:val="0"/>
              <w:spacing w:before="0" w:after="0"/>
              <w:ind w:left="0" w:right="0" w:hanging="0"/>
              <w:jc w:val="center"/>
              <w:rPr/>
            </w:pPr>
            <w:r>
              <w:rPr/>
              <w:t>​</w:t>
            </w:r>
          </w:p>
        </w:tc>
        <w:tc>
          <w:tcPr>
            <w:tcW w:w="109" w:type="dxa"/>
            <w:tcBorders>
              <w:top w:val="single" w:sz="8" w:space="0" w:color="000000"/>
            </w:tcBorders>
            <w:shd w:fill="FFFFFF" w:val="clear"/>
            <w:tcMar>
              <w:top w:w="28" w:type="dxa"/>
            </w:tcMar>
            <w:vAlign w:val="center"/>
          </w:tcPr>
          <w:p>
            <w:pPr>
              <w:pStyle w:val="TableContents"/>
              <w:bidi w:val="0"/>
              <w:spacing w:before="0" w:after="0"/>
              <w:ind w:left="0" w:right="0" w:hanging="0"/>
              <w:jc w:val="center"/>
              <w:rPr/>
            </w:pPr>
            <w:r>
              <w:rPr/>
              <w:t>​</w:t>
            </w:r>
          </w:p>
        </w:tc>
        <w:tc>
          <w:tcPr>
            <w:tcW w:w="825"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Less Than</w:t>
              <w:br/>
              <w:t>1 Year</w:t>
            </w:r>
          </w:p>
        </w:tc>
        <w:tc>
          <w:tcPr>
            <w:tcW w:w="109" w:type="dxa"/>
            <w:tcBorders>
              <w:bottom w:val="single" w:sz="8" w:space="0" w:color="000000"/>
            </w:tcBorders>
            <w:shd w:fill="FFFFFF" w:val="clear"/>
            <w:tcMar>
              <w:bottom w:w="28" w:type="dxa"/>
            </w:tcMar>
            <w:vAlign w:val="center"/>
          </w:tcPr>
          <w:p>
            <w:pPr>
              <w:pStyle w:val="TableContents"/>
              <w:bidi w:val="0"/>
              <w:spacing w:before="0" w:after="0"/>
              <w:ind w:left="0" w:right="0" w:hanging="0"/>
              <w:jc w:val="center"/>
              <w:rPr/>
            </w:pPr>
            <w:r>
              <w:rPr/>
              <w:t>​</w:t>
            </w:r>
          </w:p>
        </w:tc>
        <w:tc>
          <w:tcPr>
            <w:tcW w:w="109" w:type="dxa"/>
            <w:tcBorders>
              <w:top w:val="single" w:sz="8" w:space="0" w:color="000000"/>
            </w:tcBorders>
            <w:shd w:fill="FFFFFF" w:val="clear"/>
            <w:tcMar>
              <w:top w:w="28" w:type="dxa"/>
            </w:tcMar>
            <w:vAlign w:val="center"/>
          </w:tcPr>
          <w:p>
            <w:pPr>
              <w:pStyle w:val="TableContents"/>
              <w:bidi w:val="0"/>
              <w:spacing w:before="0" w:after="0"/>
              <w:ind w:left="0" w:right="0" w:hanging="0"/>
              <w:jc w:val="center"/>
              <w:rPr/>
            </w:pPr>
            <w:r>
              <w:rPr/>
              <w:t>​</w:t>
            </w:r>
          </w:p>
        </w:tc>
        <w:tc>
          <w:tcPr>
            <w:tcW w:w="63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 to 3</w:t>
              <w:br/>
              <w:t>Years</w:t>
            </w:r>
          </w:p>
        </w:tc>
        <w:tc>
          <w:tcPr>
            <w:tcW w:w="109" w:type="dxa"/>
            <w:tcBorders>
              <w:bottom w:val="single" w:sz="8" w:space="0" w:color="000000"/>
            </w:tcBorders>
            <w:shd w:fill="FFFFFF" w:val="clear"/>
            <w:tcMar>
              <w:bottom w:w="28" w:type="dxa"/>
            </w:tcMar>
            <w:vAlign w:val="center"/>
          </w:tcPr>
          <w:p>
            <w:pPr>
              <w:pStyle w:val="TableContents"/>
              <w:bidi w:val="0"/>
              <w:spacing w:before="0" w:after="0"/>
              <w:ind w:left="0" w:right="0" w:hanging="0"/>
              <w:jc w:val="center"/>
              <w:rPr/>
            </w:pPr>
            <w:r>
              <w:rPr/>
              <w:t>​</w:t>
            </w:r>
          </w:p>
        </w:tc>
        <w:tc>
          <w:tcPr>
            <w:tcW w:w="109" w:type="dxa"/>
            <w:tcBorders>
              <w:top w:val="single" w:sz="8" w:space="0" w:color="000000"/>
            </w:tcBorders>
            <w:shd w:fill="FFFFFF" w:val="clear"/>
            <w:tcMar>
              <w:top w:w="28" w:type="dxa"/>
            </w:tcMar>
            <w:vAlign w:val="center"/>
          </w:tcPr>
          <w:p>
            <w:pPr>
              <w:pStyle w:val="TableContents"/>
              <w:bidi w:val="0"/>
              <w:spacing w:before="0" w:after="0"/>
              <w:ind w:left="0" w:right="0" w:hanging="0"/>
              <w:jc w:val="center"/>
              <w:rPr/>
            </w:pPr>
            <w:r>
              <w:rPr/>
              <w:t>​</w:t>
            </w:r>
          </w:p>
        </w:tc>
        <w:tc>
          <w:tcPr>
            <w:tcW w:w="55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4 to 5</w:t>
              <w:br/>
              <w:t>Years</w:t>
            </w:r>
          </w:p>
        </w:tc>
        <w:tc>
          <w:tcPr>
            <w:tcW w:w="109" w:type="dxa"/>
            <w:tcBorders>
              <w:bottom w:val="single" w:sz="8" w:space="0" w:color="000000"/>
            </w:tcBorders>
            <w:shd w:fill="FFFFFF" w:val="clear"/>
            <w:tcMar>
              <w:bottom w:w="28" w:type="dxa"/>
            </w:tcMar>
            <w:vAlign w:val="center"/>
          </w:tcPr>
          <w:p>
            <w:pPr>
              <w:pStyle w:val="TableContents"/>
              <w:bidi w:val="0"/>
              <w:spacing w:before="0" w:after="0"/>
              <w:ind w:left="0" w:right="0" w:hanging="0"/>
              <w:jc w:val="center"/>
              <w:rPr/>
            </w:pPr>
            <w:r>
              <w:rPr/>
              <w:t>​</w:t>
            </w:r>
          </w:p>
        </w:tc>
        <w:tc>
          <w:tcPr>
            <w:tcW w:w="109" w:type="dxa"/>
            <w:tcBorders>
              <w:top w:val="single" w:sz="8" w:space="0" w:color="000000"/>
            </w:tcBorders>
            <w:shd w:fill="FFFFFF" w:val="clear"/>
            <w:tcMar>
              <w:top w:w="28" w:type="dxa"/>
            </w:tcMar>
            <w:vAlign w:val="center"/>
          </w:tcPr>
          <w:p>
            <w:pPr>
              <w:pStyle w:val="TableContents"/>
              <w:bidi w:val="0"/>
              <w:spacing w:before="0" w:after="0"/>
              <w:ind w:left="0" w:right="0" w:hanging="0"/>
              <w:jc w:val="center"/>
              <w:rPr/>
            </w:pPr>
            <w:r>
              <w:rPr/>
              <w:t>​</w:t>
            </w:r>
          </w:p>
        </w:tc>
        <w:tc>
          <w:tcPr>
            <w:tcW w:w="870"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More than</w:t>
              <w:br/>
              <w:t>5 Years</w:t>
            </w:r>
          </w:p>
        </w:tc>
        <w:tc>
          <w:tcPr>
            <w:tcW w:w="154" w:type="dxa"/>
            <w:tcBorders>
              <w:bottom w:val="single" w:sz="8" w:space="0" w:color="000000"/>
            </w:tcBorders>
            <w:shd w:fill="FFFFFF" w:val="clear"/>
            <w:tcMar>
              <w:bottom w:w="28" w:type="dxa"/>
            </w:tcMar>
            <w:vAlign w:val="center"/>
          </w:tcPr>
          <w:p>
            <w:pPr>
              <w:pStyle w:val="TableContents"/>
              <w:bidi w:val="0"/>
              <w:spacing w:before="0" w:after="0"/>
              <w:ind w:left="0" w:right="0" w:hanging="0"/>
              <w:jc w:val="center"/>
              <w:rPr/>
            </w:pPr>
            <w:r>
              <w:rPr/>
              <w:t>​</w:t>
            </w:r>
          </w:p>
        </w:tc>
      </w:tr>
      <w:tr>
        <w:trPr/>
        <w:tc>
          <w:tcPr>
            <w:tcW w:w="7007" w:type="dxa"/>
            <w:gridSpan w:val="21"/>
            <w:tcBorders/>
            <w:vAlign w:val="center"/>
          </w:tcPr>
          <w:p>
            <w:pPr>
              <w:pStyle w:val="TableContents"/>
              <w:bidi w:val="0"/>
              <w:spacing w:before="0" w:after="283"/>
              <w:ind w:left="0" w:right="0" w:hanging="0"/>
              <w:jc w:val="left"/>
              <w:rPr>
                <w:sz w:val="4"/>
                <w:szCs w:val="4"/>
              </w:rPr>
            </w:pPr>
            <w:r>
              <w:rPr>
                <w:sz w:val="4"/>
                <w:szCs w:val="4"/>
              </w:rPr>
            </w:r>
          </w:p>
        </w:tc>
      </w:tr>
      <w:tr>
        <w:trPr/>
        <w:tc>
          <w:tcPr>
            <w:tcW w:w="2356"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4388" w:type="dxa"/>
            <w:gridSpan w:val="18"/>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54" w:type="dxa"/>
            <w:tcBorders/>
            <w:shd w:fill="FFFFFF" w:val="clear"/>
            <w:vAlign w:val="center"/>
          </w:tcPr>
          <w:p>
            <w:pPr>
              <w:pStyle w:val="TableContents"/>
              <w:bidi w:val="0"/>
              <w:spacing w:before="0" w:after="0"/>
              <w:ind w:left="0" w:right="0" w:hanging="0"/>
              <w:jc w:val="center"/>
              <w:rPr/>
            </w:pPr>
            <w:r>
              <w:rPr/>
              <w:t>​</w:t>
            </w:r>
          </w:p>
        </w:tc>
      </w:tr>
      <w:tr>
        <w:trPr/>
        <w:tc>
          <w:tcPr>
            <w:tcW w:w="2356" w:type="dxa"/>
            <w:tcBorders/>
            <w:shd w:fill="CFF0FC"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obligations</w:t>
            </w:r>
          </w:p>
        </w:tc>
        <w:tc>
          <w:tcPr>
            <w:tcW w:w="109" w:type="dxa"/>
            <w:tcBorders/>
            <w:shd w:fill="CFF0FC" w:val="clear"/>
            <w:vAlign w:val="center"/>
          </w:tcPr>
          <w:p>
            <w:pPr>
              <w:pStyle w:val="TableContents"/>
              <w:bidi w:val="0"/>
              <w:spacing w:before="0" w:after="0"/>
              <w:ind w:left="0" w:right="0" w:hanging="0"/>
              <w:jc w:val="left"/>
              <w:rPr/>
            </w:pPr>
            <w:r>
              <w:rPr/>
              <w:t>​</w:t>
            </w:r>
          </w:p>
        </w:tc>
        <w:tc>
          <w:tcPr>
            <w:tcW w:w="211" w:type="dxa"/>
            <w:tcBorders>
              <w:bottom w:val="single" w:sz="8" w:space="0" w:color="000000"/>
            </w:tcBorders>
            <w:shd w:fill="CFF0FC"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single" w:sz="8" w:space="0" w:color="000000"/>
            </w:tcBorders>
            <w:shd w:fill="CFF0FC"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w:t>
            </w:r>
          </w:p>
        </w:tc>
        <w:tc>
          <w:tcPr>
            <w:tcW w:w="109" w:type="dxa"/>
            <w:tcBorders>
              <w:bottom w:val="single" w:sz="8" w:space="0" w:color="000000"/>
            </w:tcBorders>
            <w:shd w:fill="CFF0FC" w:val="clear"/>
            <w:tcMar>
              <w:bottom w:w="28" w:type="dxa"/>
            </w:tcMar>
            <w:vAlign w:val="center"/>
          </w:tcPr>
          <w:p>
            <w:pPr>
              <w:pStyle w:val="TableContents"/>
              <w:bidi w:val="0"/>
              <w:spacing w:before="0" w:after="0"/>
              <w:ind w:left="0" w:right="0" w:hanging="0"/>
              <w:jc w:val="left"/>
              <w:rPr/>
            </w:pPr>
            <w:r>
              <w:rPr/>
              <w:t>​</w:t>
            </w:r>
          </w:p>
        </w:tc>
        <w:tc>
          <w:tcPr>
            <w:tcW w:w="109" w:type="dxa"/>
            <w:tcBorders>
              <w:bottom w:val="single" w:sz="8" w:space="0" w:color="000000"/>
            </w:tcBorders>
            <w:shd w:fill="CFF0FC" w:val="clear"/>
            <w:tcMar>
              <w:bottom w:w="28" w:type="dxa"/>
            </w:tcMar>
            <w:vAlign w:val="center"/>
          </w:tcPr>
          <w:p>
            <w:pPr>
              <w:pStyle w:val="TableContents"/>
              <w:bidi w:val="0"/>
              <w:spacing w:before="0" w:after="0"/>
              <w:ind w:left="0" w:right="0" w:hanging="0"/>
              <w:jc w:val="left"/>
              <w:rPr/>
            </w:pPr>
            <w:r>
              <w:rPr/>
              <w:t>​</w:t>
            </w:r>
          </w:p>
        </w:tc>
        <w:tc>
          <w:tcPr>
            <w:tcW w:w="275" w:type="dxa"/>
            <w:tcBorders>
              <w:bottom w:val="single" w:sz="8" w:space="0" w:color="000000"/>
            </w:tcBorders>
            <w:shd w:fill="CFF0FC"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0" w:type="dxa"/>
            <w:tcBorders>
              <w:bottom w:val="single" w:sz="8" w:space="0" w:color="000000"/>
            </w:tcBorders>
            <w:shd w:fill="CFF0FC"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109" w:type="dxa"/>
            <w:tcBorders>
              <w:bottom w:val="single" w:sz="8" w:space="0" w:color="000000"/>
            </w:tcBorders>
            <w:shd w:fill="CFF0FC" w:val="clear"/>
            <w:tcMar>
              <w:bottom w:w="28" w:type="dxa"/>
            </w:tcMar>
            <w:vAlign w:val="center"/>
          </w:tcPr>
          <w:p>
            <w:pPr>
              <w:pStyle w:val="TableContents"/>
              <w:bidi w:val="0"/>
              <w:spacing w:before="0" w:after="0"/>
              <w:ind w:left="0" w:right="0" w:hanging="0"/>
              <w:jc w:val="left"/>
              <w:rPr/>
            </w:pPr>
            <w:r>
              <w:rPr/>
              <w:t>​</w:t>
            </w:r>
          </w:p>
        </w:tc>
        <w:tc>
          <w:tcPr>
            <w:tcW w:w="109" w:type="dxa"/>
            <w:tcBorders>
              <w:bottom w:val="single" w:sz="8" w:space="0" w:color="000000"/>
            </w:tcBorders>
            <w:shd w:fill="CFF0FC"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8" w:space="0" w:color="000000"/>
            </w:tcBorders>
            <w:shd w:fill="CFF0FC"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single" w:sz="8" w:space="0" w:color="000000"/>
            </w:tcBorders>
            <w:shd w:fill="CFF0FC"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109" w:type="dxa"/>
            <w:tcBorders>
              <w:bottom w:val="single" w:sz="8" w:space="0" w:color="000000"/>
            </w:tcBorders>
            <w:shd w:fill="CFF0FC" w:val="clear"/>
            <w:tcMar>
              <w:bottom w:w="28" w:type="dxa"/>
            </w:tcMar>
            <w:vAlign w:val="center"/>
          </w:tcPr>
          <w:p>
            <w:pPr>
              <w:pStyle w:val="TableContents"/>
              <w:bidi w:val="0"/>
              <w:spacing w:before="0" w:after="0"/>
              <w:ind w:left="0" w:right="0" w:hanging="0"/>
              <w:jc w:val="left"/>
              <w:rPr/>
            </w:pPr>
            <w:r>
              <w:rPr/>
              <w:t>​</w:t>
            </w:r>
          </w:p>
        </w:tc>
        <w:tc>
          <w:tcPr>
            <w:tcW w:w="109" w:type="dxa"/>
            <w:tcBorders>
              <w:bottom w:val="single" w:sz="8" w:space="0" w:color="000000"/>
            </w:tcBorders>
            <w:shd w:fill="CFF0FC"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8" w:space="0" w:color="000000"/>
            </w:tcBorders>
            <w:shd w:fill="CFF0FC"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single" w:sz="8" w:space="0" w:color="000000"/>
            </w:tcBorders>
            <w:shd w:fill="CFF0FC" w:val="clear"/>
            <w:tcMar>
              <w:bottom w:w="28" w:type="dxa"/>
            </w:tcMar>
            <w:vAlign w:val="center"/>
          </w:tcPr>
          <w:p>
            <w:pPr>
              <w:pStyle w:val="TableContents"/>
              <w:bidi w:val="0"/>
              <w:spacing w:before="0" w:after="0"/>
              <w:ind w:left="0" w:right="0" w:hanging="0"/>
              <w:jc w:val="right"/>
              <w:rPr/>
            </w:pPr>
            <w:r>
              <w:rPr/>
              <w:t>—</w:t>
            </w:r>
          </w:p>
        </w:tc>
        <w:tc>
          <w:tcPr>
            <w:tcW w:w="109" w:type="dxa"/>
            <w:tcBorders>
              <w:bottom w:val="single" w:sz="8" w:space="0" w:color="000000"/>
            </w:tcBorders>
            <w:shd w:fill="CFF0FC" w:val="clear"/>
            <w:tcMar>
              <w:bottom w:w="28" w:type="dxa"/>
            </w:tcMar>
            <w:vAlign w:val="center"/>
          </w:tcPr>
          <w:p>
            <w:pPr>
              <w:pStyle w:val="TableContents"/>
              <w:bidi w:val="0"/>
              <w:spacing w:before="0" w:after="0"/>
              <w:ind w:left="0" w:right="0" w:hanging="0"/>
              <w:jc w:val="left"/>
              <w:rPr/>
            </w:pPr>
            <w:r>
              <w:rPr/>
              <w:t>​</w:t>
            </w:r>
          </w:p>
        </w:tc>
        <w:tc>
          <w:tcPr>
            <w:tcW w:w="109" w:type="dxa"/>
            <w:tcBorders>
              <w:bottom w:val="single" w:sz="8" w:space="0" w:color="000000"/>
            </w:tcBorders>
            <w:shd w:fill="CFF0FC" w:val="clear"/>
            <w:tcMar>
              <w:bottom w:w="28" w:type="dxa"/>
            </w:tcMar>
            <w:vAlign w:val="center"/>
          </w:tcPr>
          <w:p>
            <w:pPr>
              <w:pStyle w:val="TableContents"/>
              <w:bidi w:val="0"/>
              <w:spacing w:before="0" w:after="0"/>
              <w:ind w:left="0" w:right="0" w:hanging="0"/>
              <w:jc w:val="left"/>
              <w:rPr/>
            </w:pPr>
            <w:r>
              <w:rPr/>
              <w:t>​</w:t>
            </w:r>
          </w:p>
        </w:tc>
        <w:tc>
          <w:tcPr>
            <w:tcW w:w="329" w:type="dxa"/>
            <w:tcBorders>
              <w:bottom w:val="single" w:sz="8" w:space="0" w:color="000000"/>
            </w:tcBorders>
            <w:shd w:fill="CFF0FC"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8" w:space="0" w:color="000000"/>
            </w:tcBorders>
            <w:shd w:fill="CFF0FC" w:val="clear"/>
            <w:tcMar>
              <w:bottom w:w="28" w:type="dxa"/>
            </w:tcMar>
            <w:vAlign w:val="center"/>
          </w:tcPr>
          <w:p>
            <w:pPr>
              <w:pStyle w:val="TableContents"/>
              <w:bidi w:val="0"/>
              <w:spacing w:before="0" w:after="0"/>
              <w:ind w:left="0" w:right="0" w:hanging="0"/>
              <w:jc w:val="right"/>
              <w:rPr/>
            </w:pPr>
            <w:r>
              <w:rPr/>
              <w:t>—</w:t>
            </w:r>
          </w:p>
        </w:tc>
        <w:tc>
          <w:tcPr>
            <w:tcW w:w="154" w:type="dxa"/>
            <w:tcBorders>
              <w:bottom w:val="single" w:sz="8" w:space="0" w:color="000000"/>
            </w:tcBorders>
            <w:shd w:fill="CFF0FC" w:val="clear"/>
            <w:tcMar>
              <w:bottom w:w="28" w:type="dxa"/>
            </w:tcMar>
            <w:vAlign w:val="center"/>
          </w:tcPr>
          <w:p>
            <w:pPr>
              <w:pStyle w:val="TableContents"/>
              <w:bidi w:val="0"/>
              <w:spacing w:before="0" w:after="0"/>
              <w:ind w:left="0" w:right="0" w:hanging="0"/>
              <w:jc w:val="left"/>
              <w:rPr/>
            </w:pPr>
            <w:r>
              <w:rPr/>
              <w:t>​</w:t>
            </w:r>
          </w:p>
        </w:tc>
      </w:tr>
      <w:tr>
        <w:trPr/>
        <w:tc>
          <w:tcPr>
            <w:tcW w:w="2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FFFF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w:t>
            </w:r>
          </w:p>
        </w:tc>
        <w:tc>
          <w:tcPr>
            <w:tcW w:w="10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7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10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10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10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32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15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As of December 31, 2023, except for the operating lease, we did not have any long-term obligations, capital lease obligations, purchase obligation or long-term liabilities. We enter into contracts in the normal course of business with third-party CROs and clinical trial sites for our clinical trials, and with supply vendors for other services and products for operating purposes. These contracts generally provide for termination after a notice period, and, therefore, are cancelable contracts.</w:t>
      </w:r>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Critical Accounting Policies, Significant Judgments and Use of Estimates</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Our management’s discussion and analysis of our financial condition and results of operations is based on our financial statements, which have been prepared in accordance with U.S. generally accepted accounting principles (GAAP).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and stock-based compensation expenses.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While our significant accounting policies are described in more detail in Note 3 to our accompanying financial statements appearing elsewhere in this Annual Report, we believe the following accounting policies to be most critical to the preparation of our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137</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Research and Development Accruals</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Research and development expenses consist primarily of costs incurred in connection with the development of our lead product candidate. We expense research and development costs as incurred.</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We accrue expenses for pre-clinical and clinical studies and activities performed by third parties based upon estimates of the proportion of work completed over the term of the individual trial and patient enrollment rates in accordance with agreements with third parties. We determine the estimates by reviewing contracts, vendor agreements and purchase orders, and through discussions with our internal clinical personnel and external service providers as to the progress or stage of completion of activities or services and the agreed-upon fee to be paid for such services. However, actual costs and timing of clinical trials are highly uncertain, subject to risks and may change depending upon a number of factors, including our clinical development plan.</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We make estimates of our accrued expenses as of each balance sheet date in our financial statements based on facts and circumstances known at that time. If the actual timing of the performance of services or the level of effort varies from the estimate, we will adjust the accrual accordingly. Non-refundable advance payments for goods and services, including fees for manufacturing and distribution of clinical and pre-clinical supplies that will be used in future research and development activities, are deferred and recognized as expense in the period that the related goods are consumed or services are performed.</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Milestone payments within our licensing and collaboration arrangements will be recognized when achievement of the milestone is deemed probable to occur. To the extent products are commercialized and future economic benefit has been established, commercial milestones that become probable are capitalized and amortized over the estimated remaining useful life of the intellectual property. In addition, we will accrue royalty expense and sublicense non-royalty payments, as applicable, for the amount we are obligated to pay, with adjustments as sales are made.</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Stock-Based Compensation Expense</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We maintain a stock-based compensation plan as a long-term incentive for employees and non-employee consultants. The plan allows for the issuance of incentive stock options and non-qualified stock options.</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We recognize stock-based compensation expense for stock options on a straight-line basis over the requisite service period, which is the vesting period of the awards. Our stock-based compensation expense is based upon the grant date fair value of stock options estimated using the Black-Scholes option pricing model. The Black-Scholes option pricing model requires the use of highly subjective assumptions to determine the fair value of our stock options.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Estimating the fair value of stock options as of the grant date using the Black-Scholes option pricing model is affected by assumptions regarding a number of variables. Changes in the assumptions can materially affect the fair value and ultimately how much stock-based compensation expense is recognized. Several of these inputs are subjective and require judgment to develop, including the fair value of our common stock for grants made prior to our initial public offering and expected volatility. We will continue to use judgment in evaluating these inputs utilized for our stock-based compensation expense calculations on a prospective basis.</w:t>
      </w:r>
    </w:p>
    <w:p>
      <w:pPr>
        <w:pStyle w:val="TextBody"/>
        <w:bidi w:val="0"/>
        <w:spacing w:before="0" w:after="0"/>
        <w:ind w:left="0" w:right="0" w:hanging="0"/>
        <w:jc w:val="left"/>
        <w:rPr/>
      </w:pPr>
      <w:r>
        <w:rPr/>
        <w:t>​</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JOBS Act and Emerging Growth Company Status</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As an emerging growth company under the JOBS Act, we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use the extended transition period for complying with new or revised accounting standards and as a result of this election, our financial statements may not be comparable to companies that comply with public company effective dates. We intend to rely on other exemptions provided by the JOBS Act, including without limitation, not being required to comply with the auditor attestation requirements of Section 404(b) of Sarbanes-Oxley.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will remain an emerging growth company until the earliest of (i) the last day of the fiscal year following the fifth anniversary of the consummation of </w:t>
      </w:r>
      <w:r>
        <w:rPr>
          <w:rFonts w:ascii="Times New Roman;Times;serif" w:hAnsi="Times New Roman;Times;serif"/>
          <w:sz w:val="20"/>
          <w:shd w:fill="FFFFFF" w:val="clear"/>
        </w:rPr>
        <w:t>our initial public offering</w:t>
      </w:r>
      <w:r>
        <w:rPr>
          <w:rFonts w:ascii="Times New Roman;Times;serif" w:hAnsi="Times New Roman;Times;serif"/>
          <w:sz w:val="20"/>
        </w:rPr>
        <w:t xml:space="preserve">, (ii) the last day of the fiscal year in which we have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138</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total annual gross revenue of at least $1.235 billion, (iii) the last day of the fiscal year in which we are deemed to be a “large accelerated filer” as defined in Rule 12b-2 under the Exchange Act, which would occur if, among other factors, the market value of our common stock held by non-affiliates exceeded $700.0 million as of the last business day of the second fiscal quarter of such year (subject to certain conditions), or (iv) the date on which we have issued more than $1.0 billion in non-convertible debt securities during the prior three-year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r>
        <w:rPr>
          <w:rFonts w:ascii="Times New Roman;Times;serif" w:hAnsi="Times New Roman;Times;serif"/>
          <w:sz w:val="20"/>
          <w:shd w:fill="FFFF00" w:val="clear"/>
        </w:rPr>
        <w:t xml:space="preserve"> </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 description of recent accounting pronouncements that may potentially impact our financial position, results of operations or cash flows is disclosed in Note 3 to our accompanying financial statements appearing elsewhere in this Annual Report.</w:t>
      </w:r>
    </w:p>
    <w:p>
      <w:pPr>
        <w:pStyle w:val="TextBody"/>
        <w:bidi w:val="0"/>
        <w:spacing w:before="0" w:after="0"/>
        <w:ind w:left="0" w:right="0" w:hanging="0"/>
        <w:jc w:val="left"/>
        <w:rPr/>
      </w:pPr>
      <w:r>
        <w:rPr/>
        <w:t>​</w:t>
      </w:r>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Item 7A. Quantitative and Qualitative Disclosures About Market Risk</w:t>
      </w:r>
      <w:bookmarkStart w:id="18" w:name="Item7AQuantitativeandQualitativeDisclosu"/>
      <w:bookmarkEnd w:id="18"/>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Interest Rate Risk</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Our cash and cash equivalents consist of cash held in an interest-bearing savings account and money market account. As a result, we believe that our exposure to interest rate risk is not significant, and a hypothetical 1.0% change in market interest rates during any of the periods presented would not have had a material impact on the total value of our portfolio.</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Foreign Currency</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We do not regularly incur any material expenses with vendors outside the United States or that are denominated in currencies other than the U.S. dollar. We may incur such expenses in the future at which point exchange rate fluctuations might adversely affect our expenses, results of operations, financial position and cash flows. To date, exchange rate fluctuations have not had a material effect on our results of operations.</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Effects of Inflation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Inflation generally affects us by increasing our cost of labor and clinical trial costs. We do not believe inflation has had a material effect on our results of operations during the periods presented and do not anticipate a material impact going forward.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8. Financial Statements and Supplementary Data</w:t>
      </w:r>
    </w:p>
    <w:p>
      <w:pPr>
        <w:pStyle w:val="TextBody"/>
        <w:bidi w:val="0"/>
        <w:spacing w:before="0" w:after="0"/>
        <w:ind w:left="0" w:right="0" w:hanging="0"/>
        <w:jc w:val="left"/>
        <w:rPr/>
      </w:pPr>
      <w:bookmarkStart w:id="19" w:name="Item8FinancialStatementsandSupplementary"/>
      <w:bookmarkEnd w:id="19"/>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139</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INDEX TO FINANCIAL STATEMENTS</w:t>
      </w:r>
      <w:bookmarkStart w:id="20" w:name="INDEXTOCONSOLIDATEDFINANCIALSTATEMENTS_3"/>
      <w:bookmarkEnd w:id="20"/>
    </w:p>
    <w:tbl>
      <w:tblPr>
        <w:tblW w:w="10205" w:type="dxa"/>
        <w:jc w:val="center"/>
        <w:tblInd w:w="0" w:type="dxa"/>
        <w:tblLayout w:type="fixed"/>
        <w:tblCellMar>
          <w:top w:w="0" w:type="dxa"/>
          <w:left w:w="0" w:type="dxa"/>
          <w:bottom w:w="0" w:type="dxa"/>
          <w:right w:w="0" w:type="dxa"/>
        </w:tblCellMar>
      </w:tblPr>
      <w:tblGrid>
        <w:gridCol w:w="9368"/>
        <w:gridCol w:w="326"/>
        <w:gridCol w:w="511"/>
      </w:tblGrid>
      <w:tr>
        <w:trPr/>
        <w:tc>
          <w:tcPr>
            <w:tcW w:w="93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9368" w:type="dxa"/>
            <w:tcBorders/>
            <w:vAlign w:val="center"/>
          </w:tcPr>
          <w:p>
            <w:pPr>
              <w:pStyle w:val="TableContents"/>
              <w:pBdr/>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(KPMG LLP, Philadelphia, PA, Audit Firm ID: 185)</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F-2</w:t>
            </w:r>
          </w:p>
        </w:tc>
      </w:tr>
      <w:tr>
        <w:trPr/>
        <w:tc>
          <w:tcPr>
            <w:tcW w:w="9368"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368" w:type="dxa"/>
            <w:tcBorders/>
            <w:vAlign w:val="center"/>
          </w:tcPr>
          <w:p>
            <w:pPr>
              <w:pStyle w:val="TableContents"/>
              <w:pBdr/>
              <w:bidi w:val="0"/>
              <w:spacing w:before="0" w:after="0"/>
              <w:ind w:left="0" w:right="0" w:hanging="0"/>
              <w:jc w:val="left"/>
              <w:rPr/>
            </w:pPr>
            <w:hyperlink w:anchor="BALANCESHEETS_194585">
              <w:r>
                <w:rPr>
                  <w:rStyle w:val="InternetLink"/>
                  <w:rFonts w:ascii="Times New Roman;Times;serif" w:hAnsi="Times New Roman;Times;serif"/>
                  <w:b w:val="false"/>
                  <w:i w:val="false"/>
                  <w:caps w:val="false"/>
                  <w:smallCaps w:val="false"/>
                  <w:sz w:val="20"/>
                </w:rPr>
                <w:t>Balance Sheets as of December 31, 2023 and 2022</w:t>
              </w:r>
            </w:hyperlink>
          </w:p>
        </w:tc>
        <w:tc>
          <w:tcPr>
            <w:tcW w:w="326"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F-3</w:t>
            </w:r>
          </w:p>
        </w:tc>
      </w:tr>
      <w:tr>
        <w:trPr/>
        <w:tc>
          <w:tcPr>
            <w:tcW w:w="93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368" w:type="dxa"/>
            <w:tcBorders/>
            <w:vAlign w:val="center"/>
          </w:tcPr>
          <w:p>
            <w:pPr>
              <w:pStyle w:val="TableContents"/>
              <w:bidi w:val="0"/>
              <w:spacing w:before="0" w:after="0"/>
              <w:ind w:left="0" w:right="0" w:hanging="0"/>
              <w:jc w:val="left"/>
              <w:rPr/>
            </w:pPr>
            <w:hyperlink w:anchor="STATEMENTSOFOPERATIONS_606465">
              <w:r>
                <w:rPr>
                  <w:rStyle w:val="InternetLink"/>
                  <w:rFonts w:ascii="Times New Roman;Times;serif" w:hAnsi="Times New Roman;Times;serif"/>
                  <w:b w:val="false"/>
                  <w:i w:val="false"/>
                  <w:caps w:val="false"/>
                  <w:smallCaps w:val="false"/>
                  <w:sz w:val="20"/>
                </w:rPr>
                <w:t>Statements of Operations for the Years Ended December 31, 2023 and 2022</w:t>
              </w:r>
            </w:hyperlink>
          </w:p>
        </w:tc>
        <w:tc>
          <w:tcPr>
            <w:tcW w:w="326"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F-4</w:t>
            </w:r>
          </w:p>
        </w:tc>
      </w:tr>
      <w:tr>
        <w:trPr/>
        <w:tc>
          <w:tcPr>
            <w:tcW w:w="93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368" w:type="dxa"/>
            <w:tcBorders/>
            <w:vAlign w:val="center"/>
          </w:tcPr>
          <w:p>
            <w:pPr>
              <w:pStyle w:val="TableContents"/>
              <w:bidi w:val="0"/>
              <w:spacing w:before="0" w:after="0"/>
              <w:ind w:left="0" w:right="0" w:hanging="0"/>
              <w:jc w:val="left"/>
              <w:rPr/>
            </w:pPr>
            <w:hyperlink w:anchor="STATEMENTSOFCONVERTIBLEPREFERREDSTOCKAND">
              <w:r>
                <w:rPr>
                  <w:rStyle w:val="InternetLink"/>
                  <w:rFonts w:ascii="Times New Roman;Times;serif" w:hAnsi="Times New Roman;Times;serif"/>
                  <w:b w:val="false"/>
                  <w:i w:val="false"/>
                  <w:caps w:val="false"/>
                  <w:smallCaps w:val="false"/>
                  <w:sz w:val="20"/>
                </w:rPr>
                <w:t>Statements of Convertible Preferred Stock and Stockholders’ Equity (Deficit) for the Years Ended December 31, 2023 and 2022</w:t>
              </w:r>
            </w:hyperlink>
          </w:p>
        </w:tc>
        <w:tc>
          <w:tcPr>
            <w:tcW w:w="326"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F-5</w:t>
            </w:r>
          </w:p>
        </w:tc>
      </w:tr>
      <w:tr>
        <w:trPr/>
        <w:tc>
          <w:tcPr>
            <w:tcW w:w="93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368" w:type="dxa"/>
            <w:tcBorders/>
            <w:vAlign w:val="center"/>
          </w:tcPr>
          <w:p>
            <w:pPr>
              <w:pStyle w:val="TableContents"/>
              <w:bidi w:val="0"/>
              <w:spacing w:before="0" w:after="0"/>
              <w:ind w:left="0" w:right="0" w:hanging="0"/>
              <w:jc w:val="left"/>
              <w:rPr/>
            </w:pPr>
            <w:hyperlink w:anchor="STATEMENTSOFCASHFLOWS_912223">
              <w:r>
                <w:rPr>
                  <w:rStyle w:val="InternetLink"/>
                  <w:rFonts w:ascii="Times New Roman;Times;serif" w:hAnsi="Times New Roman;Times;serif"/>
                  <w:b w:val="false"/>
                  <w:i w:val="false"/>
                  <w:caps w:val="false"/>
                  <w:smallCaps w:val="false"/>
                  <w:sz w:val="20"/>
                </w:rPr>
                <w:t>Statements of Cash Flows for the Years Ended December 31, 2023 and 2022</w:t>
              </w:r>
            </w:hyperlink>
          </w:p>
        </w:tc>
        <w:tc>
          <w:tcPr>
            <w:tcW w:w="326"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F-6</w:t>
            </w:r>
          </w:p>
        </w:tc>
      </w:tr>
      <w:tr>
        <w:trPr/>
        <w:tc>
          <w:tcPr>
            <w:tcW w:w="93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368" w:type="dxa"/>
            <w:tcBorders/>
            <w:vAlign w:val="center"/>
          </w:tcPr>
          <w:p>
            <w:pPr>
              <w:pStyle w:val="TableContents"/>
              <w:pBdr/>
              <w:bidi w:val="0"/>
              <w:spacing w:before="0" w:after="0"/>
              <w:ind w:left="0" w:right="0" w:hanging="0"/>
              <w:jc w:val="left"/>
              <w:rPr/>
            </w:pPr>
            <w:hyperlink w:anchor="Notes">
              <w:r>
                <w:rPr>
                  <w:rStyle w:val="InternetLink"/>
                  <w:rFonts w:ascii="Times New Roman;Times;serif" w:hAnsi="Times New Roman;Times;serif"/>
                  <w:b w:val="false"/>
                  <w:i w:val="false"/>
                  <w:caps w:val="false"/>
                  <w:smallCaps w:val="false"/>
                  <w:sz w:val="20"/>
                </w:rPr>
                <w:t>Notes to Financial Statements</w:t>
              </w:r>
            </w:hyperlink>
          </w:p>
        </w:tc>
        <w:tc>
          <w:tcPr>
            <w:tcW w:w="326"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F-7</w:t>
            </w:r>
          </w:p>
        </w:tc>
      </w:tr>
      <w:tr>
        <w:trPr/>
        <w:tc>
          <w:tcPr>
            <w:tcW w:w="9368"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368"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0"/>
        <w:ind w:left="0" w:right="0" w:hanging="0"/>
        <w:jc w:val="center"/>
        <w:rPr>
          <w:rFonts w:ascii="Times New Roman;Times;serif" w:hAnsi="Times New Roman;Times;serif"/>
          <w:b/>
          <w:sz w:val="20"/>
        </w:rPr>
      </w:pPr>
      <w:bookmarkStart w:id="21" w:name="REPORTOFINDEPENDENTREGISTEREDPUBLICACCOU"/>
      <w:bookmarkEnd w:id="21"/>
      <w:r>
        <w:rPr>
          <w:rFonts w:ascii="Times New Roman;Times;serif" w:hAnsi="Times New Roman;Times;serif"/>
          <w:b/>
          <w:sz w:val="20"/>
        </w:rPr>
        <w:t>Report of Independent Registered Public Accounting Firm</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To the Stockholders and Board of Directors</w:t>
        <w:br/>
        <w:t>ArriVent BioPharma, Inc.:</w:t>
      </w:r>
    </w:p>
    <w:p>
      <w:pPr>
        <w:pStyle w:val="TextBody"/>
        <w:bidi w:val="0"/>
        <w:spacing w:before="0" w:after="100"/>
        <w:ind w:left="0" w:right="0" w:hanging="0"/>
        <w:jc w:val="left"/>
        <w:rPr>
          <w:rFonts w:ascii="Times New Roman;Times;serif" w:hAnsi="Times New Roman;Times;serif"/>
          <w:i/>
          <w:sz w:val="20"/>
        </w:rPr>
      </w:pPr>
      <w:r>
        <w:rPr>
          <w:rFonts w:ascii="Times New Roman;Times;serif" w:hAnsi="Times New Roman;Times;serif"/>
          <w:i/>
          <w:sz w:val="20"/>
        </w:rPr>
        <w:t>Opinion on the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We have audited the accompanying balance sheets of ArriVent BioPharma, Inc. (the Company) as of December 31, 2023 and 2022, the related statements of operations, convertible preferred stock and stockholders’ equity (deficit), and cash flows for the years then ended and the related notes (collectively, the financial statements). In our opinion, the financial statements present fairly, in all material respects, the financial position of the Company as of December 31, 2023 and 2022, and the results of its operations and its cash flows for the years then ended, in conformity with U.S. generally accepted accounting principles.</w:t>
      </w:r>
    </w:p>
    <w:p>
      <w:pPr>
        <w:pStyle w:val="TextBody"/>
        <w:bidi w:val="0"/>
        <w:spacing w:before="0" w:after="100"/>
        <w:ind w:left="0" w:right="0" w:hanging="0"/>
        <w:jc w:val="left"/>
        <w:rPr>
          <w:rFonts w:ascii="Times New Roman;Times;serif" w:hAnsi="Times New Roman;Times;serif"/>
          <w:i/>
          <w:sz w:val="20"/>
        </w:rPr>
      </w:pPr>
      <w:r>
        <w:rPr>
          <w:rFonts w:ascii="Times New Roman;Times;serif" w:hAnsi="Times New Roman;Times;serif"/>
          <w:i/>
          <w:sz w:val="20"/>
        </w:rPr>
        <w:t>Basis for Opinion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 KPMG LLP</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2023</w:t>
      </w:r>
    </w:p>
    <w:p>
      <w:pPr>
        <w:pStyle w:val="TextBody"/>
        <w:bidi w:val="0"/>
        <w:spacing w:before="200" w:after="200"/>
        <w:ind w:left="0" w:right="0" w:hanging="0"/>
        <w:jc w:val="left"/>
        <w:rPr>
          <w:rFonts w:ascii="Times New Roman;Times;serif" w:hAnsi="Times New Roman;Times;serif"/>
          <w:sz w:val="20"/>
        </w:rPr>
      </w:pPr>
      <w:r>
        <w:rPr>
          <w:rFonts w:ascii="Times New Roman;Times;serif" w:hAnsi="Times New Roman;Times;serif"/>
          <w:sz w:val="20"/>
        </w:rPr>
        <w:t>Philadelphia, Pennsylvania</w:t>
        <w:br/>
        <w:t>March 28, 2024</w:t>
      </w:r>
    </w:p>
    <w:p>
      <w:pPr>
        <w:pStyle w:val="TextBody"/>
        <w:bidi w:val="0"/>
        <w:spacing w:before="0" w:after="240"/>
        <w:ind w:left="0" w:right="0" w:firstLine="360"/>
        <w:jc w:val="left"/>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BALANCE SHEETS</w:t>
      </w:r>
      <w:bookmarkStart w:id="22" w:name="BALANCESHEETS_194585"/>
      <w:bookmarkEnd w:id="22"/>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tbl>
      <w:tblPr>
        <w:tblW w:w="10205" w:type="dxa"/>
        <w:jc w:val="center"/>
        <w:tblInd w:w="0" w:type="dxa"/>
        <w:tblLayout w:type="fixed"/>
        <w:tblCellMar>
          <w:top w:w="0" w:type="dxa"/>
          <w:left w:w="0" w:type="dxa"/>
          <w:bottom w:w="0" w:type="dxa"/>
          <w:right w:w="0" w:type="dxa"/>
        </w:tblCellMar>
      </w:tblPr>
      <w:tblGrid>
        <w:gridCol w:w="7385"/>
        <w:gridCol w:w="326"/>
        <w:gridCol w:w="211"/>
        <w:gridCol w:w="859"/>
        <w:gridCol w:w="326"/>
        <w:gridCol w:w="211"/>
        <w:gridCol w:w="887"/>
      </w:tblGrid>
      <w:tr>
        <w:trPr/>
        <w:tc>
          <w:tcPr>
            <w:tcW w:w="73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45465" cy="175260"/>
                      <wp:effectExtent l="0" t="0" r="0" b="0"/>
                      <wp:wrapNone/>
                      <wp:docPr id="76" name="Frame49"/>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7"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8" name="Frame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563245" cy="175260"/>
                      <wp:effectExtent l="0" t="0" r="0" b="0"/>
                      <wp:wrapNone/>
                      <wp:docPr id="79" name="Frame52"/>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9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3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38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1070" w:type="dxa"/>
            <w:gridSpan w:val="2"/>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8" w:type="dxa"/>
            <w:gridSpan w:val="2"/>
            <w:tcBorders/>
            <w:shd w:fill="CCEEFF" w:val="clear"/>
            <w:vAlign w:val="center"/>
          </w:tcPr>
          <w:p>
            <w:pPr>
              <w:pStyle w:val="TableContents"/>
              <w:bidi w:val="0"/>
              <w:spacing w:before="0" w:after="0"/>
              <w:ind w:left="0" w:right="0" w:hanging="0"/>
              <w:jc w:val="center"/>
              <w:rPr/>
            </w:pPr>
            <w:r>
              <w:rPr/>
              <w:t>​</w:t>
            </w:r>
          </w:p>
        </w:tc>
      </w:tr>
      <w:tr>
        <w:trPr/>
        <w:tc>
          <w:tcPr>
            <w:tcW w:w="7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  </w:t>
            </w:r>
          </w:p>
        </w:tc>
      </w:tr>
      <w:tr>
        <w:trPr/>
        <w:tc>
          <w:tcPr>
            <w:tcW w:w="7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150,389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163,372</w:t>
            </w:r>
          </w:p>
        </w:tc>
      </w:tr>
      <w:tr>
        <w:trPr/>
        <w:tc>
          <w:tcPr>
            <w:tcW w:w="7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19,250</w:t>
            </w:r>
          </w:p>
        </w:tc>
      </w:tr>
      <w:tr>
        <w:trPr/>
        <w:tc>
          <w:tcPr>
            <w:tcW w:w="7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159,968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182,622</w:t>
            </w:r>
          </w:p>
        </w:tc>
      </w:tr>
      <w:tr>
        <w:trPr/>
        <w:tc>
          <w:tcPr>
            <w:tcW w:w="7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 of use assets – operating leases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7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offering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r>
      <w:tr>
        <w:trPr/>
        <w:tc>
          <w:tcPr>
            <w:tcW w:w="7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7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163,098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182,833</w:t>
            </w:r>
          </w:p>
        </w:tc>
      </w:tr>
      <w:tr>
        <w:trPr/>
        <w:tc>
          <w:tcPr>
            <w:tcW w:w="73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r>
      <w:tr>
        <w:trPr/>
        <w:tc>
          <w:tcPr>
            <w:tcW w:w="738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Convertible Preferred Stock and Stockholders’ (Deficit)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  </w:t>
            </w:r>
          </w:p>
        </w:tc>
      </w:tr>
      <w:tr>
        <w:trPr/>
        <w:tc>
          <w:tcPr>
            <w:tcW w:w="7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  </w:t>
            </w:r>
          </w:p>
        </w:tc>
      </w:tr>
      <w:tr>
        <w:trPr/>
        <w:tc>
          <w:tcPr>
            <w:tcW w:w="7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3,094</w:t>
            </w:r>
          </w:p>
        </w:tc>
      </w:tr>
      <w:tr>
        <w:trPr/>
        <w:tc>
          <w:tcPr>
            <w:tcW w:w="7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5,138</w:t>
            </w:r>
          </w:p>
        </w:tc>
      </w:tr>
      <w:tr>
        <w:trPr/>
        <w:tc>
          <w:tcPr>
            <w:tcW w:w="7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7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8,360</w:t>
            </w:r>
          </w:p>
        </w:tc>
      </w:tr>
      <w:tr>
        <w:trPr/>
        <w:tc>
          <w:tcPr>
            <w:tcW w:w="7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7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8,371</w:t>
            </w:r>
          </w:p>
        </w:tc>
      </w:tr>
      <w:tr>
        <w:trPr/>
        <w:tc>
          <w:tcPr>
            <w:tcW w:w="738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r>
      <w:tr>
        <w:trPr/>
        <w:tc>
          <w:tcPr>
            <w:tcW w:w="7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  </w:t>
            </w:r>
          </w:p>
        </w:tc>
      </w:tr>
      <w:tr>
        <w:trPr/>
        <w:tc>
          <w:tcPr>
            <w:tcW w:w="738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r>
      <w:tr>
        <w:trPr/>
        <w:tc>
          <w:tcPr>
            <w:tcW w:w="7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Series A convertible preferred stock $0.0001 par value, 150,000,000 shares authorized; 150,000,000 shares issued and outstanding at December 31, 2023 and 2022; liquidation preference of $150,000 at December 31, 2023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149,865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149,865</w:t>
            </w:r>
          </w:p>
        </w:tc>
      </w:tr>
      <w:tr>
        <w:trPr/>
        <w:tc>
          <w:tcPr>
            <w:tcW w:w="7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Series B convertible preferred stock $0.0001 par value, 147,619,034 shares authorized; 147,619,034 and 104,761,894 shares issued and outstanding at December 31, 2023 and 2022, respectively; liquidation preference of $155,000 at December 31, 2023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154,625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109,706</w:t>
            </w:r>
          </w:p>
        </w:tc>
      </w:tr>
      <w:tr>
        <w:trPr/>
        <w:tc>
          <w:tcPr>
            <w:tcW w:w="73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r>
      <w:tr>
        <w:trPr/>
        <w:tc>
          <w:tcPr>
            <w:tcW w:w="7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(deficit):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r>
      <w:tr>
        <w:trPr/>
        <w:tc>
          <w:tcPr>
            <w:tcW w:w="7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$0.0001 par value, 368,600,500 shares authorized; 2,745,480 and 2,597,738 shares issued and outstanding at December 31, 2023 and 2022, respectively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r>
      <w:tr>
        <w:trPr/>
        <w:tc>
          <w:tcPr>
            <w:tcW w:w="7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3,403</w:t>
            </w:r>
          </w:p>
        </w:tc>
      </w:tr>
      <w:tr>
        <w:trPr/>
        <w:tc>
          <w:tcPr>
            <w:tcW w:w="7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(157,845)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(88,512)</w:t>
            </w:r>
          </w:p>
        </w:tc>
      </w:tr>
      <w:tr>
        <w:trPr/>
        <w:tc>
          <w:tcPr>
            <w:tcW w:w="7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(deficit)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(153,193)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(85,109)</w:t>
            </w:r>
          </w:p>
        </w:tc>
      </w:tr>
      <w:tr>
        <w:trPr/>
        <w:tc>
          <w:tcPr>
            <w:tcW w:w="7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convertible preferred stock and stockholders’ (deficit)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163,098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182,833</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STATEMENTS OF OPERATIONS</w:t>
      </w:r>
      <w:bookmarkStart w:id="23" w:name="STATEMENTSOFOPERATIONS_606465"/>
      <w:bookmarkEnd w:id="23"/>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tbl>
      <w:tblPr>
        <w:tblW w:w="9132" w:type="dxa"/>
        <w:jc w:val="center"/>
        <w:tblInd w:w="0" w:type="dxa"/>
        <w:tblLayout w:type="fixed"/>
        <w:tblCellMar>
          <w:top w:w="0" w:type="dxa"/>
          <w:left w:w="0" w:type="dxa"/>
          <w:bottom w:w="0" w:type="dxa"/>
          <w:right w:w="0" w:type="dxa"/>
        </w:tblCellMar>
      </w:tblPr>
      <w:tblGrid>
        <w:gridCol w:w="6091"/>
        <w:gridCol w:w="326"/>
        <w:gridCol w:w="211"/>
        <w:gridCol w:w="931"/>
        <w:gridCol w:w="326"/>
        <w:gridCol w:w="211"/>
        <w:gridCol w:w="1036"/>
      </w:tblGrid>
      <w:tr>
        <w:trPr/>
        <w:tc>
          <w:tcPr>
            <w:tcW w:w="6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260"/>
                      <wp:effectExtent l="0" t="0" r="0" b="0"/>
                      <wp:wrapNone/>
                      <wp:docPr id="81" name="Frame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91185" cy="175260"/>
                      <wp:effectExtent l="0" t="0" r="0" b="0"/>
                      <wp:wrapNone/>
                      <wp:docPr id="82" name="Frame5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260"/>
                      <wp:effectExtent l="0" t="0" r="0" b="0"/>
                      <wp:wrapNone/>
                      <wp:docPr id="84" name="Frame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58495" cy="175260"/>
                      <wp:effectExtent l="0" t="0" r="0" b="0"/>
                      <wp:wrapNone/>
                      <wp:docPr id="85" name="Frame58"/>
                      <a:graphic xmlns:a="http://schemas.openxmlformats.org/drawingml/2006/main">
                        <a:graphicData uri="http://schemas.microsoft.com/office/word/2010/wordprocessingShape">
                          <wps:wsp>
                            <wps:cNvSpPr txBox="1"/>
                            <wps:spPr>
                              <a:xfrm>
                                <a:off x="0" y="0"/>
                                <a:ext cx="658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6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r>
      <w:tr>
        <w:trPr/>
        <w:tc>
          <w:tcPr>
            <w:tcW w:w="6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64,884</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30,433</w:t>
            </w:r>
          </w:p>
        </w:tc>
      </w:tr>
      <w:tr>
        <w:trPr/>
        <w:tc>
          <w:tcPr>
            <w:tcW w:w="6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6,473</w:t>
            </w:r>
          </w:p>
        </w:tc>
      </w:tr>
      <w:tr>
        <w:trPr/>
        <w:tc>
          <w:tcPr>
            <w:tcW w:w="6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74,590</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36,906</w:t>
            </w:r>
          </w:p>
        </w:tc>
      </w:tr>
      <w:tr>
        <w:trPr/>
        <w:tc>
          <w:tcPr>
            <w:tcW w:w="6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(74,590)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(36,906)</w:t>
            </w:r>
          </w:p>
        </w:tc>
      </w:tr>
      <w:tr>
        <w:trPr/>
        <w:tc>
          <w:tcPr>
            <w:tcW w:w="6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Interest income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(36,906)</w:t>
            </w:r>
          </w:p>
        </w:tc>
      </w:tr>
      <w:tr>
        <w:trPr/>
        <w:tc>
          <w:tcPr>
            <w:tcW w:w="6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6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information: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r>
      <w:tr>
        <w:trPr/>
        <w:tc>
          <w:tcPr>
            <w:tcW w:w="6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of common stock, basic and diluted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(28.90)</w:t>
            </w:r>
          </w:p>
        </w:tc>
      </w:tr>
      <w:tr>
        <w:trPr/>
        <w:tc>
          <w:tcPr>
            <w:tcW w:w="6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of common stock outstanding, basic and 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2,140,951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1,277,079</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STATEMENTS OF CONVERTIBLE PREFERRED STOCK AND STOCKHOLDERS’ EQUITY (DEFICIT)</w:t>
      </w:r>
      <w:bookmarkStart w:id="24" w:name="STATEMENTSOFCONVERTIBLEPREFERREDSTOCKAND"/>
      <w:bookmarkEnd w:id="24"/>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tbl>
      <w:tblPr>
        <w:tblW w:w="13587" w:type="dxa"/>
        <w:jc w:val="center"/>
        <w:tblInd w:w="0" w:type="dxa"/>
        <w:tblLayout w:type="fixed"/>
        <w:tblCellMar>
          <w:top w:w="0" w:type="dxa"/>
          <w:left w:w="0" w:type="dxa"/>
          <w:bottom w:w="0" w:type="dxa"/>
          <w:right w:w="0" w:type="dxa"/>
        </w:tblCellMar>
      </w:tblPr>
      <w:tblGrid>
        <w:gridCol w:w="1066"/>
        <w:gridCol w:w="206"/>
        <w:gridCol w:w="871"/>
        <w:gridCol w:w="206"/>
        <w:gridCol w:w="181"/>
        <w:gridCol w:w="601"/>
        <w:gridCol w:w="206"/>
        <w:gridCol w:w="871"/>
        <w:gridCol w:w="206"/>
        <w:gridCol w:w="181"/>
        <w:gridCol w:w="601"/>
        <w:gridCol w:w="206"/>
        <w:gridCol w:w="206"/>
        <w:gridCol w:w="858"/>
        <w:gridCol w:w="206"/>
        <w:gridCol w:w="181"/>
        <w:gridCol w:w="571"/>
        <w:gridCol w:w="206"/>
        <w:gridCol w:w="721"/>
        <w:gridCol w:w="206"/>
        <w:gridCol w:w="216"/>
        <w:gridCol w:w="415"/>
        <w:gridCol w:w="206"/>
        <w:gridCol w:w="324"/>
        <w:gridCol w:w="622"/>
        <w:gridCol w:w="206"/>
        <w:gridCol w:w="232"/>
        <w:gridCol w:w="579"/>
        <w:gridCol w:w="206"/>
        <w:gridCol w:w="207"/>
        <w:gridCol w:w="739"/>
        <w:gridCol w:w="206"/>
        <w:gridCol w:w="181"/>
        <w:gridCol w:w="691"/>
      </w:tblGrid>
      <w:tr>
        <w:trPr/>
        <w:tc>
          <w:tcPr>
            <w:tcW w:w="106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0810" cy="175260"/>
                      <wp:effectExtent l="0" t="0" r="0" b="0"/>
                      <wp:wrapNone/>
                      <wp:docPr id="86" name="Frame5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53085" cy="175260"/>
                      <wp:effectExtent l="0" t="0" r="0" b="0"/>
                      <wp:wrapNone/>
                      <wp:docPr id="87" name="Frame6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0810" cy="175260"/>
                      <wp:effectExtent l="0" t="0" r="0" b="0"/>
                      <wp:wrapNone/>
                      <wp:docPr id="88" name="Frame6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14935" cy="175260"/>
                      <wp:effectExtent l="0" t="0" r="0" b="0"/>
                      <wp:wrapNone/>
                      <wp:docPr id="89" name="Frame6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81635" cy="175260"/>
                      <wp:effectExtent l="0" t="0" r="0" b="0"/>
                      <wp:wrapNone/>
                      <wp:docPr id="90" name="Frame6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0810" cy="175260"/>
                      <wp:effectExtent l="0" t="0" r="0" b="0"/>
                      <wp:wrapNone/>
                      <wp:docPr id="91" name="Frame6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553085" cy="175260"/>
                      <wp:effectExtent l="0" t="0" r="0" b="0"/>
                      <wp:wrapNone/>
                      <wp:docPr id="92" name="Frame6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0810" cy="175260"/>
                      <wp:effectExtent l="0" t="0" r="0" b="0"/>
                      <wp:wrapNone/>
                      <wp:docPr id="93" name="Frame6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14935" cy="175260"/>
                      <wp:effectExtent l="0" t="0" r="0" b="0"/>
                      <wp:wrapNone/>
                      <wp:docPr id="94" name="Frame6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381635" cy="175260"/>
                      <wp:effectExtent l="0" t="0" r="0" b="0"/>
                      <wp:wrapNone/>
                      <wp:docPr id="95" name="Frame6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0810" cy="175260"/>
                      <wp:effectExtent l="0" t="0" r="0" b="0"/>
                      <wp:wrapNone/>
                      <wp:docPr id="96" name="Frame6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0810" cy="175260"/>
                      <wp:effectExtent l="0" t="0" r="0" b="0"/>
                      <wp:wrapNone/>
                      <wp:docPr id="97" name="Frame7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44830" cy="175260"/>
                      <wp:effectExtent l="0" t="0" r="0" b="0"/>
                      <wp:wrapNone/>
                      <wp:docPr id="98" name="Frame71"/>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0810" cy="175260"/>
                      <wp:effectExtent l="0" t="0" r="0" b="0"/>
                      <wp:wrapNone/>
                      <wp:docPr id="99" name="Frame7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14935" cy="175260"/>
                      <wp:effectExtent l="0" t="0" r="0" b="0"/>
                      <wp:wrapNone/>
                      <wp:docPr id="100" name="Frame7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362585" cy="175260"/>
                      <wp:effectExtent l="0" t="0" r="0" b="0"/>
                      <wp:wrapNone/>
                      <wp:docPr id="101" name="Frame7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0810" cy="175260"/>
                      <wp:effectExtent l="0" t="0" r="0" b="0"/>
                      <wp:wrapNone/>
                      <wp:docPr id="102" name="Frame7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57835" cy="175260"/>
                      <wp:effectExtent l="0" t="0" r="0" b="0"/>
                      <wp:wrapNone/>
                      <wp:docPr id="103" name="Frame7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0810" cy="175260"/>
                      <wp:effectExtent l="0" t="0" r="0" b="0"/>
                      <wp:wrapNone/>
                      <wp:docPr id="104" name="Frame7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7160" cy="175260"/>
                      <wp:effectExtent l="0" t="0" r="0" b="0"/>
                      <wp:wrapNone/>
                      <wp:docPr id="105" name="Frame78"/>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63525" cy="175260"/>
                      <wp:effectExtent l="0" t="0" r="0" b="0"/>
                      <wp:wrapNone/>
                      <wp:docPr id="106" name="Frame79"/>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0810" cy="175260"/>
                      <wp:effectExtent l="0" t="0" r="0" b="0"/>
                      <wp:wrapNone/>
                      <wp:docPr id="107" name="Frame8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5740" cy="175260"/>
                      <wp:effectExtent l="0" t="0" r="0" b="0"/>
                      <wp:wrapNone/>
                      <wp:docPr id="108" name="Frame81"/>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94970" cy="175260"/>
                      <wp:effectExtent l="0" t="0" r="0" b="0"/>
                      <wp:wrapNone/>
                      <wp:docPr id="109" name="Frame82"/>
                      <a:graphic xmlns:a="http://schemas.openxmlformats.org/drawingml/2006/main">
                        <a:graphicData uri="http://schemas.microsoft.com/office/word/2010/wordprocessingShape">
                          <wps:wsp>
                            <wps:cNvSpPr txBox="1"/>
                            <wps:spPr>
                              <a:xfrm>
                                <a:off x="0" y="0"/>
                                <a:ext cx="394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0810" cy="175260"/>
                      <wp:effectExtent l="0" t="0" r="0" b="0"/>
                      <wp:wrapNone/>
                      <wp:docPr id="110" name="Frame8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47320" cy="175260"/>
                      <wp:effectExtent l="0" t="0" r="0" b="0"/>
                      <wp:wrapNone/>
                      <wp:docPr id="111" name="Frame84"/>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367665" cy="175260"/>
                      <wp:effectExtent l="0" t="0" r="0" b="0"/>
                      <wp:wrapNone/>
                      <wp:docPr id="112" name="Frame85"/>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0810" cy="175260"/>
                      <wp:effectExtent l="0" t="0" r="0" b="0"/>
                      <wp:wrapNone/>
                      <wp:docPr id="113" name="Frame8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1445" cy="175260"/>
                      <wp:effectExtent l="0" t="0" r="0" b="0"/>
                      <wp:wrapNone/>
                      <wp:docPr id="114" name="Frame87"/>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69265" cy="175260"/>
                      <wp:effectExtent l="0" t="0" r="0" b="0"/>
                      <wp:wrapNone/>
                      <wp:docPr id="115" name="Frame88"/>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0810" cy="175260"/>
                      <wp:effectExtent l="0" t="0" r="0" b="0"/>
                      <wp:wrapNone/>
                      <wp:docPr id="116" name="Frame8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14935" cy="175260"/>
                      <wp:effectExtent l="0" t="0" r="0" b="0"/>
                      <wp:wrapNone/>
                      <wp:docPr id="117" name="Frame9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38785" cy="175260"/>
                      <wp:effectExtent l="0" t="0" r="0" b="0"/>
                      <wp:wrapNone/>
                      <wp:docPr id="118" name="Frame9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6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859" w:type="dxa"/>
            <w:gridSpan w:val="4"/>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Series A</w:t>
            </w:r>
          </w:p>
        </w:tc>
        <w:tc>
          <w:tcPr>
            <w:tcW w:w="206" w:type="dxa"/>
            <w:tcBorders/>
            <w:vAlign w:val="center"/>
          </w:tcPr>
          <w:p>
            <w:pPr>
              <w:pStyle w:val="TableContents"/>
              <w:bidi w:val="0"/>
              <w:spacing w:before="0" w:after="0"/>
              <w:ind w:left="0" w:right="0" w:hanging="0"/>
              <w:jc w:val="left"/>
              <w:rPr/>
            </w:pPr>
            <w:r>
              <w:rPr/>
              <w:t>​</w:t>
            </w:r>
          </w:p>
        </w:tc>
        <w:tc>
          <w:tcPr>
            <w:tcW w:w="1859" w:type="dxa"/>
            <w:gridSpan w:val="4"/>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Series B</w:t>
            </w:r>
          </w:p>
        </w:tc>
        <w:tc>
          <w:tcPr>
            <w:tcW w:w="20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816" w:type="dxa"/>
            <w:gridSpan w:val="4"/>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Series A</w:t>
            </w:r>
          </w:p>
        </w:tc>
        <w:tc>
          <w:tcPr>
            <w:tcW w:w="20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Additional</w:t>
            </w:r>
          </w:p>
        </w:tc>
        <w:tc>
          <w:tcPr>
            <w:tcW w:w="20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center"/>
              <w:rPr/>
            </w:pPr>
            <w:r>
              <w:rPr/>
              <w:t>​</w:t>
            </w:r>
          </w:p>
        </w:tc>
      </w:tr>
      <w:tr>
        <w:trPr/>
        <w:tc>
          <w:tcPr>
            <w:tcW w:w="106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8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convertible preferred stock</w:t>
            </w:r>
          </w:p>
        </w:tc>
        <w:tc>
          <w:tcPr>
            <w:tcW w:w="206" w:type="dxa"/>
            <w:tcBorders/>
            <w:vAlign w:val="center"/>
          </w:tcPr>
          <w:p>
            <w:pPr>
              <w:pStyle w:val="TableContents"/>
              <w:bidi w:val="0"/>
              <w:spacing w:before="0" w:after="0"/>
              <w:ind w:left="0" w:right="0" w:hanging="0"/>
              <w:jc w:val="left"/>
              <w:rPr/>
            </w:pPr>
            <w:r>
              <w:rPr/>
              <w:t>​</w:t>
            </w:r>
          </w:p>
        </w:tc>
        <w:tc>
          <w:tcPr>
            <w:tcW w:w="18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convertible preferred stock</w:t>
            </w:r>
          </w:p>
        </w:tc>
        <w:tc>
          <w:tcPr>
            <w:tcW w:w="20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81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convertible preferred stock</w:t>
            </w:r>
          </w:p>
        </w:tc>
        <w:tc>
          <w:tcPr>
            <w:tcW w:w="206" w:type="dxa"/>
            <w:tcBorders/>
            <w:vAlign w:val="center"/>
          </w:tcPr>
          <w:p>
            <w:pPr>
              <w:pStyle w:val="TableContents"/>
              <w:bidi w:val="0"/>
              <w:spacing w:before="0" w:after="0"/>
              <w:ind w:left="0" w:right="0" w:hanging="0"/>
              <w:jc w:val="left"/>
              <w:rPr/>
            </w:pPr>
            <w:r>
              <w:rPr/>
              <w:t>​</w:t>
            </w:r>
          </w:p>
        </w:tc>
        <w:tc>
          <w:tcPr>
            <w:tcW w:w="155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 stock</w:t>
            </w:r>
          </w:p>
        </w:tc>
        <w:tc>
          <w:tcPr>
            <w:tcW w:w="20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 xml:space="preserve">Subscription </w:t>
            </w:r>
          </w:p>
        </w:tc>
        <w:tc>
          <w:tcPr>
            <w:tcW w:w="206" w:type="dxa"/>
            <w:tcBorders/>
            <w:vAlign w:val="center"/>
          </w:tcPr>
          <w:p>
            <w:pPr>
              <w:pStyle w:val="TableContents"/>
              <w:bidi w:val="0"/>
              <w:spacing w:before="0" w:after="0"/>
              <w:ind w:left="0" w:right="0" w:hanging="0"/>
              <w:jc w:val="left"/>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paid-in</w:t>
            </w:r>
          </w:p>
        </w:tc>
        <w:tc>
          <w:tcPr>
            <w:tcW w:w="20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20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center"/>
              <w:rPr/>
            </w:pPr>
            <w:r>
              <w:rPr/>
              <w:t>​</w:t>
            </w:r>
          </w:p>
        </w:tc>
      </w:tr>
      <w:tr>
        <w:trPr/>
        <w:tc>
          <w:tcPr>
            <w:tcW w:w="106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20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20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20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206" w:type="dxa"/>
            <w:tcBorders>
              <w:right w:val="single" w:sz="2" w:space="0" w:color="000000"/>
            </w:tcBorders>
            <w:tcMar>
              <w:right w:w="28" w:type="dxa"/>
            </w:tcMar>
            <w:vAlign w:val="center"/>
          </w:tcPr>
          <w:p>
            <w:pPr>
              <w:pStyle w:val="TableContents"/>
              <w:bidi w:val="0"/>
              <w:spacing w:before="0" w:after="0"/>
              <w:ind w:left="0" w:right="0" w:hanging="0"/>
              <w:jc w:val="left"/>
              <w:rPr/>
            </w:pPr>
            <w:r>
              <w:rPr/>
              <w:t>  </w:t>
            </w:r>
          </w:p>
        </w:tc>
        <w:tc>
          <w:tcPr>
            <w:tcW w:w="206"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85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206" w:type="dxa"/>
            <w:tcBorders/>
            <w:vAlign w:val="center"/>
          </w:tcPr>
          <w:p>
            <w:pPr>
              <w:pStyle w:val="TableContents"/>
              <w:bidi w:val="0"/>
              <w:spacing w:before="0" w:after="0"/>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20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206" w:type="dxa"/>
            <w:tcBorders/>
            <w:vAlign w:val="center"/>
          </w:tcPr>
          <w:p>
            <w:pPr>
              <w:pStyle w:val="TableContents"/>
              <w:bidi w:val="0"/>
              <w:spacing w:before="0" w:after="0"/>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206" w:type="dxa"/>
            <w:tcBorders/>
            <w:vAlign w:val="center"/>
          </w:tcPr>
          <w:p>
            <w:pPr>
              <w:pStyle w:val="TableContents"/>
              <w:bidi w:val="0"/>
              <w:spacing w:before="0" w:after="0"/>
              <w:ind w:left="0" w:right="0" w:hanging="0"/>
              <w:jc w:val="left"/>
              <w:rPr/>
            </w:pPr>
            <w:r>
              <w:rPr/>
              <w:t>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receivable</w:t>
            </w:r>
          </w:p>
        </w:tc>
        <w:tc>
          <w:tcPr>
            <w:tcW w:w="206" w:type="dxa"/>
            <w:tcBorders/>
            <w:vAlign w:val="center"/>
          </w:tcPr>
          <w:p>
            <w:pPr>
              <w:pStyle w:val="TableContents"/>
              <w:bidi w:val="0"/>
              <w:spacing w:before="0" w:after="0"/>
              <w:ind w:left="0" w:right="0" w:hanging="0"/>
              <w:jc w:val="left"/>
              <w:rPr/>
            </w:pPr>
            <w:r>
              <w:rPr/>
              <w:t>  </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capital</w:t>
            </w:r>
          </w:p>
        </w:tc>
        <w:tc>
          <w:tcPr>
            <w:tcW w:w="206" w:type="dxa"/>
            <w:tcBorders/>
            <w:vAlign w:val="center"/>
          </w:tcPr>
          <w:p>
            <w:pPr>
              <w:pStyle w:val="TableContents"/>
              <w:bidi w:val="0"/>
              <w:spacing w:before="0" w:after="0"/>
              <w:ind w:left="0" w:right="0" w:hanging="0"/>
              <w:jc w:val="left"/>
              <w:rPr/>
            </w:pPr>
            <w:r>
              <w:rPr/>
              <w:t>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deficit</w:t>
            </w:r>
          </w:p>
        </w:tc>
        <w:tc>
          <w:tcPr>
            <w:tcW w:w="206" w:type="dxa"/>
            <w:tcBorders/>
            <w:vAlign w:val="center"/>
          </w:tcPr>
          <w:p>
            <w:pPr>
              <w:pStyle w:val="TableContents"/>
              <w:bidi w:val="0"/>
              <w:spacing w:before="0" w:after="0"/>
              <w:ind w:left="0" w:right="0" w:hanging="0"/>
              <w:jc w:val="left"/>
              <w:rPr/>
            </w:pPr>
            <w:r>
              <w:rPr/>
              <w:t>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10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January 1, 2022</w:t>
            </w:r>
          </w:p>
        </w:tc>
        <w:tc>
          <w:tcPr>
            <w:tcW w:w="20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 </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90,000,000</w:t>
            </w:r>
          </w:p>
        </w:tc>
        <w:tc>
          <w:tcPr>
            <w:tcW w:w="20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89,865</w:t>
            </w:r>
          </w:p>
        </w:tc>
        <w:tc>
          <w:tcPr>
            <w:tcW w:w="20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2,591,164</w:t>
            </w:r>
          </w:p>
        </w:tc>
        <w:tc>
          <w:tcPr>
            <w:tcW w:w="20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w:t>
            </w:r>
          </w:p>
        </w:tc>
        <w:tc>
          <w:tcPr>
            <w:tcW w:w="20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2,964</w:t>
            </w:r>
          </w:p>
        </w:tc>
        <w:tc>
          <w:tcPr>
            <w:tcW w:w="20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(51,606)</w:t>
            </w:r>
          </w:p>
        </w:tc>
        <w:tc>
          <w:tcPr>
            <w:tcW w:w="20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41,221</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Issuance of Series A convertible preferred stock at $1.00 per share</w:t>
            </w:r>
          </w:p>
        </w:tc>
        <w:tc>
          <w:tcPr>
            <w:tcW w:w="20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60,000,000</w:t>
            </w:r>
          </w:p>
        </w:tc>
        <w:tc>
          <w:tcPr>
            <w:tcW w:w="20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60,000</w:t>
            </w:r>
          </w:p>
        </w:tc>
        <w:tc>
          <w:tcPr>
            <w:tcW w:w="20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r>
      <w:tr>
        <w:trPr/>
        <w:tc>
          <w:tcPr>
            <w:tcW w:w="10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Issuance of Series B convertible preferred stock at $1.05 per share, net of issuance costs of $294</w:t>
            </w:r>
          </w:p>
        </w:tc>
        <w:tc>
          <w:tcPr>
            <w:tcW w:w="20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104,761,894</w:t>
            </w:r>
          </w:p>
        </w:tc>
        <w:tc>
          <w:tcPr>
            <w:tcW w:w="20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109,706</w:t>
            </w:r>
          </w:p>
        </w:tc>
        <w:tc>
          <w:tcPr>
            <w:tcW w:w="20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 </w:t>
            </w:r>
          </w:p>
        </w:tc>
        <w:tc>
          <w:tcPr>
            <w:tcW w:w="858"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415"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622"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 </w:t>
            </w:r>
          </w:p>
        </w:tc>
        <w:tc>
          <w:tcPr>
            <w:tcW w:w="73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Reclassification of Series A convertible preferred stock</w:t>
            </w:r>
          </w:p>
        </w:tc>
        <w:tc>
          <w:tcPr>
            <w:tcW w:w="20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90,000,000</w:t>
            </w:r>
          </w:p>
        </w:tc>
        <w:tc>
          <w:tcPr>
            <w:tcW w:w="20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89,865</w:t>
            </w:r>
          </w:p>
        </w:tc>
        <w:tc>
          <w:tcPr>
            <w:tcW w:w="20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(90,000,000)</w:t>
            </w:r>
          </w:p>
        </w:tc>
        <w:tc>
          <w:tcPr>
            <w:tcW w:w="20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(89,865)</w:t>
            </w:r>
          </w:p>
        </w:tc>
        <w:tc>
          <w:tcPr>
            <w:tcW w:w="20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(89,865)</w:t>
            </w:r>
          </w:p>
        </w:tc>
      </w:tr>
      <w:tr>
        <w:trPr/>
        <w:tc>
          <w:tcPr>
            <w:tcW w:w="10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Payment of subscription receivable</w:t>
            </w:r>
          </w:p>
        </w:tc>
        <w:tc>
          <w:tcPr>
            <w:tcW w:w="20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6,574</w:t>
            </w:r>
          </w:p>
        </w:tc>
        <w:tc>
          <w:tcPr>
            <w:tcW w:w="20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415"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w:t>
            </w:r>
          </w:p>
        </w:tc>
        <w:tc>
          <w:tcPr>
            <w:tcW w:w="20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57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Exercise of stock options</w:t>
            </w:r>
          </w:p>
        </w:tc>
        <w:tc>
          <w:tcPr>
            <w:tcW w:w="20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w:t>
            </w:r>
          </w:p>
        </w:tc>
        <w:tc>
          <w:tcPr>
            <w:tcW w:w="20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w:t>
            </w:r>
          </w:p>
        </w:tc>
      </w:tr>
      <w:tr>
        <w:trPr/>
        <w:tc>
          <w:tcPr>
            <w:tcW w:w="10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 expense</w:t>
            </w:r>
          </w:p>
        </w:tc>
        <w:tc>
          <w:tcPr>
            <w:tcW w:w="20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 </w:t>
            </w:r>
          </w:p>
        </w:tc>
        <w:tc>
          <w:tcPr>
            <w:tcW w:w="858"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415"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622"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424</w:t>
            </w:r>
          </w:p>
        </w:tc>
        <w:tc>
          <w:tcPr>
            <w:tcW w:w="20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 </w:t>
            </w:r>
          </w:p>
        </w:tc>
        <w:tc>
          <w:tcPr>
            <w:tcW w:w="73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424</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loss</w:t>
            </w:r>
          </w:p>
        </w:tc>
        <w:tc>
          <w:tcPr>
            <w:tcW w:w="20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85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1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(36,906)</w:t>
            </w:r>
          </w:p>
        </w:tc>
        <w:tc>
          <w:tcPr>
            <w:tcW w:w="20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(36,906)</w:t>
            </w:r>
          </w:p>
        </w:tc>
      </w:tr>
      <w:tr>
        <w:trPr/>
        <w:tc>
          <w:tcPr>
            <w:tcW w:w="10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December 31, 2022</w:t>
            </w:r>
          </w:p>
        </w:tc>
        <w:tc>
          <w:tcPr>
            <w:tcW w:w="20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150,000,000</w:t>
            </w:r>
          </w:p>
        </w:tc>
        <w:tc>
          <w:tcPr>
            <w:tcW w:w="20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149,865</w:t>
            </w:r>
          </w:p>
        </w:tc>
        <w:tc>
          <w:tcPr>
            <w:tcW w:w="20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104,761,894</w:t>
            </w:r>
          </w:p>
        </w:tc>
        <w:tc>
          <w:tcPr>
            <w:tcW w:w="20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109,706</w:t>
            </w:r>
          </w:p>
        </w:tc>
        <w:tc>
          <w:tcPr>
            <w:tcW w:w="20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 </w:t>
            </w:r>
          </w:p>
        </w:tc>
        <w:tc>
          <w:tcPr>
            <w:tcW w:w="858"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2,597,738</w:t>
            </w:r>
          </w:p>
        </w:tc>
        <w:tc>
          <w:tcPr>
            <w:tcW w:w="20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622"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3,403</w:t>
            </w:r>
          </w:p>
        </w:tc>
        <w:tc>
          <w:tcPr>
            <w:tcW w:w="20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(88,512)</w:t>
            </w:r>
          </w:p>
        </w:tc>
        <w:tc>
          <w:tcPr>
            <w:tcW w:w="20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(85,109)</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Issuance of Series B convertible preferred stock at $1.05 per share, net of issuance costs of $81</w:t>
            </w:r>
          </w:p>
        </w:tc>
        <w:tc>
          <w:tcPr>
            <w:tcW w:w="20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42,857,140</w:t>
            </w:r>
          </w:p>
        </w:tc>
        <w:tc>
          <w:tcPr>
            <w:tcW w:w="20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44,919</w:t>
            </w:r>
          </w:p>
        </w:tc>
        <w:tc>
          <w:tcPr>
            <w:tcW w:w="20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r>
      <w:tr>
        <w:trPr/>
        <w:tc>
          <w:tcPr>
            <w:tcW w:w="10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Repurchase of common stock</w:t>
            </w:r>
          </w:p>
        </w:tc>
        <w:tc>
          <w:tcPr>
            <w:tcW w:w="20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(7,387)</w:t>
            </w:r>
          </w:p>
        </w:tc>
        <w:tc>
          <w:tcPr>
            <w:tcW w:w="20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415"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622"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57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Exercise of stock options</w:t>
            </w:r>
          </w:p>
        </w:tc>
        <w:tc>
          <w:tcPr>
            <w:tcW w:w="20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155,129</w:t>
            </w:r>
          </w:p>
        </w:tc>
        <w:tc>
          <w:tcPr>
            <w:tcW w:w="20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354</w:t>
            </w:r>
          </w:p>
        </w:tc>
        <w:tc>
          <w:tcPr>
            <w:tcW w:w="20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354</w:t>
            </w:r>
          </w:p>
        </w:tc>
      </w:tr>
      <w:tr>
        <w:trPr/>
        <w:tc>
          <w:tcPr>
            <w:tcW w:w="10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 expense</w:t>
            </w:r>
          </w:p>
        </w:tc>
        <w:tc>
          <w:tcPr>
            <w:tcW w:w="20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 </w:t>
            </w:r>
          </w:p>
        </w:tc>
        <w:tc>
          <w:tcPr>
            <w:tcW w:w="858"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415"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622"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895</w:t>
            </w:r>
          </w:p>
        </w:tc>
        <w:tc>
          <w:tcPr>
            <w:tcW w:w="20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 </w:t>
            </w:r>
          </w:p>
        </w:tc>
        <w:tc>
          <w:tcPr>
            <w:tcW w:w="73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895</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loss</w:t>
            </w:r>
          </w:p>
        </w:tc>
        <w:tc>
          <w:tcPr>
            <w:tcW w:w="20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85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1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(69,333)</w:t>
            </w:r>
          </w:p>
        </w:tc>
        <w:tc>
          <w:tcPr>
            <w:tcW w:w="20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(69,333)</w:t>
            </w:r>
          </w:p>
        </w:tc>
      </w:tr>
      <w:tr>
        <w:trPr/>
        <w:tc>
          <w:tcPr>
            <w:tcW w:w="10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December 31, 2023</w:t>
            </w:r>
          </w:p>
        </w:tc>
        <w:tc>
          <w:tcPr>
            <w:tcW w:w="206" w:type="dxa"/>
            <w:tcBorders/>
            <w:shd w:fill="CCEEFF" w:val="clear"/>
            <w:vAlign w:val="center"/>
          </w:tcPr>
          <w:p>
            <w:pPr>
              <w:pStyle w:val="TableContents"/>
              <w:bidi w:val="0"/>
              <w:spacing w:before="0" w:after="0"/>
              <w:ind w:left="0" w:right="0" w:hanging="0"/>
              <w:jc w:val="left"/>
              <w:rPr/>
            </w:pPr>
            <w:r>
              <w:rPr/>
              <w:t> </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150,000,000</w:t>
            </w:r>
          </w:p>
        </w:tc>
        <w:tc>
          <w:tcPr>
            <w:tcW w:w="20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149,865</w:t>
            </w:r>
          </w:p>
        </w:tc>
        <w:tc>
          <w:tcPr>
            <w:tcW w:w="206" w:type="dxa"/>
            <w:tcBorders/>
            <w:shd w:fill="CCEEFF" w:val="clear"/>
            <w:vAlign w:val="center"/>
          </w:tcPr>
          <w:p>
            <w:pPr>
              <w:pStyle w:val="TableContents"/>
              <w:bidi w:val="0"/>
              <w:spacing w:before="0" w:after="0"/>
              <w:ind w:left="0" w:right="0" w:hanging="0"/>
              <w:jc w:val="left"/>
              <w:rPr/>
            </w:pPr>
            <w:r>
              <w:rPr/>
              <w:t> </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147,619,034</w:t>
            </w:r>
          </w:p>
        </w:tc>
        <w:tc>
          <w:tcPr>
            <w:tcW w:w="20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154,625</w:t>
            </w:r>
          </w:p>
        </w:tc>
        <w:tc>
          <w:tcPr>
            <w:tcW w:w="20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 </w:t>
            </w:r>
          </w:p>
        </w:tc>
        <w:tc>
          <w:tcPr>
            <w:tcW w:w="8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2,745,480</w:t>
            </w:r>
          </w:p>
        </w:tc>
        <w:tc>
          <w:tcPr>
            <w:tcW w:w="206"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5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4,652</w:t>
            </w:r>
          </w:p>
        </w:tc>
        <w:tc>
          <w:tcPr>
            <w:tcW w:w="206" w:type="dxa"/>
            <w:tcBorders/>
            <w:shd w:fill="CCEEFF" w:val="clear"/>
            <w:vAlign w:val="center"/>
          </w:tcPr>
          <w:p>
            <w:pPr>
              <w:pStyle w:val="TableContents"/>
              <w:bidi w:val="0"/>
              <w:spacing w:before="0" w:after="0"/>
              <w:ind w:left="0" w:right="0" w:hanging="0"/>
              <w:jc w:val="left"/>
              <w:rPr/>
            </w:pPr>
            <w:r>
              <w:rPr/>
              <w:t>​</w:t>
            </w:r>
          </w:p>
        </w:tc>
        <w:tc>
          <w:tcPr>
            <w:tcW w:w="2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(157,845)</w:t>
            </w:r>
          </w:p>
        </w:tc>
        <w:tc>
          <w:tcPr>
            <w:tcW w:w="20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(153,193)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See accompanying notes to financial statements. </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STATEMENTS OF CASH FLOWS</w:t>
      </w:r>
      <w:bookmarkStart w:id="25" w:name="STATEMENTSOFCASHFLOWS_912223"/>
      <w:bookmarkEnd w:id="25"/>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tbl>
      <w:tblPr>
        <w:tblW w:w="9507" w:type="dxa"/>
        <w:jc w:val="center"/>
        <w:tblInd w:w="0" w:type="dxa"/>
        <w:tblLayout w:type="fixed"/>
        <w:tblCellMar>
          <w:top w:w="0" w:type="dxa"/>
          <w:left w:w="0" w:type="dxa"/>
          <w:bottom w:w="0" w:type="dxa"/>
          <w:right w:w="0" w:type="dxa"/>
        </w:tblCellMar>
      </w:tblPr>
      <w:tblGrid>
        <w:gridCol w:w="6796"/>
        <w:gridCol w:w="326"/>
        <w:gridCol w:w="211"/>
        <w:gridCol w:w="796"/>
        <w:gridCol w:w="326"/>
        <w:gridCol w:w="211"/>
        <w:gridCol w:w="841"/>
      </w:tblGrid>
      <w:tr>
        <w:trPr/>
        <w:tc>
          <w:tcPr>
            <w:tcW w:w="6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3985" cy="175260"/>
                      <wp:effectExtent l="0" t="0" r="0" b="0"/>
                      <wp:wrapNone/>
                      <wp:docPr id="120"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505460" cy="175260"/>
                      <wp:effectExtent l="0" t="0" r="0" b="0"/>
                      <wp:wrapNone/>
                      <wp:docPr id="121" name="Frame9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2"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3985" cy="175260"/>
                      <wp:effectExtent l="0" t="0" r="0" b="0"/>
                      <wp:wrapNone/>
                      <wp:docPr id="123" name="Frame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34035" cy="175260"/>
                      <wp:effectExtent l="0" t="0" r="0" b="0"/>
                      <wp:wrapNone/>
                      <wp:docPr id="124" name="Frame9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6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(69,333)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(36,906)</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 to reconcile net loss to 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(13,578)</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2,800</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3,613</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(43,631)</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  </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short-term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Maturity of short-term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  </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the exercise of stock options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the sale of Series A convertible preferred stock, net of issuance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60,000</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the sale of Series B convertible preferred stock, net of issuance costs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44,919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109,706</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deferred offering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42,859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169,723</w:t>
            </w:r>
          </w:p>
        </w:tc>
      </w:tr>
      <w:tr>
        <w:trPr/>
        <w:tc>
          <w:tcPr>
            <w:tcW w:w="6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increase in cash and 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126,092</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the year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163,372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37,280</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end of the year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150,389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163,372</w:t>
            </w:r>
          </w:p>
        </w:tc>
      </w:tr>
      <w:tr>
        <w:trPr/>
        <w:tc>
          <w:tcPr>
            <w:tcW w:w="6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disclosures of non-cash financing and 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  </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offering costs included in 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new operating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260</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See accompanying notes to financial statements.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FINANCIAL STATEMENTS</w:t>
      </w:r>
    </w:p>
    <w:tbl>
      <w:tblPr>
        <w:tblW w:w="1315" w:type="dxa"/>
        <w:jc w:val="left"/>
        <w:tblInd w:w="0" w:type="dxa"/>
        <w:tblLayout w:type="fixed"/>
        <w:tblCellMar>
          <w:top w:w="0" w:type="dxa"/>
          <w:left w:w="0" w:type="dxa"/>
          <w:bottom w:w="0" w:type="dxa"/>
          <w:right w:w="0" w:type="dxa"/>
        </w:tblCellMar>
      </w:tblPr>
      <w:tblGrid>
        <w:gridCol w:w="245"/>
        <w:gridCol w:w="1070"/>
      </w:tblGrid>
      <w:tr>
        <w:trPr/>
        <w:tc>
          <w:tcPr>
            <w:tcW w:w="24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10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Background</w:t>
            </w:r>
            <w:bookmarkStart w:id="26" w:name="Notes"/>
            <w:bookmarkEnd w:id="26"/>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ArriVent BioPharma, Inc., a Delaware Corporation (the “Company”), founded on April 14, 2021, is a clinical-stage biopharmaceutical company focused on identifying, licensing and globalizing top biopharma innovations from around the world to deliver important medicines to patients. In June 2021, the Company entered into a license agreement with Shanghai Allist Pharmaceuticals Co. Ltd. (“Allist”) which granted the Company an exclusive license under certain intellectual property owned or controlled by Allist to develop, manufacture and commercialize any product containing furmonertinib or any of its derivatives as an active ingredient, for all uses, in all countries and territories other than greater China, which includes mainland China, Hong Kong, Macau and Taiwan (See Note 11). The Company’s lead development candidate, furmonertinib, is a third-generation tyrosine kinase inhibitor currently being evaluated in multiple clinical trials across a range of epidermal growth factor receptor (EGFR) mutations in non-small cell lung cancer (NSCLC), many for which there are limited treatment options.</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bookmarkStart w:id="27" w:name="_Hlk77760360"/>
      <w:bookmarkEnd w:id="27"/>
      <w:r>
        <w:rPr>
          <w:rFonts w:ascii="Times New Roman;Times;serif" w:hAnsi="Times New Roman;Times;serif"/>
          <w:sz w:val="20"/>
        </w:rPr>
        <w:t>On January 30, 2024, the Company completed the closing of its initial public offering of 9,722,222 shares of common stock at a price of $18.00 per share. Additionally, the underwriters exercised their option to purchase an additional 1,458,333 shares of common stock at a price of $18.00 per share. The shares of common stock began trading on the Nasdaq Global Market on January 26, 2024, under the symbol “AVBP”. The Company received net proceeds of $183.4 million, after deducting underwriting discounts and commissions and other estimated offering expenses. In addition, as a result of the closing of the Company’s initial public offering, the Company’s Series A and Series B convertible preferred stock converted into 19,567,306 shares of common stock in January 2024.</w:t>
      </w:r>
    </w:p>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tbl>
      <w:tblPr>
        <w:tblW w:w="3595" w:type="dxa"/>
        <w:jc w:val="left"/>
        <w:tblInd w:w="0" w:type="dxa"/>
        <w:tblLayout w:type="fixed"/>
        <w:tblCellMar>
          <w:top w:w="0" w:type="dxa"/>
          <w:left w:w="0" w:type="dxa"/>
          <w:bottom w:w="0" w:type="dxa"/>
          <w:right w:w="0" w:type="dxa"/>
        </w:tblCellMar>
      </w:tblPr>
      <w:tblGrid>
        <w:gridCol w:w="245"/>
        <w:gridCol w:w="3350"/>
      </w:tblGrid>
      <w:tr>
        <w:trPr/>
        <w:tc>
          <w:tcPr>
            <w:tcW w:w="24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35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Development-Stage Risks and Liquidity</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incurred losses since inception and has an accumulated deficit of $157.8 million as of December 31, 2023. The Company anticipates incurring additional losses until such time, if ever, that it can generate significant sales from its product candidates currently in development. Management believes that cash and cash equivalents of $150.4 million as of December 31, 2023, together with the net proceeds from the initial public offering, are sufficient to sustain planned operations through at least twelve months from the issuance date of these financial statements.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is subject to those risks associated with any specialty biotechnology company that has substantial expenditures for research and development. There can be no assurance that the Company’s research and development projects will be successful, that products developed will obtain necessary regulatory approval, or that any approved product will be commercially viable. In addition, the Company operates in an environment of rapid technological change and is largely dependent on the services of its employees and consultants.</w:t>
      </w:r>
    </w:p>
    <w:p>
      <w:pPr>
        <w:pStyle w:val="TextBody"/>
        <w:bidi w:val="0"/>
        <w:spacing w:before="0" w:after="0"/>
        <w:ind w:left="0" w:right="0" w:hanging="0"/>
        <w:jc w:val="left"/>
        <w:rPr/>
      </w:pPr>
      <w:r>
        <w:rPr/>
        <w:t>​</w:t>
      </w:r>
    </w:p>
    <w:tbl>
      <w:tblPr>
        <w:tblW w:w="3985" w:type="dxa"/>
        <w:jc w:val="left"/>
        <w:tblInd w:w="0" w:type="dxa"/>
        <w:tblLayout w:type="fixed"/>
        <w:tblCellMar>
          <w:top w:w="0" w:type="dxa"/>
          <w:left w:w="0" w:type="dxa"/>
          <w:bottom w:w="0" w:type="dxa"/>
          <w:right w:w="0" w:type="dxa"/>
        </w:tblCellMar>
      </w:tblPr>
      <w:tblGrid>
        <w:gridCol w:w="245"/>
        <w:gridCol w:w="3740"/>
      </w:tblGrid>
      <w:tr>
        <w:trPr/>
        <w:tc>
          <w:tcPr>
            <w:tcW w:w="24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374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Summary of Significant Accounting Policies</w:t>
            </w:r>
          </w:p>
        </w:tc>
      </w:tr>
    </w:tbl>
    <w:tbl>
      <w:tblPr>
        <w:tblW w:w="2020" w:type="dxa"/>
        <w:jc w:val="left"/>
        <w:tblInd w:w="0" w:type="dxa"/>
        <w:tblLayout w:type="fixed"/>
        <w:tblCellMar>
          <w:top w:w="0" w:type="dxa"/>
          <w:left w:w="0" w:type="dxa"/>
          <w:bottom w:w="0" w:type="dxa"/>
          <w:right w:w="0" w:type="dxa"/>
        </w:tblCellMar>
      </w:tblPr>
      <w:tblGrid>
        <w:gridCol w:w="245"/>
        <w:gridCol w:w="1775"/>
      </w:tblGrid>
      <w:tr>
        <w:trPr/>
        <w:tc>
          <w:tcPr>
            <w:tcW w:w="245"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(a)</w:t>
            </w:r>
          </w:p>
        </w:tc>
        <w:tc>
          <w:tcPr>
            <w:tcW w:w="1775"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Basis of Presentation</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accompanying financial statements have been prepared in accordance with U.S. generally accepted accounting principles (“GAAP”). Any references in these notes to applicable guidance are meant to refer to GAAP as found in Accounting Standards Codification (“ASC”) and Accounting Standards Update (“ASU”) promulgated by the Financial Accounting Standards Board (“FASB”).</w:t>
      </w:r>
    </w:p>
    <w:tbl>
      <w:tblPr>
        <w:tblW w:w="1630" w:type="dxa"/>
        <w:jc w:val="left"/>
        <w:tblInd w:w="0" w:type="dxa"/>
        <w:tblLayout w:type="fixed"/>
        <w:tblCellMar>
          <w:top w:w="0" w:type="dxa"/>
          <w:left w:w="0" w:type="dxa"/>
          <w:bottom w:w="0" w:type="dxa"/>
          <w:right w:w="0" w:type="dxa"/>
        </w:tblCellMar>
      </w:tblPr>
      <w:tblGrid>
        <w:gridCol w:w="245"/>
        <w:gridCol w:w="1385"/>
      </w:tblGrid>
      <w:tr>
        <w:trPr/>
        <w:tc>
          <w:tcPr>
            <w:tcW w:w="245"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(b)</w:t>
            </w:r>
          </w:p>
        </w:tc>
        <w:tc>
          <w:tcPr>
            <w:tcW w:w="1385"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Use of Estimates</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preparation of financial statements in conformity with GAAP requires management to make estimates and assumptions that affect the reported amounts of assets and liabilities and disclosure of contingent assets and liabilities at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date of the financial statements and the reported amounts of expenses during the reporting period. Actual results could differ from such estimates. Estimates and assumptions are periodically reviewed, and the effects of revisions are reflected in the financial statements in the period they are determined to be necessary.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Significant areas that require management’s estimates include the fair value of the Company’s common stock, stock-based compensation expense assumptions and accrued research and development expenses.</w:t>
      </w:r>
    </w:p>
    <w:tbl>
      <w:tblPr>
        <w:tblW w:w="2410" w:type="dxa"/>
        <w:jc w:val="left"/>
        <w:tblInd w:w="0" w:type="dxa"/>
        <w:tblLayout w:type="fixed"/>
        <w:tblCellMar>
          <w:top w:w="0" w:type="dxa"/>
          <w:left w:w="0" w:type="dxa"/>
          <w:bottom w:w="0" w:type="dxa"/>
          <w:right w:w="0" w:type="dxa"/>
        </w:tblCellMar>
      </w:tblPr>
      <w:tblGrid>
        <w:gridCol w:w="230"/>
        <w:gridCol w:w="2180"/>
      </w:tblGrid>
      <w:tr>
        <w:trPr/>
        <w:tc>
          <w:tcPr>
            <w:tcW w:w="230"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(c)</w:t>
            </w:r>
          </w:p>
        </w:tc>
        <w:tc>
          <w:tcPr>
            <w:tcW w:w="2180"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Fair Value Measurements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Inputs: Unadjusted quoted prices in active markets for identical assets or liabilities accessible to the reporting entity at the measurement date.</w:t>
            </w:r>
          </w:p>
        </w:tc>
      </w:tr>
    </w:tbl>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Other than quoted prices included in Level 1 inputs that are observable for the asset or liability, either directly or indirectly, for substantially the full term of the asset or liability.</w:t>
            </w:r>
          </w:p>
        </w:tc>
      </w:tr>
    </w:tbl>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Inputs: Unobservable inputs for the asset or liability used to measure fair value to the extent that observable inputs are not available, thereby allowing for situations in which there is little, if any, market activity for the asset or liability at the measurement date.</w:t>
            </w:r>
          </w:p>
        </w:tc>
      </w:tr>
    </w:tbl>
    <w:p>
      <w:pPr>
        <w:pStyle w:val="TextBody"/>
        <w:bidi w:val="0"/>
        <w:spacing w:before="0" w:after="240"/>
        <w:ind w:left="0" w:right="0" w:firstLine="360"/>
        <w:jc w:val="left"/>
        <w:rPr/>
      </w:pPr>
      <w:r>
        <w:rPr/>
        <w:t>​</w:t>
      </w:r>
      <w:r>
        <w:rPr>
          <w:rFonts w:ascii="Times New Roman;Times;serif" w:hAnsi="Times New Roman;Times;serif"/>
          <w:sz w:val="20"/>
        </w:rPr>
        <w:t>Management believes that the carrying amounts of the Company’s financial instruments, principally cash equivalents and accounts payable, approximate fair value due to the short-term nature of those instruments.</w:t>
      </w:r>
    </w:p>
    <w:tbl>
      <w:tblPr>
        <w:tblW w:w="2560" w:type="dxa"/>
        <w:jc w:val="left"/>
        <w:tblInd w:w="0" w:type="dxa"/>
        <w:tblLayout w:type="fixed"/>
        <w:tblCellMar>
          <w:top w:w="0" w:type="dxa"/>
          <w:left w:w="0" w:type="dxa"/>
          <w:bottom w:w="0" w:type="dxa"/>
          <w:right w:w="0" w:type="dxa"/>
        </w:tblCellMar>
      </w:tblPr>
      <w:tblGrid>
        <w:gridCol w:w="245"/>
        <w:gridCol w:w="2315"/>
      </w:tblGrid>
      <w:tr>
        <w:trPr/>
        <w:tc>
          <w:tcPr>
            <w:tcW w:w="245"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(d)</w:t>
            </w:r>
          </w:p>
        </w:tc>
        <w:tc>
          <w:tcPr>
            <w:tcW w:w="2315"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Concentration of credit risk</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Financial instruments that potentially subject the Company to significant concentrations of credit risk consist primarily of cash and cash equivalents. The Company maintains cash in a checking account with a federally insured financial institution in excess of federally insured limits. Cash equivalents are defined as all liquid investments with maturity from date of purchase of 90 days or less that are readily convertible into cash and consist of money market funds and certificates of deposit. The Company has not experienced any losses in such accounts and believes it is not exposed to significant risk on its cash.</w:t>
      </w:r>
    </w:p>
    <w:tbl>
      <w:tblPr>
        <w:tblW w:w="805" w:type="dxa"/>
        <w:jc w:val="left"/>
        <w:tblInd w:w="0" w:type="dxa"/>
        <w:tblLayout w:type="fixed"/>
        <w:tblCellMar>
          <w:top w:w="0" w:type="dxa"/>
          <w:left w:w="0" w:type="dxa"/>
          <w:bottom w:w="0" w:type="dxa"/>
          <w:right w:w="0" w:type="dxa"/>
        </w:tblCellMar>
      </w:tblPr>
      <w:tblGrid>
        <w:gridCol w:w="230"/>
        <w:gridCol w:w="575"/>
      </w:tblGrid>
      <w:tr>
        <w:trPr/>
        <w:tc>
          <w:tcPr>
            <w:tcW w:w="230"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(e)</w:t>
            </w:r>
          </w:p>
        </w:tc>
        <w:tc>
          <w:tcPr>
            <w:tcW w:w="575"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Leases</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Effective January 1, 2022, the Company adopted ASU No. 2016-02, </w:t>
      </w:r>
      <w:r>
        <w:rPr>
          <w:rFonts w:ascii="Times New Roman;Times;serif" w:hAnsi="Times New Roman;Times;serif"/>
          <w:i/>
          <w:sz w:val="20"/>
        </w:rPr>
        <w:t>Leases (Topic 842)</w:t>
      </w:r>
      <w:r>
        <w:rPr>
          <w:rFonts w:ascii="Times New Roman;Times;serif" w:hAnsi="Times New Roman;Times;serif"/>
          <w:sz w:val="20"/>
        </w:rPr>
        <w:t xml:space="preserve">, as amended. Under the guidance, the Company determines whether an arrangement is or contains a lease, its classification, and its term at the lease commencement date. Leases with a term greater than one year will be recognized on the balance sheet as right-of-use (“ROU”) assets, current lease liabilities, and if applicable, long-term lease liabilities. The Company has elected certain practical expedients permitted under the transition guidance to not record short-term leases (terms less than 12 months during 2022). Lease liabilities and the corresponding ROU assets are recorded based on the present values of lease payments over the lease term. The interest rate implicit in lease contracts is typically not readily determinable. As such, the Company utilizes the appropriate incremental borrowing rates, which are the rates that would be incurred to borrow on a collateralized basis, over similar terms, amounts equal to the lease payments in a similar economic environment. Payments for non-lease components or that are variable in nature that do not depend on a rate or index are not included in the lease liability and are typically expensed as incurred. If significant events, changes in circumstances,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or other events indicate that the lease term or other inputs have changed, the Company would reassess lease classification, remeasure the lease liability using revised inputs as of the reassessment date, and adjust the ROU assets. Lease expense is recognized on a straight-line basis over the expected lease term for operating-classified leases.</w:t>
      </w:r>
    </w:p>
    <w:tbl>
      <w:tblPr>
        <w:tblW w:w="2965" w:type="dxa"/>
        <w:jc w:val="left"/>
        <w:tblInd w:w="0" w:type="dxa"/>
        <w:tblLayout w:type="fixed"/>
        <w:tblCellMar>
          <w:top w:w="0" w:type="dxa"/>
          <w:left w:w="0" w:type="dxa"/>
          <w:bottom w:w="0" w:type="dxa"/>
          <w:right w:w="0" w:type="dxa"/>
        </w:tblCellMar>
      </w:tblPr>
      <w:tblGrid>
        <w:gridCol w:w="200"/>
        <w:gridCol w:w="2765"/>
      </w:tblGrid>
      <w:tr>
        <w:trPr/>
        <w:tc>
          <w:tcPr>
            <w:tcW w:w="200"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(f)</w:t>
            </w:r>
          </w:p>
        </w:tc>
        <w:tc>
          <w:tcPr>
            <w:tcW w:w="2765"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Research and Development Costs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Research and development costs are recorded as expense as incurred and principally consist of personnel costs as well as amounts paid to third parties for up-front and milestone payments made for services provided and related supply costs.</w:t>
      </w:r>
    </w:p>
    <w:tbl>
      <w:tblPr>
        <w:tblW w:w="3295" w:type="dxa"/>
        <w:jc w:val="left"/>
        <w:tblInd w:w="0" w:type="dxa"/>
        <w:tblLayout w:type="fixed"/>
        <w:tblCellMar>
          <w:top w:w="0" w:type="dxa"/>
          <w:left w:w="0" w:type="dxa"/>
          <w:bottom w:w="0" w:type="dxa"/>
          <w:right w:w="0" w:type="dxa"/>
        </w:tblCellMar>
      </w:tblPr>
      <w:tblGrid>
        <w:gridCol w:w="245"/>
        <w:gridCol w:w="3050"/>
      </w:tblGrid>
      <w:tr>
        <w:trPr/>
        <w:tc>
          <w:tcPr>
            <w:tcW w:w="245"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(g)</w:t>
            </w:r>
          </w:p>
        </w:tc>
        <w:tc>
          <w:tcPr>
            <w:tcW w:w="3050"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Stock-Based Compensation Expense</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measures stock-based awards, including stock options, at their grant-date fair value and records compensation expense over the requisite service period, which is the vesting period of the awards. The Company accounts for forfeitures as they occur.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Estimating the fair value of stock options requires the use of subjective assumptions, including the fair value of the Company’s common stock, the expected term of the option and expected stock price volatility. The Company uses the Black-Scholes option-pricing model to value its stock option awards. The assumptions used in calculating the fair value of stock options represent management’s best estimates and involve inherent uncertainties and the application of management’s judgment. As a result, if factors change and management uses different assumptions, stock-based compensation expense could be materially different for future awards.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fair value of the Company’s common stock is estimated by the Company’s board of directors, with input from management considering the most recently available third-party valuation of the Company’s common stock. The expected term of stock options for employees is estimated using the “simplified method,” as the Company has limited historical information to develop reasonable expectations about future exercise patterns and post-vesting employment termination behavior for its stock option grants. The simplified method is the midpoint between the vesting date and the contractual term of the option. The contractual term is used as the expected term for stock options granted to non-employees. For stock price volatility, the Company uses comparable public companies as a basis for the expected volatility to calculate the fair value of option grants. The risk-free rate is based on the U.S. Treasury yield curve commensurate with the expected term of the option. The expected dividend yield is zero given the Company does not expect to pay dividends for the foreseeable future.</w:t>
      </w:r>
    </w:p>
    <w:tbl>
      <w:tblPr>
        <w:tblW w:w="1810" w:type="dxa"/>
        <w:jc w:val="left"/>
        <w:tblInd w:w="0" w:type="dxa"/>
        <w:tblLayout w:type="fixed"/>
        <w:tblCellMar>
          <w:top w:w="0" w:type="dxa"/>
          <w:left w:w="0" w:type="dxa"/>
          <w:bottom w:w="0" w:type="dxa"/>
          <w:right w:w="0" w:type="dxa"/>
        </w:tblCellMar>
      </w:tblPr>
      <w:tblGrid>
        <w:gridCol w:w="245"/>
        <w:gridCol w:w="1565"/>
      </w:tblGrid>
      <w:tr>
        <w:trPr/>
        <w:tc>
          <w:tcPr>
            <w:tcW w:w="245"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(h)</w:t>
            </w:r>
          </w:p>
        </w:tc>
        <w:tc>
          <w:tcPr>
            <w:tcW w:w="1565"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Net Loss per Share</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Basic net loss per share of common stock is computed by dividing net loss by the weighted-average number of shares of common stock outstanding during each period. Diluted net loss per share of common stock includes the effect, if any, from the potential exercise or conversion of securities, such as convertible preferred stock and stock options, which would result in the issuance of incremental shares of common stock. For diluted net loss per share, the weighted-average number of shares of common stock is the same for basic net loss per share since when a net loss exists, potentially dilutive securities are not included in the calculation as their impact is anti-dilutive. The Company’s convertible preferred stock entitles the holder to participate in dividends and earnings of the Company, and, if the Company were to recognize net income, it would have to use the two-class method to calculate earnings per share. The two-class method is not applicable during periods with a net loss, as the holders of the convertible preferred stock have no obligation to fund losses.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computation of net loss, basic and diluted (in thousands, except share and per share data):</w:t>
      </w:r>
    </w:p>
    <w:tbl>
      <w:tblPr>
        <w:tblW w:w="9192" w:type="dxa"/>
        <w:jc w:val="center"/>
        <w:tblInd w:w="0" w:type="dxa"/>
        <w:tblLayout w:type="fixed"/>
        <w:tblCellMar>
          <w:top w:w="0" w:type="dxa"/>
          <w:left w:w="0" w:type="dxa"/>
          <w:bottom w:w="0" w:type="dxa"/>
          <w:right w:w="0" w:type="dxa"/>
        </w:tblCellMar>
      </w:tblPr>
      <w:tblGrid>
        <w:gridCol w:w="6091"/>
        <w:gridCol w:w="326"/>
        <w:gridCol w:w="211"/>
        <w:gridCol w:w="931"/>
        <w:gridCol w:w="326"/>
        <w:gridCol w:w="211"/>
        <w:gridCol w:w="1096"/>
      </w:tblGrid>
      <w:tr>
        <w:trPr/>
        <w:tc>
          <w:tcPr>
            <w:tcW w:w="6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5"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3985" cy="175260"/>
                      <wp:effectExtent l="0" t="0" r="0" b="0"/>
                      <wp:wrapNone/>
                      <wp:docPr id="126"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91185" cy="175260"/>
                      <wp:effectExtent l="0" t="0" r="0" b="0"/>
                      <wp:wrapNone/>
                      <wp:docPr id="127" name="Frame10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3985" cy="175260"/>
                      <wp:effectExtent l="0" t="0" r="0" b="0"/>
                      <wp:wrapNone/>
                      <wp:docPr id="129"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96595" cy="175260"/>
                      <wp:effectExtent l="0" t="0" r="0" b="0"/>
                      <wp:wrapNone/>
                      <wp:docPr id="130" name="Frame103"/>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6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left"/>
              <w:rPr/>
            </w:pPr>
            <w:r>
              <w:rPr/>
              <w:t>  </w:t>
            </w:r>
          </w:p>
        </w:tc>
      </w:tr>
      <w:tr>
        <w:trPr/>
        <w:tc>
          <w:tcPr>
            <w:tcW w:w="6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(69,333)</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(36,906)</w:t>
            </w:r>
          </w:p>
        </w:tc>
      </w:tr>
      <w:tr>
        <w:trPr/>
        <w:tc>
          <w:tcPr>
            <w:tcW w:w="6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6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of common stock outstanding</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2,633,907</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2,591,993</w:t>
            </w:r>
          </w:p>
        </w:tc>
      </w:tr>
      <w:tr>
        <w:trPr/>
        <w:tc>
          <w:tcPr>
            <w:tcW w:w="6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Weighted-average shares of common stock subject to repurchase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(492,956)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(1,314,914)</w:t>
            </w:r>
          </w:p>
        </w:tc>
      </w:tr>
      <w:tr>
        <w:trPr/>
        <w:tc>
          <w:tcPr>
            <w:tcW w:w="6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of common stock outstanding, basic and diluted</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2,140,951</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1,277,079</w:t>
            </w:r>
          </w:p>
        </w:tc>
      </w:tr>
      <w:tr>
        <w:trPr/>
        <w:tc>
          <w:tcPr>
            <w:tcW w:w="60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6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attributable to common stockholders, basic and diluted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(28.90)</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potentially dilutive securities have been excluded from the computation of diluted weighted-average shares of common stock outstanding, as they would be anti-dilutive:</w:t>
      </w:r>
    </w:p>
    <w:tbl>
      <w:tblPr>
        <w:tblW w:w="8455" w:type="dxa"/>
        <w:jc w:val="center"/>
        <w:tblInd w:w="0" w:type="dxa"/>
        <w:tblLayout w:type="fixed"/>
        <w:tblCellMar>
          <w:top w:w="0" w:type="dxa"/>
          <w:left w:w="0" w:type="dxa"/>
          <w:bottom w:w="0" w:type="dxa"/>
          <w:right w:w="0" w:type="dxa"/>
        </w:tblCellMar>
      </w:tblPr>
      <w:tblGrid>
        <w:gridCol w:w="5626"/>
        <w:gridCol w:w="326"/>
        <w:gridCol w:w="1036"/>
        <w:gridCol w:w="326"/>
        <w:gridCol w:w="1141"/>
      </w:tblGrid>
      <w:tr>
        <w:trPr/>
        <w:tc>
          <w:tcPr>
            <w:tcW w:w="5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3572510" cy="175260"/>
                      <wp:effectExtent l="0" t="0" r="0" b="0"/>
                      <wp:wrapNone/>
                      <wp:docPr id="131" name="Frame104"/>
                      <a:graphic xmlns:a="http://schemas.openxmlformats.org/drawingml/2006/main">
                        <a:graphicData uri="http://schemas.microsoft.com/office/word/2010/wordprocessingShape">
                          <wps:wsp>
                            <wps:cNvSpPr txBox="1"/>
                            <wps:spPr>
                              <a:xfrm>
                                <a:off x="0" y="0"/>
                                <a:ext cx="3572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57860" cy="175260"/>
                      <wp:effectExtent l="0" t="0" r="0" b="0"/>
                      <wp:wrapNone/>
                      <wp:docPr id="133" name="Frame10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724535" cy="175260"/>
                      <wp:effectExtent l="0" t="0" r="0" b="0"/>
                      <wp:wrapNone/>
                      <wp:docPr id="135" name="Frame10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0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56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A convertible preferred stock (as converted to common stock)</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9,861,923</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9,861,923</w:t>
            </w:r>
          </w:p>
        </w:tc>
      </w:tr>
      <w:tr>
        <w:trPr/>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B convertible preferred stock (as converted to common stock)</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9,705,383</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6,887,690</w:t>
            </w:r>
          </w:p>
        </w:tc>
      </w:tr>
      <w:tr>
        <w:trPr/>
        <w:tc>
          <w:tcPr>
            <w:tcW w:w="5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subject to repurchase</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1,314,914</w:t>
            </w:r>
          </w:p>
        </w:tc>
      </w:tr>
      <w:tr>
        <w:trPr/>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1,683,156</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1,078,795</w:t>
            </w:r>
          </w:p>
        </w:tc>
      </w:tr>
      <w:tr>
        <w:trPr/>
        <w:tc>
          <w:tcPr>
            <w:tcW w:w="56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21,250,462</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19,143,322</w:t>
            </w:r>
          </w:p>
        </w:tc>
      </w:tr>
    </w:tbl>
    <w:p>
      <w:pPr>
        <w:pStyle w:val="TextBody"/>
        <w:bidi w:val="0"/>
        <w:spacing w:before="0" w:after="0"/>
        <w:ind w:left="0" w:right="0" w:hanging="0"/>
        <w:jc w:val="left"/>
        <w:rPr/>
      </w:pPr>
      <w:r>
        <w:rPr/>
        <w:t>​</w:t>
      </w:r>
    </w:p>
    <w:tbl>
      <w:tblPr>
        <w:tblW w:w="1375" w:type="dxa"/>
        <w:jc w:val="left"/>
        <w:tblInd w:w="0" w:type="dxa"/>
        <w:tblLayout w:type="fixed"/>
        <w:tblCellMar>
          <w:top w:w="0" w:type="dxa"/>
          <w:left w:w="0" w:type="dxa"/>
          <w:bottom w:w="0" w:type="dxa"/>
          <w:right w:w="0" w:type="dxa"/>
        </w:tblCellMar>
      </w:tblPr>
      <w:tblGrid>
        <w:gridCol w:w="200"/>
        <w:gridCol w:w="1175"/>
      </w:tblGrid>
      <w:tr>
        <w:trPr/>
        <w:tc>
          <w:tcPr>
            <w:tcW w:w="200"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(i)</w:t>
            </w:r>
          </w:p>
        </w:tc>
        <w:tc>
          <w:tcPr>
            <w:tcW w:w="1175"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Income Taxes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 assets and liabilities are determined based on the difference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The Company will recognize interest and penalties related to uncertain tax positions as a component of income tax expense (benefit).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FINANCIAL STATEMENTS</w:t>
      </w:r>
    </w:p>
    <w:tbl>
      <w:tblPr>
        <w:tblW w:w="3355" w:type="dxa"/>
        <w:jc w:val="left"/>
        <w:tblInd w:w="0" w:type="dxa"/>
        <w:tblLayout w:type="fixed"/>
        <w:tblCellMar>
          <w:top w:w="0" w:type="dxa"/>
          <w:left w:w="0" w:type="dxa"/>
          <w:bottom w:w="0" w:type="dxa"/>
          <w:right w:w="0" w:type="dxa"/>
        </w:tblCellMar>
      </w:tblPr>
      <w:tblGrid>
        <w:gridCol w:w="200"/>
        <w:gridCol w:w="3155"/>
      </w:tblGrid>
      <w:tr>
        <w:trPr/>
        <w:tc>
          <w:tcPr>
            <w:tcW w:w="200"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(j)</w:t>
            </w:r>
          </w:p>
        </w:tc>
        <w:tc>
          <w:tcPr>
            <w:tcW w:w="3155"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Segment and Geographic Information</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Operating segments are defined as components of an enterprise (business activity from which it earns revenue and incurs expenses) about which discrete financial information is available and regularly reviewed by the chief operating decision maker in deciding how to allocate resources and in assessing performance. The Company’s chief operating decision maker is its Chief Executive Officer. The chief operating decision maker reviews operating results to make decisions about allocating resources and assessing performance for the entire company. The Company views its operations and manages its business as one operating segment. All of the Company’s assets are located in the United States.</w:t>
      </w:r>
    </w:p>
    <w:tbl>
      <w:tblPr>
        <w:tblW w:w="4060" w:type="dxa"/>
        <w:jc w:val="left"/>
        <w:tblInd w:w="0" w:type="dxa"/>
        <w:tblLayout w:type="fixed"/>
        <w:tblCellMar>
          <w:top w:w="0" w:type="dxa"/>
          <w:left w:w="0" w:type="dxa"/>
          <w:bottom w:w="0" w:type="dxa"/>
          <w:right w:w="0" w:type="dxa"/>
        </w:tblCellMar>
      </w:tblPr>
      <w:tblGrid>
        <w:gridCol w:w="245"/>
        <w:gridCol w:w="3815"/>
      </w:tblGrid>
      <w:tr>
        <w:trPr/>
        <w:tc>
          <w:tcPr>
            <w:tcW w:w="245"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(k)</w:t>
            </w:r>
          </w:p>
        </w:tc>
        <w:tc>
          <w:tcPr>
            <w:tcW w:w="3815"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Accounting Pronouncements Not Yet Adopted</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November 2023, the FASB issued ASU 2023-07 </w:t>
      </w:r>
      <w:r>
        <w:rPr>
          <w:rFonts w:ascii="Times New Roman;Times;serif" w:hAnsi="Times New Roman;Times;serif"/>
          <w:i/>
          <w:sz w:val="20"/>
        </w:rPr>
        <w:t>Segment Reporting (Topic 280): Improvements to Reportable Segment Disclosures</w:t>
      </w:r>
      <w:r>
        <w:rPr>
          <w:rFonts w:ascii="Times New Roman;Times;serif" w:hAnsi="Times New Roman;Times;serif"/>
          <w:sz w:val="20"/>
        </w:rPr>
        <w:t xml:space="preserve">. This standard includes the requirements that a public entity disclose, on an annual and interim basis, significant segment expenses that are regularly provided to the chief operating decision maker and included within each reported measure of segment profit or loss, the title and position of the chief operating decision maker, and an explanation of how the chief operating decision maker uses the reported measure(s) of segment profit or loss in assessing segment performance and deciding how to allocate resources. It also requires that a public entity that has a single reportable segment provide all the disclosures required by the guidance and all existing segment disclosures in ASC 280, </w:t>
      </w:r>
      <w:r>
        <w:rPr>
          <w:rFonts w:ascii="Times New Roman;Times;serif" w:hAnsi="Times New Roman;Times;serif"/>
          <w:i/>
          <w:sz w:val="20"/>
        </w:rPr>
        <w:t>Segment Reporting</w:t>
      </w:r>
      <w:r>
        <w:rPr>
          <w:rFonts w:ascii="Times New Roman;Times;serif" w:hAnsi="Times New Roman;Times;serif"/>
          <w:sz w:val="20"/>
        </w:rPr>
        <w:t>. This standard is effective for fiscal years beginning after December 15, 2023, and interim periods within fiscal years beginning after December 15, 2024. Early adoption is permitted. A public entity should apply the amendments in the guidance retrospectively to all prior periods presented in the financial statements. Upon transition, the segment expense categories and amounts disclosed in the prior periods should be based on the significant segment expense categories identified and disclosed in the period of adoption. The Company is currently evaluating the impact that this standard may have on its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December 2023, the FASB issued ASU 2023-09 </w:t>
      </w:r>
      <w:r>
        <w:rPr>
          <w:rFonts w:ascii="Times New Roman;Times;serif" w:hAnsi="Times New Roman;Times;serif"/>
          <w:i/>
          <w:sz w:val="20"/>
        </w:rPr>
        <w:t>Income Taxes (Topic 740): Improvements to Income Tax Disclosures</w:t>
      </w:r>
      <w:r>
        <w:rPr>
          <w:rFonts w:ascii="Times New Roman;Times;serif" w:hAnsi="Times New Roman;Times;serif"/>
          <w:sz w:val="20"/>
        </w:rPr>
        <w:t>. This standard includes the requirement that public business entities, on an annual basis, disclose specific categories in the rate reconciliation and provide additional information for reconciling items that meet a quantitative threshold (if the effect of those reconciling items is equal to or greater than 5% of the amount computed by multiplying pretax income (or loss) by the applicable statutory income tax rate). It also requires that all entities disclose, on an annual basis, the amount of income taxes paid (net of refunds received) disaggregated by federal, state, and foreign taxes and the amount of income taxes paid (net of refunds received) disaggregated by individual jurisdictions in which income taxes paid (net of refunds received) is equal to or greater than 5% of total income taxes paid (net of refunds received) and requires that all entities disclose income (or loss) from continuing operations before income tax expense (or benefit) disaggregated between domestic and foreign and income tax expense (or benefit) from continuing operations disaggregated by federal, state, and foreign. Lastly, this standard eliminates the requirement for all entities to disclose the nature and estimate of the range of the reasonably possible change in the unrecognized tax benefits balance in the next 12 months or make a statement that an estimate of the range cannot be made. This standard is effective for the Company for the annual period beginning January 1, 2026. Early adoption is permitted. This standard should be applied on a prospective basis. Retrospective application is permitted. The Company is currently evaluating the impact that this standard may have on its financial statements.</w:t>
      </w:r>
    </w:p>
    <w:tbl>
      <w:tblPr>
        <w:tblW w:w="1810" w:type="dxa"/>
        <w:jc w:val="left"/>
        <w:tblInd w:w="0" w:type="dxa"/>
        <w:tblLayout w:type="fixed"/>
        <w:tblCellMar>
          <w:top w:w="0" w:type="dxa"/>
          <w:left w:w="0" w:type="dxa"/>
          <w:bottom w:w="0" w:type="dxa"/>
          <w:right w:w="0" w:type="dxa"/>
        </w:tblCellMar>
      </w:tblPr>
      <w:tblGrid>
        <w:gridCol w:w="200"/>
        <w:gridCol w:w="1610"/>
      </w:tblGrid>
      <w:tr>
        <w:trPr/>
        <w:tc>
          <w:tcPr>
            <w:tcW w:w="200"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(l)</w:t>
            </w:r>
          </w:p>
        </w:tc>
        <w:tc>
          <w:tcPr>
            <w:tcW w:w="1610"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Reverse Stock Split</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January 23, 2024, the Company filed an amendment to its Articles of Incorporation and effected a 15.21-for-1 reverse stock split of its issued and outstanding shares of common stock. All common stock share and per-share amounts presented in the financial statements and related notes have been retroactively adjusted to reflect the reverse stock split.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FINANCIAL STATEMENTS</w:t>
      </w:r>
    </w:p>
    <w:tbl>
      <w:tblPr>
        <w:tblW w:w="2455" w:type="dxa"/>
        <w:jc w:val="left"/>
        <w:tblInd w:w="0" w:type="dxa"/>
        <w:tblLayout w:type="fixed"/>
        <w:tblCellMar>
          <w:top w:w="0" w:type="dxa"/>
          <w:left w:w="0" w:type="dxa"/>
          <w:bottom w:w="0" w:type="dxa"/>
          <w:right w:w="0" w:type="dxa"/>
        </w:tblCellMar>
      </w:tblPr>
      <w:tblGrid>
        <w:gridCol w:w="245"/>
        <w:gridCol w:w="2210"/>
      </w:tblGrid>
      <w:tr>
        <w:trPr/>
        <w:tc>
          <w:tcPr>
            <w:tcW w:w="24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(4)</w:t>
            </w:r>
          </w:p>
        </w:tc>
        <w:tc>
          <w:tcPr>
            <w:tcW w:w="221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Fair Value Measurements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presents information about the Company’s financial assets measured at fair value on a recurring basis and indicates the level of the fair value hierarchy utilized to determine such fair values (in thousands):</w:t>
      </w:r>
    </w:p>
    <w:tbl>
      <w:tblPr>
        <w:tblW w:w="7971" w:type="dxa"/>
        <w:jc w:val="center"/>
        <w:tblInd w:w="0" w:type="dxa"/>
        <w:tblLayout w:type="fixed"/>
        <w:tblCellMar>
          <w:top w:w="0" w:type="dxa"/>
          <w:left w:w="0" w:type="dxa"/>
          <w:bottom w:w="0" w:type="dxa"/>
          <w:right w:w="0" w:type="dxa"/>
        </w:tblCellMar>
      </w:tblPr>
      <w:tblGrid>
        <w:gridCol w:w="3316"/>
        <w:gridCol w:w="326"/>
        <w:gridCol w:w="211"/>
        <w:gridCol w:w="781"/>
        <w:gridCol w:w="326"/>
        <w:gridCol w:w="239"/>
        <w:gridCol w:w="392"/>
        <w:gridCol w:w="326"/>
        <w:gridCol w:w="239"/>
        <w:gridCol w:w="392"/>
        <w:gridCol w:w="326"/>
        <w:gridCol w:w="211"/>
        <w:gridCol w:w="886"/>
      </w:tblGrid>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32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0"/>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  </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 - money market funds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124,322</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124,322</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 measured at fair value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124,322</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124,322</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Money market accounts are highly liquid investments. The pricing information on the Company’s money market account is based on quoted prices in active markets. This approach results in a classification of these securities as Level 1 of the fair value hierarchy.</w:t>
      </w:r>
    </w:p>
    <w:p>
      <w:pPr>
        <w:pStyle w:val="TextBody"/>
        <w:bidi w:val="0"/>
        <w:spacing w:before="0" w:after="0"/>
        <w:ind w:left="0" w:right="0" w:hanging="0"/>
        <w:jc w:val="left"/>
        <w:rPr/>
      </w:pPr>
      <w:r>
        <w:rPr/>
        <w:t>​</w:t>
      </w:r>
    </w:p>
    <w:tbl>
      <w:tblPr>
        <w:tblW w:w="3940" w:type="dxa"/>
        <w:jc w:val="left"/>
        <w:tblInd w:w="0" w:type="dxa"/>
        <w:tblLayout w:type="fixed"/>
        <w:tblCellMar>
          <w:top w:w="0" w:type="dxa"/>
          <w:left w:w="0" w:type="dxa"/>
          <w:bottom w:w="0" w:type="dxa"/>
          <w:right w:w="0" w:type="dxa"/>
        </w:tblCellMar>
      </w:tblPr>
      <w:tblGrid>
        <w:gridCol w:w="245"/>
        <w:gridCol w:w="3695"/>
      </w:tblGrid>
      <w:tr>
        <w:trPr/>
        <w:tc>
          <w:tcPr>
            <w:tcW w:w="24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(5)</w:t>
            </w:r>
          </w:p>
        </w:tc>
        <w:tc>
          <w:tcPr>
            <w:tcW w:w="369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Prepaid Expenses and Other Current Assets</w:t>
            </w:r>
          </w:p>
        </w:tc>
      </w:tr>
    </w:tbl>
    <w:p>
      <w:pPr>
        <w:pStyle w:val="TextBody"/>
        <w:bidi w:val="0"/>
        <w:spacing w:before="0" w:after="240"/>
        <w:ind w:left="400" w:right="0" w:hanging="0"/>
        <w:jc w:val="left"/>
        <w:rPr>
          <w:rFonts w:ascii="Times New Roman;Times;serif" w:hAnsi="Times New Roman;Times;serif"/>
          <w:sz w:val="20"/>
        </w:rPr>
      </w:pPr>
      <w:r>
        <w:rPr>
          <w:rFonts w:ascii="Times New Roman;Times;serif" w:hAnsi="Times New Roman;Times;serif"/>
          <w:sz w:val="20"/>
        </w:rPr>
        <w:t>Prepaid expenses and other current assets consisted of the following (in thousands):</w:t>
      </w:r>
    </w:p>
    <w:tbl>
      <w:tblPr>
        <w:tblW w:w="4737" w:type="dxa"/>
        <w:jc w:val="center"/>
        <w:tblInd w:w="0" w:type="dxa"/>
        <w:tblLayout w:type="fixed"/>
        <w:tblCellMar>
          <w:top w:w="0" w:type="dxa"/>
          <w:left w:w="0" w:type="dxa"/>
          <w:bottom w:w="0" w:type="dxa"/>
          <w:right w:w="0" w:type="dxa"/>
        </w:tblCellMar>
      </w:tblPr>
      <w:tblGrid>
        <w:gridCol w:w="2311"/>
        <w:gridCol w:w="326"/>
        <w:gridCol w:w="211"/>
        <w:gridCol w:w="571"/>
        <w:gridCol w:w="326"/>
        <w:gridCol w:w="211"/>
        <w:gridCol w:w="781"/>
      </w:tblGrid>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3985" cy="175260"/>
                      <wp:effectExtent l="0" t="0" r="0" b="0"/>
                      <wp:wrapNone/>
                      <wp:docPr id="137"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362585" cy="175260"/>
                      <wp:effectExtent l="0" t="0" r="0" b="0"/>
                      <wp:wrapNone/>
                      <wp:docPr id="138" name="Frame11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260"/>
                      <wp:effectExtent l="0" t="0" r="0" b="0"/>
                      <wp:wrapNone/>
                      <wp:docPr id="140"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95935" cy="175260"/>
                      <wp:effectExtent l="0" t="0" r="0" b="0"/>
                      <wp:wrapNone/>
                      <wp:docPr id="141" name="Frame11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18,417</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Insurance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credit receivable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23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19,250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795" w:type="dxa"/>
        <w:jc w:val="left"/>
        <w:tblInd w:w="0" w:type="dxa"/>
        <w:tblLayout w:type="fixed"/>
        <w:tblCellMar>
          <w:top w:w="0" w:type="dxa"/>
          <w:left w:w="0" w:type="dxa"/>
          <w:bottom w:w="0" w:type="dxa"/>
          <w:right w:w="0" w:type="dxa"/>
        </w:tblCellMar>
      </w:tblPr>
      <w:tblGrid>
        <w:gridCol w:w="245"/>
        <w:gridCol w:w="1550"/>
      </w:tblGrid>
      <w:tr>
        <w:trPr/>
        <w:tc>
          <w:tcPr>
            <w:tcW w:w="24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(6)</w:t>
            </w:r>
          </w:p>
        </w:tc>
        <w:tc>
          <w:tcPr>
            <w:tcW w:w="155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Accrued Expenses</w:t>
            </w:r>
          </w:p>
        </w:tc>
      </w:tr>
    </w:tbl>
    <w:p>
      <w:pPr>
        <w:pStyle w:val="TextBody"/>
        <w:bidi w:val="0"/>
        <w:spacing w:before="0" w:after="240"/>
        <w:ind w:left="400" w:right="0" w:hanging="0"/>
        <w:jc w:val="left"/>
        <w:rPr>
          <w:rFonts w:ascii="Times New Roman;Times;serif" w:hAnsi="Times New Roman;Times;serif"/>
          <w:sz w:val="20"/>
        </w:rPr>
      </w:pPr>
      <w:r>
        <w:rPr>
          <w:rFonts w:ascii="Times New Roman;Times;serif" w:hAnsi="Times New Roman;Times;serif"/>
          <w:sz w:val="20"/>
        </w:rPr>
        <w:t>Accrued expenses consisted of the following (in thousands):</w:t>
      </w:r>
    </w:p>
    <w:tbl>
      <w:tblPr>
        <w:tblW w:w="5352" w:type="dxa"/>
        <w:jc w:val="center"/>
        <w:tblInd w:w="0" w:type="dxa"/>
        <w:tblLayout w:type="fixed"/>
        <w:tblCellMar>
          <w:top w:w="0" w:type="dxa"/>
          <w:left w:w="0" w:type="dxa"/>
          <w:bottom w:w="0" w:type="dxa"/>
          <w:right w:w="0" w:type="dxa"/>
        </w:tblCellMar>
      </w:tblPr>
      <w:tblGrid>
        <w:gridCol w:w="3031"/>
        <w:gridCol w:w="326"/>
        <w:gridCol w:w="211"/>
        <w:gridCol w:w="571"/>
        <w:gridCol w:w="326"/>
        <w:gridCol w:w="211"/>
        <w:gridCol w:w="676"/>
      </w:tblGrid>
      <w:tr>
        <w:trPr/>
        <w:tc>
          <w:tcPr>
            <w:tcW w:w="3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260"/>
                      <wp:effectExtent l="0" t="0" r="0" b="0"/>
                      <wp:wrapNone/>
                      <wp:docPr id="142"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33985" cy="175260"/>
                      <wp:effectExtent l="0" t="0" r="0" b="0"/>
                      <wp:wrapNone/>
                      <wp:docPr id="143"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362585" cy="175260"/>
                      <wp:effectExtent l="0" t="0" r="0" b="0"/>
                      <wp:wrapNone/>
                      <wp:docPr id="144" name="Frame11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3985" cy="175260"/>
                      <wp:effectExtent l="0" t="0" r="0" b="0"/>
                      <wp:wrapNone/>
                      <wp:docPr id="146" name="Frame1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29895" cy="175260"/>
                      <wp:effectExtent l="0" t="0" r="0" b="0"/>
                      <wp:wrapNone/>
                      <wp:docPr id="147" name="Frame120"/>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2,299</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and related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2,677</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accrued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30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5,138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3040" w:type="dxa"/>
        <w:jc w:val="left"/>
        <w:tblInd w:w="0" w:type="dxa"/>
        <w:tblLayout w:type="fixed"/>
        <w:tblCellMar>
          <w:top w:w="0" w:type="dxa"/>
          <w:left w:w="0" w:type="dxa"/>
          <w:bottom w:w="0" w:type="dxa"/>
          <w:right w:w="0" w:type="dxa"/>
        </w:tblCellMar>
      </w:tblPr>
      <w:tblGrid>
        <w:gridCol w:w="245"/>
        <w:gridCol w:w="2795"/>
      </w:tblGrid>
      <w:tr>
        <w:trPr/>
        <w:tc>
          <w:tcPr>
            <w:tcW w:w="24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(7)</w:t>
            </w:r>
          </w:p>
        </w:tc>
        <w:tc>
          <w:tcPr>
            <w:tcW w:w="279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before="0" w:after="240"/>
        <w:ind w:left="400" w:right="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two operating leases that it subleases for its office space in California, one of which commenced in January 2022 with an original lease term through January 2024 (which ended in January 2024) and one of which commenced in November 2023 with an original lease term through January 2026. The Company also leases other space with an initial lease term of less than twelve months; therefore, it does not recognize this lease as an operating lease on the balance sheet.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operating lease ROU asset and the related lease liabilities are initially measured at the present value of future lease payments over the lease term. The Company is responsible for payment of certain real estate taxes, insurance and other expenses on certain of its leases. These amounts are generally considered to be variable and are not included in the measurement of the ROU assets and lease liability. The Company accounts for non-lease components, such as maintenance, separately from lease components.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Operating lease expense was $0.2 million and $0.1 million for the years ended December 31, 2023 and 2022, respectively. The Company’s remaining lease term and discount rate for its operating lease as of December 31, 2023 are 2.17 years and 9.84%,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Future maturities of operating lease liabilities were as follows as of December 31, 2023 (in thousands):</w:t>
      </w:r>
    </w:p>
    <w:tbl>
      <w:tblPr>
        <w:tblW w:w="3794" w:type="dxa"/>
        <w:jc w:val="center"/>
        <w:tblInd w:w="0" w:type="dxa"/>
        <w:tblLayout w:type="fixed"/>
        <w:tblCellMar>
          <w:top w:w="0" w:type="dxa"/>
          <w:left w:w="0" w:type="dxa"/>
          <w:bottom w:w="0" w:type="dxa"/>
          <w:right w:w="0" w:type="dxa"/>
        </w:tblCellMar>
      </w:tblPr>
      <w:tblGrid>
        <w:gridCol w:w="2731"/>
        <w:gridCol w:w="326"/>
        <w:gridCol w:w="211"/>
        <w:gridCol w:w="526"/>
      </w:tblGrid>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8"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3985" cy="175260"/>
                      <wp:effectExtent l="0" t="0" r="0" b="0"/>
                      <wp:wrapNone/>
                      <wp:docPr id="149"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334645" cy="175260"/>
                      <wp:effectExtent l="0" t="0" r="0" b="0"/>
                      <wp:wrapNone/>
                      <wp:docPr id="150" name="Frame123"/>
                      <a:graphic xmlns:a="http://schemas.openxmlformats.org/drawingml/2006/main">
                        <a:graphicData uri="http://schemas.microsoft.com/office/word/2010/wordprocessingShape">
                          <wps:wsp>
                            <wps:cNvSpPr txBox="1"/>
                            <wps:spPr>
                              <a:xfrm>
                                <a:off x="0" y="0"/>
                                <a:ext cx="334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Fiscal year ending:</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future minimum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317</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Cash paid for rent expense recorded during the years ended December 31, 2023 and 2022 was $0.1 million and $0.2 million,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Aarvik Research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December 2021, the Company entered into a Research Collaboration Agreement, as amended, effective June 2023, with Aarvik Pharmaceuticals, Inc. (“Aarvik”), under which the Company is required to pay Aarvik up to $3.1 million on statements of work (“SOWs”) and an initiation fee of $0.3 million predefined in the agreement. After the completion of the SOWs, the Company has an exclusive option to license the Aarvik intellectual property, and the option to acquire certain of Aarvik’s intellectual property, after which it is the Company’s sole responsibility to research, develop, manufacture and commercialize any applicable compound and product in the field and territory. If the Company exercises that option, it would be obligated to pay up to $18.0 million per product upon the achievement of certain clinical and regulatory milestone events and up to $80.0 million per product in commercial milestones. Additionally, the Company would be obligated to pay Aarvik royalties in the mid-single digits based on net sales of licensed products.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years ended December 31, 2023 and 2022, the Company incurred $1.2 million and $0.5 million, respectively, in research and development expenses related to the Aarvik SOWs.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Purchase Commitments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enters into contracts in the normal course of business with contract research organizations, contract manufacturing organizations, universities, and other third parties for preclinical research studies, clinical trials and testing and manufacturing services. These contracts generally do not contain minimum purchase commitments and are cancellable by the Company upon prior written notice although, purchase orders for clinical materials are generally non-cancellable. Payments due upon cancellation consist only of payments for services provided or expenses incurred, including non-cancellable obligations of the Company’s service providers, up to the date of cancellation or upon completion of a manufacturing run.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Employee Benefit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maintains a 401(k) plan for employees. The 401(k) plan qualifies as a deferred salary arrangement under Section 401(k) of the Internal Revenue Code. Under the 401(k) plan, participating employees may defer a portion of their pre-tax earnings. The Company contributes 100% of employee salary deferral contributions up to 4% of pay for each payroll period. The Company contributions to the 401(k) plan during the years ended December 31, 2023 and 2022, were $0.4 million and $0.3 million,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Contingencies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Liabilities for loss contingencies, arising from claims, assessments, litigation, fines, penalties, and other sources are recorded when it is probable that a liability has been incurred and the amount of the assessment and/or remediation can be reasonably estimated.</w:t>
      </w:r>
    </w:p>
    <w:p>
      <w:pPr>
        <w:pStyle w:val="TextBody"/>
        <w:bidi w:val="0"/>
        <w:spacing w:before="0" w:after="0"/>
        <w:ind w:left="0" w:right="0" w:hanging="0"/>
        <w:jc w:val="left"/>
        <w:rPr/>
      </w:pPr>
      <w:r>
        <w:rPr/>
        <w:t>​</w:t>
      </w:r>
    </w:p>
    <w:tbl>
      <w:tblPr>
        <w:tblW w:w="4345" w:type="dxa"/>
        <w:jc w:val="left"/>
        <w:tblInd w:w="0" w:type="dxa"/>
        <w:tblLayout w:type="fixed"/>
        <w:tblCellMar>
          <w:top w:w="0" w:type="dxa"/>
          <w:left w:w="0" w:type="dxa"/>
          <w:bottom w:w="0" w:type="dxa"/>
          <w:right w:w="0" w:type="dxa"/>
        </w:tblCellMar>
      </w:tblPr>
      <w:tblGrid>
        <w:gridCol w:w="245"/>
        <w:gridCol w:w="4100"/>
      </w:tblGrid>
      <w:tr>
        <w:trPr/>
        <w:tc>
          <w:tcPr>
            <w:tcW w:w="24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(8)</w:t>
            </w:r>
          </w:p>
        </w:tc>
        <w:tc>
          <w:tcPr>
            <w:tcW w:w="41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Convertible Preferred Stock and Common Stock</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Convertible Preferred Stock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June 2021, the Company sold 90,000,000 shares of Series A convertible preferred stock (“Series A”) at an original issuance price of $1.00 per share. In February 2022, the Company sold 60,000,000 shares of Series A at an original issuance price of $1.00 per share. In December 2022, the Company sold 104,761,894 shares of Series B convertible preferred stock (“Series B”) at an original issuance price of $1.05 per share. In March 2023, the Company sold 42,857,140 shares of Series B at an original issuance price of $1.05 per share.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is a summary of the rights, preferences, and terms of the Series A and Series B (collectively, “Convertible Preferred Stock”):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Dividends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holders of the Convertible Preferred Stock are entitled to receive dividends payable when, as and if declared by the board of directors of the Company, with the holders of common stock, paid out of any assets or on the common stock of the Company, on an as-converted or as exchangeable to common stock basis. No dividends on common stock were declared or paid from inception through December 31,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Voting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holders of Convertible Preferred Stock are entitled to vote on any matter presented to the stockholders of the Company. Each holder of outstanding shares of Convertible Preferred Stock is entitled to the number of votes equal to the number of shares of common stock into which the shares of Convertible Preferred Stock are convertible or exchangeable. Holders of Series A are entitled to elect two directors; holders of Series B are entitled to elect two directors; and holders of common stock are entitled to elect two directors. The holders of common stock and Convertible Preferred Stock, together as a single class, are entitled to elect the balance of the total directors of the corporation and on an as converted or exchangeable basis. As of December 31, 2023, the Company had seven directors.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Liquidation Preference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the event of any voluntary or involuntary liquidations, dissolution or winding up of the Company, including a Deemed Liquidation Event (as described below), the holders of Series B shall be entitled to be paid out of the consideration payable to stockholders before any payment shall be made to the holders of Series A or common stock, an amount equal to the greater of (i) Series B original issue price, plus any dividend declared but unpaid, or (ii) such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amount per share as would have been payable had all shares of Series B been converted into common stock immediately prior to liquidation, dissolution or winding up. The holders of Series A shall be entitled to be paid out of the consideration payable to stockholders after any payment to the holders of Series B but before any payment shall be made to the holders common stock, an amount equal to the greater of (i) Series A original issue price, plus any dividend declared but unpaid, or (ii) such amount per share as would have been payable had all shares of Series A been converted into common stock immediately prior to liquidation, dissolution or winding up. As of December 31, 2023, the liquidation amount is $1.00 per share for the Series A and $1.05 per share for the Series B.</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Deemed Liquidation Event shall include a merger or consolidation in which the Company is a constituent party (other than one in which the current stockholders of the Company own a majority of the voting power of the outstanding shares of the surviving company) or the sale, lease, transfer, exclusive license or other disposition of all or substantially all of the business or assets of the Company.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Classification of Convertible Preferred Stock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Upon the second closing of the Series A in February 2022, the Series A and Series B have been classified outside of stockholders’ equity (deficit) because the holders of such shares have redemption rights in the event of a Deemed Liquidation Event that is not solely within the control of the Company. Because the occurrence of a Deemed Liquidation Event is not currently probable, the carrying values of the Convertible Preferred Stock are not being accreted to their redemption values.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Conversion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Convertible Preferred Stock is convertible into common stock based on the original issuance price of the security, which is the Conversion Price, subject to certain anti-dilution provisions in the event of a future issuance of preferred stock which creates a down round. The Conversion Price is $15.21 per share for Series A and $15.97 per share for Series B, subject to appropriate adjustment in the event of any stock dividend, stock split, combination or other similar recapitalization as set for the Company’s Certificate of Incorporation. As a result, as of December 31, 2023, each outstanding share of Series A and Series B is convertible into common stock on a 15.21 for 1 basis. The Convertible Preferred Stock automatically converts to common stock upon (1) an initial public offering totaling at least $31.94 per share, resulting in at least $75.0 million in proceeds, or (2) the date and time, or the occurrence of an event, specified by vote or written consent of (i) the holders of at least 55% of the voting power represented by the outstanding shares of Series A, voting together as a single class and (ii) the holders of at least 60% of the voting power represented by the outstanding shares of Series B, voting together as a single class.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January 26, 2024, the Convertible Preferred Stockholders waived the initial public offering per share parameter and as such, the Convertible Preferred Stock for both Series A and Series B were converted at the time of the initial public offering.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Common Stock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holders of the common stock are entitled to one vote for each share of common stock held at all meetings of stockholders. Unless required by law, there shall be no cumulative voting. In the event of any voluntary or involuntary liquidation, dissolution or winding up of the Company, after the payment of all preferential amounts required to be paid to the holders of shares of Convertible Preferred Stock, the remaining funds and assets available for distribution to the stockholders of the Company will be distributed among the holders of shares of common stock, pro rata based on the number of shares of common stock held by each such holder.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Founders’ Shares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May 2021, the Company issued 1,314,914 shares of its common stock at a purchase price of $0.0015 per share, which are referred to as Founders’ Shares. The issuance price was equal to the estimated fair value of the common stock as the Founders’ Shares were issued shortly after the Company’s inception prior to raising any capital or acquiring any intellectual property. Prior to the second anniversary of the issuance date, the Company had the right to repurchase the Founders’ Shares at the original issuance price if the purchaser of the Founders’ Shares resigned employment or ceased to provide services to the Company. During the year ended December 31, 2023, the Company repurchased 7,387 Founders’ Shares from a holder upon the termination of their employment. The Company’s right to repurchase Founders’ Shares has lapsed.</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tbl>
      <w:tblPr>
        <w:tblW w:w="2530" w:type="dxa"/>
        <w:jc w:val="left"/>
        <w:tblInd w:w="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(9)</w:t>
            </w:r>
          </w:p>
        </w:tc>
        <w:tc>
          <w:tcPr>
            <w:tcW w:w="228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Stock-based Compensation</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June 2021, the Company adopted the 2021 Employee, Director and Consultant Equity Incentive Plan (the “Plan”), as amended, that authorized the Company to grant up to 803,564 shares of common stock. In 2022, the Company amended the Plan and increased the total number of shares authorized under the Plan to 2,748,818. As of December 31, 2023, there were 903,866 shares available to be granted. The Company’s stock options vest based on the terms in the awards agreements and generally vest over four years. The Company recorded stock-based compensation expense in the following expense categories in its accompanying statements of operations (in thousands):</w:t>
      </w:r>
    </w:p>
    <w:tbl>
      <w:tblPr>
        <w:tblW w:w="4676" w:type="dxa"/>
        <w:jc w:val="center"/>
        <w:tblInd w:w="0" w:type="dxa"/>
        <w:tblLayout w:type="fixed"/>
        <w:tblCellMar>
          <w:top w:w="0" w:type="dxa"/>
          <w:left w:w="0" w:type="dxa"/>
          <w:bottom w:w="0" w:type="dxa"/>
          <w:right w:w="0" w:type="dxa"/>
        </w:tblCellMar>
      </w:tblPr>
      <w:tblGrid>
        <w:gridCol w:w="2311"/>
        <w:gridCol w:w="326"/>
        <w:gridCol w:w="254"/>
        <w:gridCol w:w="506"/>
        <w:gridCol w:w="392"/>
        <w:gridCol w:w="254"/>
        <w:gridCol w:w="633"/>
      </w:tblGrid>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1"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61290" cy="175260"/>
                      <wp:effectExtent l="0" t="0" r="0" b="0"/>
                      <wp:wrapNone/>
                      <wp:docPr id="152" name="Frame125"/>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321310" cy="175260"/>
                      <wp:effectExtent l="0" t="0" r="0" b="0"/>
                      <wp:wrapNone/>
                      <wp:docPr id="153" name="Frame126"/>
                      <a:graphic xmlns:a="http://schemas.openxmlformats.org/drawingml/2006/main">
                        <a:graphicData uri="http://schemas.microsoft.com/office/word/2010/wordprocessingShape">
                          <wps:wsp>
                            <wps:cNvSpPr txBox="1"/>
                            <wps:spPr>
                              <a:xfrm>
                                <a:off x="0" y="0"/>
                                <a:ext cx="32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48920" cy="175260"/>
                      <wp:effectExtent l="0" t="0" r="0" b="0"/>
                      <wp:wrapNone/>
                      <wp:docPr id="154" name="Frame127"/>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61290" cy="175260"/>
                      <wp:effectExtent l="0" t="0" r="0" b="0"/>
                      <wp:wrapNone/>
                      <wp:docPr id="155" name="Frame128"/>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402590" cy="175260"/>
                      <wp:effectExtent l="0" t="0" r="0" b="0"/>
                      <wp:wrapNone/>
                      <wp:docPr id="156" name="Frame129"/>
                      <a:graphic xmlns:a="http://schemas.openxmlformats.org/drawingml/2006/main">
                        <a:graphicData uri="http://schemas.microsoft.com/office/word/2010/wordprocessingShape">
                          <wps:wsp>
                            <wps:cNvSpPr txBox="1"/>
                            <wps:spPr>
                              <a:xfrm>
                                <a:off x="0" y="0"/>
                                <a:ext cx="402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2"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w:t>
            </w:r>
          </w:p>
        </w:tc>
        <w:tc>
          <w:tcPr>
            <w:tcW w:w="392"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w:t>
            </w:r>
          </w:p>
        </w:tc>
        <w:tc>
          <w:tcPr>
            <w:tcW w:w="392" w:type="dxa"/>
            <w:tcBorders/>
            <w:vAlign w:val="center"/>
          </w:tcPr>
          <w:p>
            <w:pPr>
              <w:pStyle w:val="TableContents"/>
              <w:bidi w:val="0"/>
              <w:spacing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r>
      <w:tr>
        <w:trPr/>
        <w:tc>
          <w:tcPr>
            <w:tcW w:w="23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895</w:t>
            </w:r>
          </w:p>
        </w:tc>
        <w:tc>
          <w:tcPr>
            <w:tcW w:w="392" w:type="dxa"/>
            <w:tcBorders/>
            <w:shd w:fill="CCEEFF" w:val="clear"/>
            <w:vAlign w:val="center"/>
          </w:tcPr>
          <w:p>
            <w:pPr>
              <w:pStyle w:val="TableContents"/>
              <w:bidi w:val="0"/>
              <w:spacing w:before="0" w:after="0"/>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424</w:t>
            </w:r>
          </w:p>
        </w:tc>
      </w:tr>
    </w:tbl>
    <w:p>
      <w:pPr>
        <w:pStyle w:val="TextBody"/>
        <w:bidi w:val="0"/>
        <w:spacing w:before="0" w:after="0"/>
        <w:ind w:left="0" w:right="0" w:hanging="0"/>
        <w:jc w:val="left"/>
        <w:rPr/>
      </w:pPr>
      <w:r>
        <w:rPr/>
        <w:t>​</w:t>
      </w:r>
    </w:p>
    <w:p>
      <w:pPr>
        <w:pStyle w:val="TextBody"/>
        <w:bidi w:val="0"/>
        <w:spacing w:before="0" w:after="240"/>
        <w:ind w:left="400" w:right="0" w:hanging="0"/>
        <w:jc w:val="left"/>
        <w:rPr>
          <w:rFonts w:ascii="Times New Roman;Times;serif" w:hAnsi="Times New Roman;Times;serif"/>
          <w:sz w:val="20"/>
        </w:rPr>
      </w:pPr>
      <w:r>
        <w:rPr>
          <w:rFonts w:ascii="Times New Roman;Times;serif" w:hAnsi="Times New Roman;Times;serif"/>
          <w:sz w:val="20"/>
        </w:rPr>
        <w:t>The following is a summary of stock options activity under the Plan:</w:t>
      </w:r>
    </w:p>
    <w:tbl>
      <w:tblPr>
        <w:tblW w:w="9453" w:type="dxa"/>
        <w:jc w:val="center"/>
        <w:tblInd w:w="0" w:type="dxa"/>
        <w:tblLayout w:type="fixed"/>
        <w:tblCellMar>
          <w:top w:w="0" w:type="dxa"/>
          <w:left w:w="0" w:type="dxa"/>
          <w:bottom w:w="0" w:type="dxa"/>
          <w:right w:w="0" w:type="dxa"/>
        </w:tblCellMar>
      </w:tblPr>
      <w:tblGrid>
        <w:gridCol w:w="4201"/>
        <w:gridCol w:w="326"/>
        <w:gridCol w:w="931"/>
        <w:gridCol w:w="326"/>
        <w:gridCol w:w="248"/>
        <w:gridCol w:w="548"/>
        <w:gridCol w:w="326"/>
        <w:gridCol w:w="1006"/>
        <w:gridCol w:w="326"/>
        <w:gridCol w:w="285"/>
        <w:gridCol w:w="930"/>
      </w:tblGrid>
      <w:tr>
        <w:trPr/>
        <w:tc>
          <w:tcPr>
            <w:tcW w:w="4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667635" cy="175260"/>
                      <wp:effectExtent l="0" t="0" r="0" b="0"/>
                      <wp:wrapNone/>
                      <wp:docPr id="157" name="Frame130"/>
                      <a:graphic xmlns:a="http://schemas.openxmlformats.org/drawingml/2006/main">
                        <a:graphicData uri="http://schemas.microsoft.com/office/word/2010/wordprocessingShape">
                          <wps:wsp>
                            <wps:cNvSpPr txBox="1"/>
                            <wps:spPr>
                              <a:xfrm>
                                <a:off x="0" y="0"/>
                                <a:ext cx="266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91185" cy="175260"/>
                      <wp:effectExtent l="0" t="0" r="0" b="0"/>
                      <wp:wrapNone/>
                      <wp:docPr id="159" name="Frame13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60"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57480" cy="175260"/>
                      <wp:effectExtent l="0" t="0" r="0" b="0"/>
                      <wp:wrapNone/>
                      <wp:docPr id="161" name="Frame134"/>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47980" cy="175260"/>
                      <wp:effectExtent l="0" t="0" r="0" b="0"/>
                      <wp:wrapNone/>
                      <wp:docPr id="162" name="Frame135"/>
                      <a:graphic xmlns:a="http://schemas.openxmlformats.org/drawingml/2006/main">
                        <a:graphicData uri="http://schemas.microsoft.com/office/word/2010/wordprocessingShape">
                          <wps:wsp>
                            <wps:cNvSpPr txBox="1"/>
                            <wps:spPr>
                              <a:xfrm>
                                <a:off x="0" y="0"/>
                                <a:ext cx="347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3"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38810" cy="175260"/>
                      <wp:effectExtent l="0" t="0" r="0" b="0"/>
                      <wp:wrapNone/>
                      <wp:docPr id="164" name="Frame137"/>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80975" cy="175260"/>
                      <wp:effectExtent l="0" t="0" r="0" b="0"/>
                      <wp:wrapNone/>
                      <wp:docPr id="166" name="Frame139"/>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90550" cy="175260"/>
                      <wp:effectExtent l="0" t="0" r="0" b="0"/>
                      <wp:wrapNone/>
                      <wp:docPr id="167" name="Frame140"/>
                      <a:graphic xmlns:a="http://schemas.openxmlformats.org/drawingml/2006/main">
                        <a:graphicData uri="http://schemas.microsoft.com/office/word/2010/wordprocessingShape">
                          <wps:wsp>
                            <wps:cNvSpPr txBox="1"/>
                            <wps:spPr>
                              <a:xfrm>
                                <a:off x="0" y="0"/>
                                <a:ext cx="590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5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pPr>
            <w:r>
              <w:rPr/>
              <w:t>​</w: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left"/>
              <w:rPr/>
            </w:pPr>
            <w:r>
              <w:rPr/>
              <w:t>​</w:t>
            </w:r>
          </w:p>
        </w:tc>
        <w:tc>
          <w:tcPr>
            <w:tcW w:w="1215" w:type="dxa"/>
            <w:gridSpan w:val="2"/>
            <w:tcBorders/>
            <w:vAlign w:val="center"/>
          </w:tcPr>
          <w:p>
            <w:pPr>
              <w:pStyle w:val="TableContents"/>
              <w:bidi w:val="0"/>
              <w:spacing w:before="0" w:after="0"/>
              <w:ind w:left="0" w:right="0" w:hanging="0"/>
              <w:jc w:val="center"/>
              <w:rPr/>
            </w:pPr>
            <w:r>
              <w:rPr/>
              <w:t>​</w: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vAlign w:val="center"/>
          </w:tcPr>
          <w:p>
            <w:pPr>
              <w:pStyle w:val="TableContents"/>
              <w:bidi w:val="0"/>
              <w:spacing w:before="0" w:after="0"/>
              <w:ind w:left="0" w:right="0" w:hanging="0"/>
              <w:jc w:val="left"/>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26" w:type="dxa"/>
            <w:tcBorders/>
            <w:vAlign w:val="center"/>
          </w:tcPr>
          <w:p>
            <w:pPr>
              <w:pStyle w:val="TableContents"/>
              <w:bidi w:val="0"/>
              <w:spacing w:before="0" w:after="0"/>
              <w:ind w:left="0" w:right="0" w:hanging="0"/>
              <w:jc w:val="left"/>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 Value</w: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0"/>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(years)</w:t>
            </w:r>
          </w:p>
        </w:tc>
        <w:tc>
          <w:tcPr>
            <w:tcW w:w="326" w:type="dxa"/>
            <w:tcBorders/>
            <w:vAlign w:val="center"/>
          </w:tcPr>
          <w:p>
            <w:pPr>
              <w:pStyle w:val="TableContents"/>
              <w:bidi w:val="0"/>
              <w:spacing w:before="0" w:after="0"/>
              <w:ind w:left="0" w:right="0" w:hanging="0"/>
              <w:jc w:val="left"/>
              <w:rPr/>
            </w:pPr>
            <w:r>
              <w:rPr/>
              <w:t>    </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January 1, 2022</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424,052</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pPr>
            <w:r>
              <w:rPr/>
              <w:t>​</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699,450</w:t>
            </w:r>
          </w:p>
        </w:tc>
        <w:tc>
          <w:tcPr>
            <w:tcW w:w="32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w:t>
            </w:r>
          </w:p>
        </w:tc>
        <w:tc>
          <w:tcPr>
            <w:tcW w:w="5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(6,574)</w:t>
            </w:r>
          </w:p>
        </w:tc>
        <w:tc>
          <w:tcPr>
            <w:tcW w:w="326" w:type="dxa"/>
            <w:tcBorders/>
            <w:shd w:fill="CCEEFF" w:val="clear"/>
            <w:vAlign w:val="center"/>
          </w:tcPr>
          <w:p>
            <w:pPr>
              <w:pStyle w:val="TableContents"/>
              <w:bidi w:val="0"/>
              <w:spacing w:before="0" w:after="0"/>
              <w:ind w:left="0" w:right="0" w:hanging="0"/>
              <w:jc w:val="left"/>
              <w:rPr/>
            </w:pPr>
            <w:r>
              <w:rPr/>
              <w:t> </w:t>
            </w:r>
          </w:p>
        </w:tc>
        <w:tc>
          <w:tcPr>
            <w:tcW w:w="248" w:type="dxa"/>
            <w:tcBorders/>
            <w:shd w:fill="CCEEFF" w:val="clear"/>
            <w:vAlign w:val="center"/>
          </w:tcPr>
          <w:p>
            <w:pPr>
              <w:pStyle w:val="TableContents"/>
              <w:bidi w:val="0"/>
              <w:spacing w:before="0" w:after="0"/>
              <w:ind w:left="0" w:right="0" w:hanging="0"/>
              <w:jc w:val="left"/>
              <w:rPr/>
            </w:pPr>
            <w:r>
              <w:rPr/>
              <w:t>​</w:t>
            </w:r>
          </w:p>
        </w:tc>
        <w:tc>
          <w:tcPr>
            <w:tcW w:w="5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pPr>
            <w:r>
              <w:rPr/>
              <w:t>​</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(38,133)</w:t>
            </w:r>
          </w:p>
        </w:tc>
        <w:tc>
          <w:tcPr>
            <w:tcW w:w="32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w:t>
            </w:r>
          </w:p>
        </w:tc>
        <w:tc>
          <w:tcPr>
            <w:tcW w:w="5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1,078,795</w:t>
            </w:r>
          </w:p>
        </w:tc>
        <w:tc>
          <w:tcPr>
            <w:tcW w:w="326" w:type="dxa"/>
            <w:tcBorders/>
            <w:shd w:fill="CCEEFF" w:val="clear"/>
            <w:vAlign w:val="center"/>
          </w:tcPr>
          <w:p>
            <w:pPr>
              <w:pStyle w:val="TableContents"/>
              <w:bidi w:val="0"/>
              <w:spacing w:before="0" w:after="0"/>
              <w:ind w:left="0" w:right="0" w:hanging="0"/>
              <w:jc w:val="left"/>
              <w:rPr/>
            </w:pPr>
            <w:r>
              <w:rPr/>
              <w:t> </w:t>
            </w:r>
          </w:p>
        </w:tc>
        <w:tc>
          <w:tcPr>
            <w:tcW w:w="248" w:type="dxa"/>
            <w:tcBorders/>
            <w:shd w:fill="CCEEFF" w:val="clear"/>
            <w:vAlign w:val="center"/>
          </w:tcPr>
          <w:p>
            <w:pPr>
              <w:pStyle w:val="TableContents"/>
              <w:bidi w:val="0"/>
              <w:spacing w:before="0" w:after="0"/>
              <w:ind w:left="0" w:right="0" w:hanging="0"/>
              <w:jc w:val="left"/>
              <w:rPr/>
            </w:pPr>
            <w:r>
              <w:rPr/>
              <w:t>​</w:t>
            </w:r>
          </w:p>
        </w:tc>
        <w:tc>
          <w:tcPr>
            <w:tcW w:w="5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pPr>
            <w:r>
              <w:rPr/>
              <w:t>​</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801,091</w:t>
            </w:r>
          </w:p>
        </w:tc>
        <w:tc>
          <w:tcPr>
            <w:tcW w:w="32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w:t>
            </w:r>
          </w:p>
        </w:tc>
        <w:tc>
          <w:tcPr>
            <w:tcW w:w="5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(155,129)</w:t>
            </w:r>
          </w:p>
        </w:tc>
        <w:tc>
          <w:tcPr>
            <w:tcW w:w="326" w:type="dxa"/>
            <w:tcBorders/>
            <w:shd w:fill="CCEEFF" w:val="clear"/>
            <w:vAlign w:val="center"/>
          </w:tcPr>
          <w:p>
            <w:pPr>
              <w:pStyle w:val="TableContents"/>
              <w:bidi w:val="0"/>
              <w:spacing w:before="0" w:after="0"/>
              <w:ind w:left="0" w:right="0" w:hanging="0"/>
              <w:jc w:val="left"/>
              <w:rPr/>
            </w:pPr>
            <w:r>
              <w:rPr/>
              <w:t> </w:t>
            </w:r>
          </w:p>
        </w:tc>
        <w:tc>
          <w:tcPr>
            <w:tcW w:w="248" w:type="dxa"/>
            <w:tcBorders/>
            <w:shd w:fill="CCEEFF" w:val="clear"/>
            <w:vAlign w:val="center"/>
          </w:tcPr>
          <w:p>
            <w:pPr>
              <w:pStyle w:val="TableContents"/>
              <w:bidi w:val="0"/>
              <w:spacing w:before="0" w:after="0"/>
              <w:ind w:left="0" w:right="0" w:hanging="0"/>
              <w:jc w:val="left"/>
              <w:rPr/>
            </w:pPr>
            <w:r>
              <w:rPr/>
              <w:t>​</w:t>
            </w:r>
          </w:p>
        </w:tc>
        <w:tc>
          <w:tcPr>
            <w:tcW w:w="5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Forfeited/expired</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(41,601)</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5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1,683,156</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5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7,366</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as of December 31, 2023</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366,135</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5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2,005</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expected to vest at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1,683,156</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7,366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weighted-average grant-date fair value of options granted in 2023 and 2022 were $3.57 and $1.67 per share. The fair value was estimated using the Black-Scholes option-pricing model based on the following assumptions:</w:t>
      </w:r>
    </w:p>
    <w:tbl>
      <w:tblPr>
        <w:tblW w:w="8922" w:type="dxa"/>
        <w:jc w:val="center"/>
        <w:tblInd w:w="0" w:type="dxa"/>
        <w:tblLayout w:type="fixed"/>
        <w:tblCellMar>
          <w:top w:w="0" w:type="dxa"/>
          <w:left w:w="0" w:type="dxa"/>
          <w:bottom w:w="0" w:type="dxa"/>
          <w:right w:w="0" w:type="dxa"/>
        </w:tblCellMar>
      </w:tblPr>
      <w:tblGrid>
        <w:gridCol w:w="5191"/>
        <w:gridCol w:w="326"/>
        <w:gridCol w:w="211"/>
        <w:gridCol w:w="1306"/>
        <w:gridCol w:w="326"/>
        <w:gridCol w:w="211"/>
        <w:gridCol w:w="1351"/>
      </w:tblGrid>
      <w:tr>
        <w:trPr/>
        <w:tc>
          <w:tcPr>
            <w:tcW w:w="51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829310" cy="175260"/>
                      <wp:effectExtent l="0" t="0" r="0" b="0"/>
                      <wp:wrapNone/>
                      <wp:docPr id="170" name="Frame143"/>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858520" cy="175260"/>
                      <wp:effectExtent l="0" t="0" r="0" b="0"/>
                      <wp:wrapNone/>
                      <wp:docPr id="173" name="Frame146"/>
                      <a:graphic xmlns:a="http://schemas.openxmlformats.org/drawingml/2006/main">
                        <a:graphicData uri="http://schemas.microsoft.com/office/word/2010/wordprocessingShape">
                          <wps:wsp>
                            <wps:cNvSpPr txBox="1"/>
                            <wps:spPr>
                              <a:xfrm>
                                <a:off x="0" y="0"/>
                                <a:ext cx="858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51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5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 - 4.86%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 - 4.01%</w:t>
            </w:r>
          </w:p>
        </w:tc>
      </w:tr>
      <w:tr>
        <w:trPr/>
        <w:tc>
          <w:tcPr>
            <w:tcW w:w="5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5.5 - 6.1 years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 years</w:t>
            </w:r>
          </w:p>
        </w:tc>
      </w:tr>
      <w:tr>
        <w:trPr/>
        <w:tc>
          <w:tcPr>
            <w:tcW w:w="5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 - 92.5%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 - 90.0%</w:t>
            </w:r>
          </w:p>
        </w:tc>
      </w:tr>
      <w:tr>
        <w:trPr/>
        <w:tc>
          <w:tcPr>
            <w:tcW w:w="5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3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right"/>
              <w:rPr/>
            </w:pPr>
            <w:r>
              <w:rPr/>
              <w:t>—</w:t>
            </w:r>
          </w:p>
        </w:tc>
      </w:tr>
      <w:tr>
        <w:trPr/>
        <w:tc>
          <w:tcPr>
            <w:tcW w:w="5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fair value of the Company's common stock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2.71 - 4.86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2.28</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Unrecognized compensation cost for awards not vested as of December 31, 2023 was $3.2 million and will be expensed over a weighted-average period of 2.7 years.</w:t>
      </w:r>
    </w:p>
    <w:p>
      <w:pPr>
        <w:pStyle w:val="TextBody"/>
        <w:bidi w:val="0"/>
        <w:spacing w:before="0" w:after="0"/>
        <w:ind w:left="0" w:right="0" w:hanging="0"/>
        <w:jc w:val="left"/>
        <w:rPr/>
      </w:pPr>
      <w:r>
        <w:rPr/>
        <w:t>​</w:t>
      </w:r>
    </w:p>
    <w:tbl>
      <w:tblPr>
        <w:tblW w:w="1555" w:type="dxa"/>
        <w:jc w:val="left"/>
        <w:tblInd w:w="0" w:type="dxa"/>
        <w:tblLayout w:type="fixed"/>
        <w:tblCellMar>
          <w:top w:w="0" w:type="dxa"/>
          <w:left w:w="0" w:type="dxa"/>
          <w:bottom w:w="0" w:type="dxa"/>
          <w:right w:w="0" w:type="dxa"/>
        </w:tblCellMar>
      </w:tblPr>
      <w:tblGrid>
        <w:gridCol w:w="350"/>
        <w:gridCol w:w="1205"/>
      </w:tblGrid>
      <w:tr>
        <w:trPr/>
        <w:tc>
          <w:tcPr>
            <w:tcW w:w="35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(10)</w:t>
            </w:r>
          </w:p>
        </w:tc>
        <w:tc>
          <w:tcPr>
            <w:tcW w:w="120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incurred losses since inception and has not recorded current or deferred income taxes.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reconciliation of income tax benefit at the statutory federal income tax rate and income taxes as reflected in the financial statements is as follows:</w:t>
      </w:r>
    </w:p>
    <w:tbl>
      <w:tblPr>
        <w:tblW w:w="5457" w:type="dxa"/>
        <w:jc w:val="center"/>
        <w:tblInd w:w="0" w:type="dxa"/>
        <w:tblLayout w:type="fixed"/>
        <w:tblCellMar>
          <w:top w:w="0" w:type="dxa"/>
          <w:left w:w="0" w:type="dxa"/>
          <w:bottom w:w="0" w:type="dxa"/>
          <w:right w:w="0" w:type="dxa"/>
        </w:tblCellMar>
      </w:tblPr>
      <w:tblGrid>
        <w:gridCol w:w="2821"/>
        <w:gridCol w:w="326"/>
        <w:gridCol w:w="762"/>
        <w:gridCol w:w="470"/>
        <w:gridCol w:w="762"/>
        <w:gridCol w:w="316"/>
      </w:tblGrid>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83870" cy="175260"/>
                      <wp:effectExtent l="0" t="0" r="0" b="0"/>
                      <wp:wrapNone/>
                      <wp:docPr id="175" name="Frame148"/>
                      <a:graphic xmlns:a="http://schemas.openxmlformats.org/drawingml/2006/main">
                        <a:graphicData uri="http://schemas.microsoft.com/office/word/2010/wordprocessingShape">
                          <wps:wsp>
                            <wps:cNvSpPr txBox="1"/>
                            <wps:spPr>
                              <a:xfrm>
                                <a:off x="0" y="0"/>
                                <a:ext cx="483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98450" cy="175260"/>
                      <wp:effectExtent l="0" t="0" r="0" b="0"/>
                      <wp:wrapNone/>
                      <wp:docPr id="176" name="Frame149"/>
                      <a:graphic xmlns:a="http://schemas.openxmlformats.org/drawingml/2006/main">
                        <a:graphicData uri="http://schemas.microsoft.com/office/word/2010/wordprocessingShape">
                          <wps:wsp>
                            <wps:cNvSpPr txBox="1"/>
                            <wps:spPr>
                              <a:xfrm>
                                <a:off x="0" y="0"/>
                                <a:ext cx="298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83870" cy="175260"/>
                      <wp:effectExtent l="0" t="0" r="0" b="0"/>
                      <wp:wrapNone/>
                      <wp:docPr id="177" name="Frame150"/>
                      <a:graphic xmlns:a="http://schemas.openxmlformats.org/drawingml/2006/main">
                        <a:graphicData uri="http://schemas.microsoft.com/office/word/2010/wordprocessingShape">
                          <wps:wsp>
                            <wps:cNvSpPr txBox="1"/>
                            <wps:spPr>
                              <a:xfrm>
                                <a:off x="0" y="0"/>
                                <a:ext cx="483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0660" cy="175260"/>
                      <wp:effectExtent l="0" t="0" r="0" b="0"/>
                      <wp:wrapNone/>
                      <wp:docPr id="178" name="Frame15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9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c>
          <w:tcPr>
            <w:tcW w:w="316" w:type="dxa"/>
            <w:tcBorders/>
            <w:vAlign w:val="center"/>
          </w:tcPr>
          <w:p>
            <w:pPr>
              <w:pStyle w:val="TableContents"/>
              <w:bidi w:val="0"/>
              <w:spacing w:before="0" w:after="0"/>
              <w:ind w:left="0" w:right="0" w:hanging="0"/>
              <w:jc w:val="center"/>
              <w:rPr/>
            </w:pPr>
            <w:r>
              <w:rPr/>
              <w:t>​</w: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6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70" w:type="dxa"/>
            <w:tcBorders/>
            <w:vAlign w:val="center"/>
          </w:tcPr>
          <w:p>
            <w:pPr>
              <w:pStyle w:val="TableContents"/>
              <w:bidi w:val="0"/>
              <w:spacing w:before="0" w:after="0"/>
              <w:ind w:left="0" w:right="0" w:hanging="0"/>
              <w:jc w:val="left"/>
              <w:rPr/>
            </w:pPr>
            <w:r>
              <w:rPr/>
              <w:t>    </w:t>
            </w:r>
          </w:p>
        </w:tc>
        <w:tc>
          <w:tcPr>
            <w:tcW w:w="76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vAlign w:val="center"/>
          </w:tcPr>
          <w:p>
            <w:pPr>
              <w:pStyle w:val="TableContents"/>
              <w:bidi w:val="0"/>
              <w:spacing w:before="0" w:after="0"/>
              <w:ind w:left="0" w:right="0" w:hanging="0"/>
              <w:jc w:val="center"/>
              <w:rPr/>
            </w:pPr>
            <w:r>
              <w:rPr/>
              <w:t>​</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at U.S. federal rate</w:t>
            </w:r>
          </w:p>
        </w:tc>
        <w:tc>
          <w:tcPr>
            <w:tcW w:w="326" w:type="dxa"/>
            <w:tcBorders/>
            <w:shd w:fill="CCEEFF" w:val="clear"/>
            <w:vAlign w:val="center"/>
          </w:tcPr>
          <w:p>
            <w:pPr>
              <w:pStyle w:val="TableContents"/>
              <w:bidi w:val="0"/>
              <w:spacing w:before="0" w:after="0"/>
              <w:ind w:left="0" w:right="0" w:hanging="0"/>
              <w:jc w:val="left"/>
              <w:rPr/>
            </w:pPr>
            <w:r>
              <w:rPr/>
              <w:t>​</w:t>
            </w:r>
          </w:p>
        </w:tc>
        <w:tc>
          <w:tcPr>
            <w:tcW w:w="7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income taxes</w:t>
            </w:r>
          </w:p>
        </w:tc>
        <w:tc>
          <w:tcPr>
            <w:tcW w:w="326"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470"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16" w:type="dxa"/>
            <w:tcBorders/>
            <w:vAlign w:val="center"/>
          </w:tcPr>
          <w:p>
            <w:pPr>
              <w:pStyle w:val="TableContents"/>
              <w:bidi w:val="0"/>
              <w:spacing w:before="0" w:after="0"/>
              <w:ind w:left="0" w:right="0" w:hanging="0"/>
              <w:jc w:val="left"/>
              <w:rPr/>
            </w:pPr>
            <w:r>
              <w:rPr/>
              <w:t>​</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permanent differences</w:t>
            </w:r>
          </w:p>
        </w:tc>
        <w:tc>
          <w:tcPr>
            <w:tcW w:w="326" w:type="dxa"/>
            <w:tcBorders/>
            <w:shd w:fill="CCEEFF" w:val="clear"/>
            <w:vAlign w:val="center"/>
          </w:tcPr>
          <w:p>
            <w:pPr>
              <w:pStyle w:val="TableContents"/>
              <w:bidi w:val="0"/>
              <w:spacing w:before="0" w:after="0"/>
              <w:ind w:left="0" w:right="0" w:hanging="0"/>
              <w:jc w:val="left"/>
              <w:rPr/>
            </w:pPr>
            <w:r>
              <w:rPr/>
              <w:t> </w:t>
            </w:r>
          </w:p>
        </w:tc>
        <w:tc>
          <w:tcPr>
            <w:tcW w:w="7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470" w:type="dxa"/>
            <w:tcBorders/>
            <w:shd w:fill="CCEEFF" w:val="clear"/>
            <w:vAlign w:val="center"/>
          </w:tcPr>
          <w:p>
            <w:pPr>
              <w:pStyle w:val="TableContents"/>
              <w:bidi w:val="0"/>
              <w:spacing w:before="0" w:after="0"/>
              <w:ind w:left="0" w:right="0" w:hanging="0"/>
              <w:jc w:val="left"/>
              <w:rPr/>
            </w:pPr>
            <w:r>
              <w:rPr/>
              <w:t> </w:t>
            </w:r>
          </w:p>
        </w:tc>
        <w:tc>
          <w:tcPr>
            <w:tcW w:w="7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credit</w:t>
            </w:r>
          </w:p>
        </w:tc>
        <w:tc>
          <w:tcPr>
            <w:tcW w:w="326"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470"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16" w:type="dxa"/>
            <w:tcBorders/>
            <w:vAlign w:val="center"/>
          </w:tcPr>
          <w:p>
            <w:pPr>
              <w:pStyle w:val="TableContents"/>
              <w:bidi w:val="0"/>
              <w:spacing w:before="0" w:after="0"/>
              <w:ind w:left="0" w:right="0" w:hanging="0"/>
              <w:jc w:val="left"/>
              <w:rPr/>
            </w:pPr>
            <w:r>
              <w:rPr/>
              <w:t>​</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Rate change</w:t>
            </w:r>
          </w:p>
        </w:tc>
        <w:tc>
          <w:tcPr>
            <w:tcW w:w="326" w:type="dxa"/>
            <w:tcBorders/>
            <w:shd w:fill="CCEEFF" w:val="clear"/>
            <w:vAlign w:val="center"/>
          </w:tcPr>
          <w:p>
            <w:pPr>
              <w:pStyle w:val="TableContents"/>
              <w:bidi w:val="0"/>
              <w:spacing w:before="0" w:after="0"/>
              <w:ind w:left="0" w:right="0" w:hanging="0"/>
              <w:jc w:val="left"/>
              <w:rPr/>
            </w:pPr>
            <w:r>
              <w:rPr/>
              <w:t>​</w:t>
            </w:r>
          </w:p>
        </w:tc>
        <w:tc>
          <w:tcPr>
            <w:tcW w:w="7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470" w:type="dxa"/>
            <w:tcBorders/>
            <w:shd w:fill="CCEEFF" w:val="clear"/>
            <w:vAlign w:val="center"/>
          </w:tcPr>
          <w:p>
            <w:pPr>
              <w:pStyle w:val="TableContents"/>
              <w:bidi w:val="0"/>
              <w:spacing w:before="0" w:after="0"/>
              <w:ind w:left="0" w:right="0" w:hanging="0"/>
              <w:jc w:val="left"/>
              <w:rPr/>
            </w:pPr>
            <w:r>
              <w:rPr/>
              <w:t>​</w:t>
            </w:r>
          </w:p>
        </w:tc>
        <w:tc>
          <w:tcPr>
            <w:tcW w:w="762"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w:t>
            </w:r>
          </w:p>
        </w:tc>
        <w:tc>
          <w:tcPr>
            <w:tcW w:w="326" w:type="dxa"/>
            <w:tcBorders/>
            <w:vAlign w:val="center"/>
          </w:tcPr>
          <w:p>
            <w:pPr>
              <w:pStyle w:val="TableContents"/>
              <w:bidi w:val="0"/>
              <w:spacing w:before="0" w:after="0"/>
              <w:ind w:left="0" w:right="0" w:hanging="0"/>
              <w:jc w:val="left"/>
              <w:rPr/>
            </w:pPr>
            <w:r>
              <w:rPr/>
              <w:t> </w:t>
            </w:r>
          </w:p>
        </w:tc>
        <w:tc>
          <w:tcPr>
            <w:tcW w:w="7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w:t>
            </w:r>
          </w:p>
        </w:tc>
        <w:tc>
          <w:tcPr>
            <w:tcW w:w="470" w:type="dxa"/>
            <w:tcBorders/>
            <w:vAlign w:val="center"/>
          </w:tcPr>
          <w:p>
            <w:pPr>
              <w:pStyle w:val="TableContents"/>
              <w:bidi w:val="0"/>
              <w:spacing w:before="0" w:after="0"/>
              <w:ind w:left="0" w:right="0" w:hanging="0"/>
              <w:jc w:val="left"/>
              <w:rPr/>
            </w:pPr>
            <w:r>
              <w:rPr/>
              <w:t> </w:t>
            </w:r>
          </w:p>
        </w:tc>
        <w:tc>
          <w:tcPr>
            <w:tcW w:w="7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316" w:type="dxa"/>
            <w:tcBorders/>
            <w:vAlign w:val="center"/>
          </w:tcPr>
          <w:p>
            <w:pPr>
              <w:pStyle w:val="TableContents"/>
              <w:bidi w:val="0"/>
              <w:spacing w:before="0" w:after="0"/>
              <w:ind w:left="0" w:right="0" w:hanging="0"/>
              <w:jc w:val="left"/>
              <w:rPr/>
            </w:pPr>
            <w:r>
              <w:rPr/>
              <w:t>​</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provision</w:t>
            </w:r>
          </w:p>
        </w:tc>
        <w:tc>
          <w:tcPr>
            <w:tcW w:w="326" w:type="dxa"/>
            <w:tcBorders/>
            <w:shd w:fill="CCEEFF" w:val="clear"/>
            <w:vAlign w:val="center"/>
          </w:tcPr>
          <w:p>
            <w:pPr>
              <w:pStyle w:val="TableContents"/>
              <w:bidi w:val="0"/>
              <w:spacing w:before="0" w:after="0"/>
              <w:ind w:left="0" w:right="0" w:hanging="0"/>
              <w:jc w:val="left"/>
              <w:rPr/>
            </w:pPr>
            <w:r>
              <w:rPr/>
              <w:t> </w:t>
            </w:r>
          </w:p>
        </w:tc>
        <w:tc>
          <w:tcPr>
            <w:tcW w:w="7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Deferred tax assets and liabilities are determined based on the differences between the financial statement carrying amounts and tax bases of assets and liabilities using enacted tax rates in effect for years in which differences are expected to reverse.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Significant components of the Company’s deferred tax assets and liabilities for federal income taxes consisted of the following (in thousands):</w:t>
      </w:r>
    </w:p>
    <w:tbl>
      <w:tblPr>
        <w:tblW w:w="5937" w:type="dxa"/>
        <w:jc w:val="center"/>
        <w:tblInd w:w="0" w:type="dxa"/>
        <w:tblLayout w:type="fixed"/>
        <w:tblCellMar>
          <w:top w:w="0" w:type="dxa"/>
          <w:left w:w="0" w:type="dxa"/>
          <w:bottom w:w="0" w:type="dxa"/>
          <w:right w:w="0" w:type="dxa"/>
        </w:tblCellMar>
      </w:tblPr>
      <w:tblGrid>
        <w:gridCol w:w="3226"/>
        <w:gridCol w:w="326"/>
        <w:gridCol w:w="211"/>
        <w:gridCol w:w="796"/>
        <w:gridCol w:w="326"/>
        <w:gridCol w:w="211"/>
        <w:gridCol w:w="841"/>
      </w:tblGrid>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3985" cy="175260"/>
                      <wp:effectExtent l="0" t="0" r="0" b="0"/>
                      <wp:wrapNone/>
                      <wp:docPr id="180" name="Frame1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505460" cy="175260"/>
                      <wp:effectExtent l="0" t="0" r="0" b="0"/>
                      <wp:wrapNone/>
                      <wp:docPr id="181" name="Frame15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3" name="Frame1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34035" cy="175260"/>
                      <wp:effectExtent l="0" t="0" r="0" b="0"/>
                      <wp:wrapNone/>
                      <wp:docPr id="184" name="Frame15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Deferred tax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losses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9,365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4,574</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credit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1,366</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8,107</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5,935</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deferred tax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20,013</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(44,122)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(19,984)</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Deferred tax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 of use asset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tax assets and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records a valuation allowance against its deferred tax assets when it is more likely than not that realization will not occur. The realization of deferred tax assets depends upon the Company’s ability to generate future taxable income or other tax planning strategies available in the relevant taxing jurisdiction. In evaluating the realizability of its deferred tax assets, management must determine whether there will be sufficient taxable income to allow for the realization of deferred tax assets. Based upon the historical and anticipated future losses, management has determined that the deferred tax assets do not meet the more-likely-than-not threshold for realizability. As a result, the Company recorded a valuation allowance against its deferred tax assets as of December 31, 2023 and 2022. The valuation allowance increased by $24.1 million and $9.0 million during the years ended December 31, 2023 and 2022,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2023 and 2022, the Company had federal net operating loss (“NOL”) carryforwards of $38.9 million and $22.6 million, which will be carried forward indefinitely to offset future taxable income, subject to an eighty percent limitation of taxable income annually. In addition, state NOLs exist of $25.5 million and $0.7 million, which also carryforward indefinitely. The Company also had research and development tax credit carryforwards of $3.5 million and $1.4 million that will begin to expire in 2041. Under Sections 382 and 383 of the Internal Revenue Code of 1986, as amended, (the “Code”) if a corporation undergoes an “ownership change,” the corporation’s ability to use its pre-change NOL carryforwards and credits to offset its post-change income and taxes may be limited. In general, an “ownership change” occurs if there is a cumulative change in our ownership by one or more “5% shareholders” that exceeds 50 percentage points over a rolling three-year period. Similar rules apply under state tax laws. The Company has not determined if it has experienced Section 382/383 ownership changes in the past and if a portion of the Company’s NOL and tax credit carryforwards are subject to an annual limitation under Section 382/383. In addition, the Company may experience ownership changes in the future as a result of subsequent shifts in our stock ownership, some of which may be outside of its control.</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of December 31, 2023 and 2022, the Company had no accrued interest or penalties related to uncertain tax positions and no amounts have been recognized in the Company’s financial statements. The Company is generally subject to three-year statute of limitations for federal and state; therefore, 2021 through the current year remain open for examination.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FINANCIAL STATEMENTS</w:t>
      </w:r>
    </w:p>
    <w:tbl>
      <w:tblPr>
        <w:tblW w:w="2485" w:type="dxa"/>
        <w:jc w:val="left"/>
        <w:tblInd w:w="0" w:type="dxa"/>
        <w:tblLayout w:type="fixed"/>
        <w:tblCellMar>
          <w:top w:w="0" w:type="dxa"/>
          <w:left w:w="0" w:type="dxa"/>
          <w:bottom w:w="0" w:type="dxa"/>
          <w:right w:w="0" w:type="dxa"/>
        </w:tblCellMar>
      </w:tblPr>
      <w:tblGrid>
        <w:gridCol w:w="350"/>
        <w:gridCol w:w="2135"/>
      </w:tblGrid>
      <w:tr>
        <w:trPr/>
        <w:tc>
          <w:tcPr>
            <w:tcW w:w="35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(11)</w:t>
            </w:r>
          </w:p>
        </w:tc>
        <w:tc>
          <w:tcPr>
            <w:tcW w:w="213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Allist License Agreement</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June 2021, the Company entered into a Global Technology Transfer and License Agreement with Allist (the “Allist Agreement”). Pursuant to the Allist Agreement, the Company was granted an exclusive license under certain intellectual property to develop, manufacture and commercialize certain licensed products in the field in the licensed territory. Upon execution of the Allist Agreement, the Company paid Allist a non-refundable cash payment of $40.0 million and issued 1,276,250 shares of its common stock. The upfront payment and fair value of the common stock issued have been recorded as acquired in-process research and development in the Company’s statements of operations since further development and regulatory approval of the licensed product candidates is necessary.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Upon the achievement of certain clinical, regulatory and commercial milestones using the licensed technology, the Company is obligated to make future milestone payments to Allist. During the year ended December 31, 2023, the Company paid $5.0 million in clinical milestone payments to Allist. The Company is obligated to make future milestone payments of up to $105.0 million in clinical and regulatory milestones and $655.0 million in sales milestones. Furthermore royalties, ranging from high single digit percentages to low mid-teen percentage will be payable on net sales of licensed products in licensed territories.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connection with the Allist Agreement, in December 2021, the parties also entered into a Joint Clinical Collaboration Agreement (“Clinical Collaboration”) to define the framework under which the parties will cooperate and share costs related to global clinical studies to be conducted jointly by the Company and Allist. During the years ended December 31, 2023 and 2022, the Company incurred $2.0 million and $2.8 million, respectively, in cost reimbursements to Allist which have been recorded as research and development expense under the Clinical Collaboration Agreement. The Company also was entitled to cost reimbursement from Allist of $0.1 million and $0.8 million for the years ended December 31, 2023 and 2022, which has been recorded as a reduction of research and development expenses. The Company assessed the Clinical Collaboration in accordance with ASC 808, </w:t>
      </w:r>
      <w:r>
        <w:rPr>
          <w:rFonts w:ascii="Times New Roman;Times;serif" w:hAnsi="Times New Roman;Times;serif"/>
          <w:i/>
          <w:sz w:val="20"/>
        </w:rPr>
        <w:t>Collaborative Arrangements</w:t>
      </w:r>
      <w:r>
        <w:rPr>
          <w:rFonts w:ascii="Times New Roman;Times;serif" w:hAnsi="Times New Roman;Times;serif"/>
          <w:sz w:val="20"/>
        </w:rPr>
        <w:t>, and determined that the arrangement did not meet the definition of a collaborative arrangement under ASC 808 since, while the Company and Allist are active participants in the activities under the Clinical Collaboration, both parties are not exposed to significant risks and rewards dependent on the commercial success of the activities.</w:t>
      </w:r>
    </w:p>
    <w:p>
      <w:pPr>
        <w:pStyle w:val="TextBody"/>
        <w:bidi w:val="0"/>
        <w:spacing w:before="0" w:after="0"/>
        <w:ind w:left="0" w:right="0" w:hanging="0"/>
        <w:jc w:val="left"/>
        <w:rPr/>
      </w:pPr>
      <w:r>
        <w:rPr/>
        <w:t>​</w:t>
      </w:r>
    </w:p>
    <w:p>
      <w:pPr>
        <w:pStyle w:val="TextBody"/>
        <w:pBdr/>
        <w:bidi w:val="0"/>
        <w:spacing w:before="0" w:after="240"/>
        <w:ind w:left="0" w:right="0" w:hanging="360"/>
        <w:jc w:val="left"/>
        <w:rPr/>
      </w:pPr>
      <w:r>
        <w:rPr/>
        <w:t>​</w:t>
      </w:r>
    </w:p>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9. Changes in and Disagreements With Accountants on Accounting and Financial Disclosure</w:t>
      </w:r>
      <w:bookmarkStart w:id="28" w:name="Item9ChangesinandDisagreementswithAccoun"/>
      <w:bookmarkEnd w:id="28"/>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9A. Controls and Procedures</w:t>
      </w:r>
      <w:bookmarkStart w:id="29" w:name="Item9AControlsandProcedures_386536"/>
      <w:bookmarkEnd w:id="29"/>
    </w:p>
    <w:p>
      <w:pPr>
        <w:pStyle w:val="TextBody"/>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management maintains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has evaluated the effectiveness of our disclosure controls and procedures (as such term is defined in Rules 13a-15(e) and 15d-15(e) under the Exchange Act) as of December 31, 2023. As of December 31, 2023, our disclosure controls and procedures were not effective as a result of our material weaknesses in our internal control over financial reporting.</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However, our management, including our Chief Executive Officer and our Chief Financial Officer, has concluded that, notwithstanding the identified material weaknesses in our internal control over financial reporting, the financial statements in this Annual Report on Form 10-K fairly present, in all material respects, our financial position, results of operations and cash flows for the periods presented in conformity with U.S. GAAP. </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Inherent Limitations over Internal Controls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pStyle w:val="TextBody"/>
        <w:shd w:fill="FFFFFF" w:val="clear"/>
        <w:bidi w:val="0"/>
        <w:spacing w:before="0" w:after="0"/>
        <w:ind w:left="426"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pertain to the maintenance of records that in reasonable detail accurately and fairly reflect the transactions and dispositions of a company’s assets;</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the company’s management and directors; and</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regarding prevention or timely detection of unauthorized acquisition, use or disposition of our assets that could have a material effect on the financial statements.</w:t>
            </w:r>
          </w:p>
        </w:tc>
      </w:tr>
    </w:tbl>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pStyle w:val="TextBody"/>
        <w:shd w:fill="FFFFFF" w:val="clear"/>
        <w:bidi w:val="0"/>
        <w:spacing w:before="0" w:after="0"/>
        <w:ind w:left="0" w:right="0" w:firstLine="720"/>
        <w:jc w:val="both"/>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140</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As described in Item 1A. “Risk Factors,” as of December 31, 2023, we have material weaknesses in our internal control over financial reporting relating to insufficient accounting resources which resulted in the following ineffective risk assessment activities:</w:t>
      </w:r>
    </w:p>
    <w:tbl>
      <w:tblPr>
        <w:tblW w:w="9558" w:type="dxa"/>
        <w:jc w:val="left"/>
        <w:tblInd w:w="0" w:type="dxa"/>
        <w:tblLayout w:type="fixed"/>
        <w:tblCellMar>
          <w:top w:w="0" w:type="dxa"/>
          <w:left w:w="0" w:type="dxa"/>
          <w:bottom w:w="0" w:type="dxa"/>
          <w:right w:w="0" w:type="dxa"/>
        </w:tblCellMar>
      </w:tblPr>
      <w:tblGrid>
        <w:gridCol w:w="23"/>
        <w:gridCol w:w="230"/>
        <w:gridCol w:w="930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effectively design and implement controls related to the review and approval of manual journal entries.</w:t>
            </w:r>
          </w:p>
        </w:tc>
      </w:tr>
    </w:tbl>
    <w:tbl>
      <w:tblPr>
        <w:tblW w:w="9768" w:type="dxa"/>
        <w:jc w:val="left"/>
        <w:tblInd w:w="0" w:type="dxa"/>
        <w:tblLayout w:type="fixed"/>
        <w:tblCellMar>
          <w:top w:w="0" w:type="dxa"/>
          <w:left w:w="0" w:type="dxa"/>
          <w:bottom w:w="0" w:type="dxa"/>
          <w:right w:w="0" w:type="dxa"/>
        </w:tblCellMar>
      </w:tblPr>
      <w:tblGrid>
        <w:gridCol w:w="23"/>
        <w:gridCol w:w="245"/>
        <w:gridCol w:w="950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ineffectively designed process-level controls associated with accounting for certain non-routine transactions.</w:t>
            </w:r>
          </w:p>
        </w:tc>
      </w:tr>
    </w:tbl>
    <w:p>
      <w:pPr>
        <w:pStyle w:val="TextBody"/>
        <w:shd w:fill="FFFFFF" w:val="clear"/>
        <w:bidi w:val="0"/>
        <w:spacing w:before="360" w:after="0"/>
        <w:ind w:left="0" w:right="0" w:hanging="0"/>
        <w:jc w:val="left"/>
        <w:rPr>
          <w:rFonts w:ascii="Times New Roman;Times;serif" w:hAnsi="Times New Roman;Times;serif"/>
          <w:b/>
          <w:sz w:val="20"/>
        </w:rPr>
      </w:pPr>
      <w:r>
        <w:rPr>
          <w:rFonts w:ascii="Times New Roman;Times;serif" w:hAnsi="Times New Roman;Times;serif"/>
          <w:b/>
          <w:sz w:val="20"/>
        </w:rPr>
        <w:t>Management’s Report on Internal Control Over Financial Reporting</w:t>
      </w:r>
    </w:p>
    <w:p>
      <w:pPr>
        <w:pStyle w:val="TextBody"/>
        <w:bidi w:val="0"/>
        <w:spacing w:before="0" w:after="240"/>
        <w:ind w:left="0" w:right="0" w:firstLine="360"/>
        <w:jc w:val="left"/>
        <w:rPr/>
      </w:pPr>
      <w:r>
        <w:rPr/>
        <w:t>​</w:t>
      </w:r>
    </w:p>
    <w:p>
      <w:pPr>
        <w:pStyle w:val="TextBody"/>
        <w:pBd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This Annual Report does not include a report of management’s assessment regarding internal control over financial reporting due to a transition period established by rules of the SEC for newly public companies.</w:t>
      </w:r>
    </w:p>
    <w:p>
      <w:pPr>
        <w:pStyle w:val="TextBody"/>
        <w:shd w:fill="FFFFFF" w:val="clear"/>
        <w:bidi w:val="0"/>
        <w:spacing w:before="140" w:after="0"/>
        <w:ind w:left="0" w:right="0" w:hanging="0"/>
        <w:jc w:val="left"/>
        <w:rPr>
          <w:rFonts w:ascii="Times New Roman;Times;serif" w:hAnsi="Times New Roman;Times;serif"/>
          <w:b/>
          <w:sz w:val="20"/>
        </w:rPr>
      </w:pPr>
      <w:r>
        <w:rPr>
          <w:rFonts w:ascii="Times New Roman;Times;serif" w:hAnsi="Times New Roman;Times;serif"/>
          <w:b/>
          <w:sz w:val="20"/>
        </w:rPr>
        <w:t>Attestation Report of the Registered Public Accounting Firm</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This Annual Report does not include an attestation report of our registered public accounting firm due to a transition period established by rules of the SEC for newly public companies. Additionally, our independent registered public accounting firm will not be required to opine on our internal control over financial reporting until we are no longer an emerging growth company.</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than the material weakness remediation activities described below, there were no changes in our internal control over financial reporting, as identified in connection with evaluation required by Rules 13a-15(e) and 15d-15(e) under the Exchange Act, that occurred during the year ended December 31, 2023 that have materially affected, or are reasonably likely to materially affect, our internal control over financial reporting.</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year ended December 31, 2023, we have taken steps of implementing our remediation plans with respect to the material weaknesses identified in our internal control over financial reporting. Specifically, with the oversight of senior management and our audit committee, we have hired our Chief Financial Officer, and begun implementing processes and controls to address the material weaknesses. We have increased the number of resources (internal and third-party) dedicated to our accounting and finance team, including personnel with additional knowledge, experience, and training, to ensure we have adequate staff, to segregate key duties, and to comply with company policies and procedures. We also plan to engage a third-party provider to help us assess and improve our internal controls in preparation for compliance with the Sarbanes-Oxley Act. Additionally, we continue to make progress on implementing written policies and implementing process level and management review controls for our manual journal entries. However, we cannot assure you that we will be successful in remediating the material weaknesses we identified or that our internal control over financial reporting, as modified, will enable us to identify or avoid material weaknesses in the future.</w:t>
      </w:r>
    </w:p>
    <w:p>
      <w:pPr>
        <w:pStyle w:val="TextBody"/>
        <w:shd w:fill="FFFFFF" w:val="clear"/>
        <w:bidi w:val="0"/>
        <w:spacing w:before="0" w:after="0"/>
        <w:ind w:left="0" w:right="0" w:firstLine="360"/>
        <w:jc w:val="both"/>
        <w:rPr/>
      </w:pPr>
      <w:r>
        <w:rPr/>
        <w:t> </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While we believe that these efforts will improve our internal control over financial reporting in accordance with U.S. GAAP and SEC reporting requirements, the implementation of these measures is ongoing and will require validation and testing of the design and operating effectiveness of internal controls over a sustained period of financial reporting cycles. The material weaknesses will not be considered remediated until our management designs and implements effective controls that operate for a sufficient period of time and our management has concluded through testing that these controls are effective. We cannot assure you that the measures we have taken to date, and are continuing to implement, will be sufficient to establish and maintain effective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141</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9B. Other Information</w:t>
      </w:r>
      <w:bookmarkStart w:id="30" w:name="Item9BOtherInformation_44931"/>
      <w:bookmarkEnd w:id="30"/>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March 27, 2024, Dr. Jallal notified our board of directors of her decision to resign from our board of directors and the compensation committee and the nominating and corporate governance committee, effective March 28, 2024. Dr. Jallal’s decision to resign was not due to any disagreement with the Company on any matter relating to the Company’s operations, policies or practices.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March 28, 2024, we notified the Nasdaq Stock Market (“Nasdaq”) of Dr. Jallal’s resignation from the board of directors and that because such resignation, the compensation committee (the “Compensation Committee”) of our board of directors will have only one member, and the registrant will no longer comply with Nasdaq Listing Rule 5605(d)(2), which requires companies with securities listed on Nasdaq to have a compensation committee composed of at least two directors. In accordance with Nasdaq Listing Rule 5605(d)(4), we have an automatic cure period in order to regain compliance. We expect to regain compliance with such rule by filling the vacancy on the Compensation Committee caused by Dr. Jallal’s resignation with an independent director who satisfies the applicable requirements of the Nasdaq Listing Rules prior to the expiration of the cure period provided under Nasdaq Listing Rule 5605.</w:t>
      </w:r>
    </w:p>
    <w:p>
      <w:pPr>
        <w:pStyle w:val="TextBody"/>
        <w:bidi w:val="0"/>
        <w:spacing w:before="240" w:after="0"/>
        <w:ind w:left="0" w:right="0" w:hanging="0"/>
        <w:jc w:val="left"/>
        <w:rPr>
          <w:rFonts w:ascii="Times New Roman;Times;serif" w:hAnsi="Times New Roman;Times;serif"/>
          <w:sz w:val="20"/>
          <w:u w:val="single"/>
        </w:rPr>
      </w:pPr>
      <w:r>
        <w:rPr>
          <w:rFonts w:ascii="Times New Roman;Times;serif" w:hAnsi="Times New Roman;Times;serif"/>
          <w:sz w:val="20"/>
          <w:u w:val="single"/>
        </w:rPr>
        <w:t>Rule 10b5-1 Trading Plans</w:t>
      </w:r>
    </w:p>
    <w:p>
      <w:pPr>
        <w:pStyle w:val="TextBody"/>
        <w:bidi w:val="0"/>
        <w:spacing w:before="240" w:after="0"/>
        <w:ind w:left="0" w:right="0" w:firstLine="490"/>
        <w:jc w:val="left"/>
        <w:rPr>
          <w:rFonts w:ascii="Times New Roman;Times;serif" w:hAnsi="Times New Roman;Times;serif"/>
          <w:sz w:val="20"/>
        </w:rPr>
      </w:pPr>
      <w:r>
        <w:rPr>
          <w:rFonts w:ascii="Times New Roman;Times;serif" w:hAnsi="Times New Roman;Times;serif"/>
          <w:sz w:val="20"/>
        </w:rPr>
        <w:t>During the fiscal quarter ended December 31, 2023, none of our directors or executive officers adopted, modified or terminated any contract, instruction or written plan for the purchase or sale of our securities that was intended to satisfy the affirmative defense conditions of Rule 10b5-1(c) or any “non-Rule 10b5-1 trading arrangement” as defined in Item 408(c) of Regulation S-K.</w:t>
      </w:r>
    </w:p>
    <w:p>
      <w:pPr>
        <w:pStyle w:val="TextBody"/>
        <w:bidi w:val="0"/>
        <w:spacing w:before="240" w:after="0"/>
        <w:ind w:left="0" w:right="0" w:firstLine="49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9C. Dis</w:t>
      </w:r>
      <w:bookmarkStart w:id="31" w:name="Item9C"/>
      <w:bookmarkEnd w:id="31"/>
      <w:r>
        <w:rPr>
          <w:rFonts w:ascii="Times New Roman;Times;serif" w:hAnsi="Times New Roman;Times;serif"/>
          <w:b/>
          <w:sz w:val="20"/>
        </w:rPr>
        <w:t>closure Regarding Foreign Jurisdictions that Prevent Inspections</w:t>
      </w:r>
    </w:p>
    <w:p>
      <w:pPr>
        <w:pStyle w:val="TextBody"/>
        <w:bidi w:val="0"/>
        <w:spacing w:before="240" w:after="0"/>
        <w:ind w:left="0" w:right="0" w:firstLine="49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PART III</w:t>
      </w:r>
      <w:bookmarkStart w:id="32" w:name="PARTIII_386044"/>
      <w:bookmarkEnd w:id="32"/>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10. Directors, Executive Officers, and Corporate Governance</w:t>
      </w:r>
      <w:bookmarkStart w:id="33" w:name="Item10DirectorsExecutiveOfficersandCorpo"/>
      <w:bookmarkEnd w:id="33"/>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Executive Officers and Directors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provides information regarding our executive officers and directors, including their ages as of December 31, 2023:</w:t>
      </w:r>
    </w:p>
    <w:tbl>
      <w:tblPr>
        <w:tblW w:w="8005" w:type="dxa"/>
        <w:jc w:val="center"/>
        <w:tblInd w:w="0" w:type="dxa"/>
        <w:tblLayout w:type="fixed"/>
        <w:tblCellMar>
          <w:top w:w="0" w:type="dxa"/>
          <w:left w:w="0" w:type="dxa"/>
          <w:bottom w:w="28" w:type="dxa"/>
          <w:right w:w="0" w:type="dxa"/>
        </w:tblCellMar>
      </w:tblPr>
      <w:tblGrid>
        <w:gridCol w:w="2611"/>
        <w:gridCol w:w="326"/>
        <w:gridCol w:w="316"/>
        <w:gridCol w:w="326"/>
        <w:gridCol w:w="4426"/>
      </w:tblGrid>
      <w:tr>
        <w:trPr/>
        <w:tc>
          <w:tcPr>
            <w:tcW w:w="261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bottom w:val="single" w:sz="2" w:space="0" w:color="000000"/>
            </w:tcBorders>
            <w:vAlign w:val="center"/>
          </w:tcPr>
          <w:p>
            <w:pPr>
              <w:pStyle w:val="TableContents"/>
              <w:bidi w:val="0"/>
              <w:spacing w:before="0" w:after="0"/>
              <w:ind w:left="0" w:right="0" w:hanging="0"/>
              <w:jc w:val="left"/>
              <w:rPr/>
            </w:pPr>
            <w:r>
              <w:rPr/>
              <w:t>    </w:t>
            </w:r>
          </w:p>
        </w:tc>
        <w:tc>
          <w:tcPr>
            <w:tcW w:w="316" w:type="dxa"/>
            <w:tcBorders>
              <w:bottom w:val="single" w:sz="2" w:space="0" w:color="000000"/>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vAlign w:val="center"/>
          </w:tcPr>
          <w:p>
            <w:pPr>
              <w:pStyle w:val="TableContents"/>
              <w:bidi w:val="0"/>
              <w:spacing w:before="0" w:after="0"/>
              <w:ind w:left="0" w:right="0" w:hanging="0"/>
              <w:jc w:val="left"/>
              <w:rPr/>
            </w:pPr>
            <w:r>
              <w:rPr/>
              <w:t>    </w:t>
            </w:r>
          </w:p>
        </w:tc>
        <w:tc>
          <w:tcPr>
            <w:tcW w:w="442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Position</w:t>
            </w:r>
          </w:p>
        </w:tc>
      </w:tr>
      <w:tr>
        <w:trPr/>
        <w:tc>
          <w:tcPr>
            <w:tcW w:w="261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Executive Officers:</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316" w:type="dxa"/>
            <w:tcBorders/>
            <w:shd w:fill="CCEEFF" w:val="clear"/>
            <w:tcMar>
              <w:bottom w:w="0" w:type="dxa"/>
            </w:tcMar>
            <w:vAlign w:val="center"/>
          </w:tcPr>
          <w:p>
            <w:pPr>
              <w:pStyle w:val="TableContents"/>
              <w:bidi w:val="0"/>
              <w:spacing w:before="0" w:after="0"/>
              <w:ind w:left="0" w:right="0" w:hanging="0"/>
              <w:jc w:val="center"/>
              <w:rPr/>
            </w:pPr>
            <w:r>
              <w:rPr/>
              <w:t>​</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4426" w:type="dxa"/>
            <w:tcBorders/>
            <w:shd w:fill="CCEEFF" w:val="clear"/>
            <w:tcMar>
              <w:bottom w:w="0" w:type="dxa"/>
            </w:tcMar>
            <w:vAlign w:val="center"/>
          </w:tcPr>
          <w:p>
            <w:pPr>
              <w:pStyle w:val="TableContents"/>
              <w:bidi w:val="0"/>
              <w:spacing w:before="0" w:after="0"/>
              <w:ind w:left="0" w:right="0" w:hanging="0"/>
              <w:jc w:val="left"/>
              <w:rPr/>
            </w:pPr>
            <w:r>
              <w:rPr/>
              <w:t>​</w:t>
            </w:r>
          </w:p>
        </w:tc>
      </w:tr>
      <w:tr>
        <w:trPr/>
        <w:tc>
          <w:tcPr>
            <w:tcW w:w="261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Zhengbin (Bing) Yao, Ph.D.</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1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58</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Chairman of Board</w:t>
            </w:r>
          </w:p>
        </w:tc>
      </w:tr>
      <w:tr>
        <w:trPr/>
        <w:tc>
          <w:tcPr>
            <w:tcW w:w="2611"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Winston Kung, MBA</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31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44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Treasurer</w:t>
            </w:r>
          </w:p>
        </w:tc>
      </w:tr>
      <w:tr>
        <w:trPr/>
        <w:tc>
          <w:tcPr>
            <w:tcW w:w="261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Stuart Lutzker, M.D., Ph.D.</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1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63</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of Research and Development and Director</w:t>
            </w:r>
          </w:p>
        </w:tc>
      </w:tr>
      <w:tr>
        <w:trPr/>
        <w:tc>
          <w:tcPr>
            <w:tcW w:w="2611"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Robin LaChapelle</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31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44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Operating Officer</w:t>
            </w:r>
          </w:p>
        </w:tc>
      </w:tr>
      <w:tr>
        <w:trPr/>
        <w:tc>
          <w:tcPr>
            <w:tcW w:w="261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James Kastenmayer, J.D., Ph.D.</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1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Counsel and Secretary</w:t>
            </w:r>
          </w:p>
        </w:tc>
      </w:tr>
      <w:tr>
        <w:trPr/>
        <w:tc>
          <w:tcPr>
            <w:tcW w:w="2611"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Non-Employee Directors:</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316" w:type="dxa"/>
            <w:tcBorders/>
            <w:shd w:fill="CCEEFF" w:val="clear"/>
            <w:tcMar>
              <w:bottom w:w="0" w:type="dxa"/>
            </w:tcMar>
            <w:vAlign w:val="center"/>
          </w:tcPr>
          <w:p>
            <w:pPr>
              <w:pStyle w:val="TableContents"/>
              <w:bidi w:val="0"/>
              <w:spacing w:before="0" w:after="0"/>
              <w:ind w:left="0" w:right="0" w:hanging="0"/>
              <w:jc w:val="center"/>
              <w:rPr/>
            </w:pPr>
            <w:r>
              <w:rPr/>
              <w:t>​</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4426" w:type="dxa"/>
            <w:tcBorders/>
            <w:shd w:fill="CCEEFF" w:val="clear"/>
            <w:tcMar>
              <w:bottom w:w="0" w:type="dxa"/>
            </w:tcMar>
            <w:vAlign w:val="center"/>
          </w:tcPr>
          <w:p>
            <w:pPr>
              <w:pStyle w:val="TableContents"/>
              <w:bidi w:val="0"/>
              <w:spacing w:before="0" w:after="0"/>
              <w:ind w:left="0" w:right="0" w:hanging="0"/>
              <w:jc w:val="left"/>
              <w:rPr/>
            </w:pPr>
            <w:r>
              <w:rPr/>
              <w:t>​</w:t>
            </w:r>
          </w:p>
        </w:tc>
      </w:tr>
      <w:tr>
        <w:trPr/>
        <w:tc>
          <w:tcPr>
            <w:tcW w:w="261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Carl L. Gordon, Ph.D., CFA</w:t>
            </w:r>
            <w:r>
              <w:rPr>
                <w:rFonts w:ascii="Times New Roman;Times;serif" w:hAnsi="Times New Roman;Times;serif"/>
                <w:sz w:val="15"/>
              </w:rPr>
              <w:t>(1)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1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611"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James Healy, M.D., Ph.D.</w:t>
            </w:r>
            <w:r>
              <w:rPr>
                <w:rFonts w:ascii="Times New Roman;Times;serif" w:hAnsi="Times New Roman;Times;serif"/>
                <w:sz w:val="15"/>
              </w:rPr>
              <w:t>(1)(3)</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31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58</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44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61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Bahija Jallal, Ph.D.</w:t>
            </w:r>
            <w:r>
              <w:rPr>
                <w:rFonts w:ascii="Times New Roman;Times;serif" w:hAnsi="Times New Roman;Times;serif"/>
                <w:sz w:val="15"/>
              </w:rPr>
              <w:t>(2)(3) (4)</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1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611"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Chris W. Nolet</w:t>
            </w:r>
            <w:r>
              <w:rPr>
                <w:rFonts w:ascii="Times New Roman;Times;serif" w:hAnsi="Times New Roman;Times;serif"/>
                <w:sz w:val="15"/>
              </w:rPr>
              <w:t>(1)(2)</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31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44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bl>
    <w:p>
      <w:pPr>
        <w:pStyle w:val="HorizontalLine"/>
        <w:pBdr>
          <w:bottom w:val="single" w:sz="6" w:space="0" w:color="000000"/>
        </w:pBdr>
        <w:bidi w:val="0"/>
        <w:spacing w:before="0" w:after="0"/>
        <w:ind w:left="0" w:right="7654" w:hanging="0"/>
        <w:jc w:val="left"/>
        <w:rPr/>
      </w:pPr>
      <w:r>
        <w:rPr/>
      </w:r>
    </w:p>
    <w:tbl>
      <w:tblPr>
        <w:tblW w:w="2485" w:type="dxa"/>
        <w:jc w:val="left"/>
        <w:tblInd w:w="0" w:type="dxa"/>
        <w:tblLayout w:type="fixed"/>
        <w:tblCellMar>
          <w:top w:w="0" w:type="dxa"/>
          <w:left w:w="0" w:type="dxa"/>
          <w:bottom w:w="0" w:type="dxa"/>
          <w:right w:w="0" w:type="dxa"/>
        </w:tblCellMar>
      </w:tblPr>
      <w:tblGrid>
        <w:gridCol w:w="230"/>
        <w:gridCol w:w="2255"/>
      </w:tblGrid>
      <w:tr>
        <w:trPr/>
        <w:tc>
          <w:tcPr>
            <w:tcW w:w="2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Member of the audit committee.</w:t>
            </w:r>
          </w:p>
        </w:tc>
      </w:tr>
    </w:tbl>
    <w:tbl>
      <w:tblPr>
        <w:tblW w:w="3100" w:type="dxa"/>
        <w:jc w:val="left"/>
        <w:tblInd w:w="0" w:type="dxa"/>
        <w:tblLayout w:type="fixed"/>
        <w:tblCellMar>
          <w:top w:w="0" w:type="dxa"/>
          <w:left w:w="0" w:type="dxa"/>
          <w:bottom w:w="0" w:type="dxa"/>
          <w:right w:w="0" w:type="dxa"/>
        </w:tblCellMar>
      </w:tblPr>
      <w:tblGrid>
        <w:gridCol w:w="230"/>
        <w:gridCol w:w="2870"/>
      </w:tblGrid>
      <w:tr>
        <w:trPr/>
        <w:tc>
          <w:tcPr>
            <w:tcW w:w="2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Member of the compensation committee.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795" w:type="dxa"/>
        <w:jc w:val="left"/>
        <w:tblInd w:w="0" w:type="dxa"/>
        <w:tblLayout w:type="fixed"/>
        <w:tblCellMar>
          <w:top w:w="0" w:type="dxa"/>
          <w:left w:w="0" w:type="dxa"/>
          <w:bottom w:w="0" w:type="dxa"/>
          <w:right w:w="0" w:type="dxa"/>
        </w:tblCellMar>
      </w:tblPr>
      <w:tblGrid>
        <w:gridCol w:w="230"/>
        <w:gridCol w:w="4565"/>
      </w:tblGrid>
      <w:tr>
        <w:trPr/>
        <w:tc>
          <w:tcPr>
            <w:tcW w:w="2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4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Member of the nominating and corporate governance committee.</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w:t>
            </w:r>
          </w:p>
        </w:tc>
        <w:tc>
          <w:tcPr>
            <w:tcW w:w="9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Bahija Jallal, Ph.D. resigned as a member of our board of directors and the compensation committee and the nominating and corporate governance committee, effective March 28, 2024. </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Executive Officers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 xml:space="preserve">Zhengbin (Bing) Yao, Ph.D. </w:t>
      </w:r>
      <w:r>
        <w:rPr>
          <w:rFonts w:ascii="Times New Roman;Times;serif" w:hAnsi="Times New Roman;Times;serif"/>
          <w:sz w:val="20"/>
        </w:rPr>
        <w:t>has served as a member of our board of directors since June 2021. Dr. Yao brings more than 20 years’ experience in the biopharmaceutical industry. Dr. Yao is currently our Chief Executive Officer and Chairman and a co-founder of ArriVent BioPharma. Previously, Dr. Yao served as Chief Executive Officer of Viela Bio, Inc., a clinical-stage biotechnology company focused on autoimmune and severe inflammatory diseases, from February 2018 and as Chairman of its board of directors from January 2019, until it was acquired by Horizon Therapeutics plc for $3.1 billion in March 2021. From October 2010 to February 2018, Dr. Yao served as Senior Vice President, Head of Respiratory, Inflammation, Autoimmune iMED at MedImmune. Dr. Yao also served as Senior Vice President, Head of Immuno-Oncology Franchise, of AstraZeneca plc. Prior to his tenure at MedImmune and AstraZeneca, Dr. Yao served as Head of PTL for Immunology, Infectious Diseases, Neuroscience, and Metabolic Disease of Genentech. Previously, Dr. Yao was Vice President and Head of Research of Tanox, Inc., before it was acquired by Genentech in 2007. Dr. Yao serves on the board of directors of NexImmune, Inc., a public biotechnology company and several private biotechnology companies. Dr. Yao received his M.S. in Immunology from Anhui Medical University in Anhui, China and his Ph.D. in Microbiology and Immunology from the University of Iowa. We believe that Dr. Yao’s qualifications to serve on our board of directors include his significant experience in the biopharmaceutical industry, including serving in leadership positions at multiple public biotechnology companies, and his experience serving as a chief executive officer of a publicly-traded biotechnology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 xml:space="preserve">Winston Kung, MBA </w:t>
      </w:r>
      <w:r>
        <w:rPr>
          <w:rFonts w:ascii="Times New Roman;Times;serif" w:hAnsi="Times New Roman;Times;serif"/>
          <w:sz w:val="20"/>
        </w:rPr>
        <w:t>has served as our Chief Financial Officer and Treasurer since January 2024. From December 2017 to January 2024, Mr. Kung served as Chief Operating Officer and Chief Financial Officer at PMV Pharmaceuticals (Nasdaq: PMVP), a precision oncology company. From April 2013 to November 2017, Mr. Kung worked at Celgene Corporation, a global biopharmaceutical company, where he held multiple positions, including Vice President of Business Development and Global Alliances, and Chief Business Officer at Celgene Cellular Therapeutics, Inc. (a wholly-owned subsidiary of Celgene Corporation). At Celgene, Mr. Kung led the formation of a strategic long-range plan for the company, along with overseeing multiple transactions and a team that managed the company’s alliance portfolio of over 100 collaborations, equity investments and company integrations. Prior to working at Celgene, Mr. Kung worked at Citigroup Inc. from June 2010 to April 2013 in its Global Healthcare Investment Banking group and at Lehman Brothers (which was subsequently acquired by Barclays Capital Inc.) from May 2007 to June 2010 in its Global Mergers and Acquisitions Group. At Citigroup and Barclays, Mr. Kung worked on various transactions including public and private financings, mergers and acquisitions, spin-outs and other financial advisory engagements. From August 2004 to May 2007, Mr. Kung worked at Amgen Inc. (Nasdaq: AMGN), a global biopharmaceutical company, as a co-founder of the Alliance Management group, and served as the deal lead on multiple acquisitions as part of the Corporate Development group. Mr. Kung also worked at Genentech, Inc., a biotechnology company (acquired by Roche Group in March 2009), from November 1999 to September 2002 as part of the Business and Corporate Development group. Since September 2022, Mr. Kung has served on the board of directors of Janux Therapeutics, Inc. (Nasdaq: JANX), a biopharmaceutical company. Mr. Kung previously served on the board of directors of Alliqua BioMedicial Inc. (Nasdaq: ALQA), a provider of advanced wound care products, and GNS Healthcare, Inc., a private, healthcare artificial intelligence company. Mr. Kung received a B.A. in Biology and International Relations from Brown University and an MBA from Harvard Business School.</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b/>
          <w:sz w:val="20"/>
        </w:rPr>
        <w:t>Stuart Lutzker, M.D., Ph.D.</w:t>
      </w:r>
      <w:r>
        <w:rPr>
          <w:rFonts w:ascii="Times New Roman;Times;serif" w:hAnsi="Times New Roman;Times;serif"/>
          <w:sz w:val="20"/>
        </w:rPr>
        <w:t xml:space="preserve"> has served as a member of our board of directors since June 2021. Dr. Lutzker is our co-founder and President and Head of Research and Development, and has served in this role since February 2022. Previously, Dr. Lutzker served as our Chief Medical Officer from June 2021 to February 2022. Dr. Lutzker joined us after a productive 17-year career at Genentech from April 2004 to March 2021, where he was Vice President and Head of Oncology, Early Clinical Development for 12 years and oversaw the early clinical phase development of Kadcyla</w:t>
      </w:r>
      <w:r>
        <w:rPr>
          <w:rFonts w:ascii="Times New Roman;Times;serif" w:hAnsi="Times New Roman;Times;serif"/>
          <w:sz w:val="15"/>
        </w:rPr>
        <w:t>®</w:t>
      </w:r>
      <w:r>
        <w:rPr>
          <w:rFonts w:ascii="Times New Roman;Times;serif" w:hAnsi="Times New Roman;Times;serif"/>
          <w:sz w:val="20"/>
        </w:rPr>
        <w:t>, Polivy</w:t>
      </w:r>
      <w:r>
        <w:rPr>
          <w:rFonts w:ascii="Times New Roman;Times;serif" w:hAnsi="Times New Roman;Times;serif"/>
          <w:sz w:val="15"/>
        </w:rPr>
        <w:t>®</w:t>
      </w:r>
      <w:r>
        <w:rPr>
          <w:rFonts w:ascii="Times New Roman;Times;serif" w:hAnsi="Times New Roman;Times;serif"/>
          <w:sz w:val="20"/>
        </w:rPr>
        <w:t>, Venclexta</w:t>
      </w:r>
      <w:r>
        <w:rPr>
          <w:rFonts w:ascii="Times New Roman;Times;serif" w:hAnsi="Times New Roman;Times;serif"/>
          <w:sz w:val="15"/>
        </w:rPr>
        <w:t>®</w:t>
      </w:r>
      <w:r>
        <w:rPr>
          <w:rFonts w:ascii="Times New Roman;Times;serif" w:hAnsi="Times New Roman;Times;serif"/>
          <w:sz w:val="20"/>
        </w:rPr>
        <w:t>, Cotellic</w:t>
      </w:r>
      <w:r>
        <w:rPr>
          <w:rFonts w:ascii="Times New Roman;Times;serif" w:hAnsi="Times New Roman;Times;serif"/>
          <w:sz w:val="15"/>
        </w:rPr>
        <w:t>®</w:t>
      </w:r>
      <w:r>
        <w:rPr>
          <w:rFonts w:ascii="Times New Roman;Times;serif" w:hAnsi="Times New Roman;Times;serif"/>
          <w:sz w:val="20"/>
        </w:rPr>
        <w:t xml:space="preserve"> Lunsumio</w:t>
      </w:r>
      <w:r>
        <w:rPr>
          <w:rFonts w:ascii="Times New Roman;Times;serif" w:hAnsi="Times New Roman;Times;serif"/>
          <w:sz w:val="15"/>
        </w:rPr>
        <w:t>®</w:t>
      </w:r>
      <w:r>
        <w:rPr>
          <w:rFonts w:ascii="Times New Roman;Times;serif" w:hAnsi="Times New Roman;Times;serif"/>
          <w:sz w:val="20"/>
        </w:rPr>
        <w:t xml:space="preserve"> and Tecentriq</w:t>
      </w:r>
      <w:r>
        <w:rPr>
          <w:rFonts w:ascii="Times New Roman;Times;serif" w:hAnsi="Times New Roman;Times;serif"/>
          <w:sz w:val="15"/>
        </w:rPr>
        <w:t>®</w:t>
      </w:r>
      <w:r>
        <w:rPr>
          <w:rFonts w:ascii="Times New Roman;Times;serif" w:hAnsi="Times New Roman;Times;serif"/>
          <w:sz w:val="20"/>
        </w:rPr>
        <w:t xml:space="preserve">, among others. Dr. Lutzker received his bachelor’s degree in chemistry from Columbia University, and his M.D. and Ph.D. in biochemistry from Columbia University. We believe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143</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Dr. Lutzker is qualified to serve on our board of directors due to his significant experience in the biopharmaceutical industry, particularly in oncology drug development.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Robin LaChapelle</w:t>
      </w:r>
      <w:r>
        <w:rPr>
          <w:rFonts w:ascii="Times New Roman;Times;serif" w:hAnsi="Times New Roman;Times;serif"/>
          <w:sz w:val="20"/>
        </w:rPr>
        <w:t xml:space="preserve"> is one of our co-founders and has served as our Chief Operating Officer since August 2023. Previously, Ms. LaChapelle was our Chief Administrative Officer since May 2021. Ms. LaChapelle served as the Executive Director at RLT Consulting, a human resources consulting firm, from July 2019 to May 2021, and as Vice President, Human Relations, at AstraZeneca plc from May 2015 to June 2019, where she oversaw a team of over 50 employees. Ms. LaChapelle received her bachelor’s degree in psychology from Indiana University, Bloomington, and her M.A. degree in psychology from Loyola University Chicago.</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James Kastenmayer, J.D., Ph.D.</w:t>
      </w:r>
      <w:r>
        <w:rPr>
          <w:rFonts w:ascii="Times New Roman;Times;serif" w:hAnsi="Times New Roman;Times;serif"/>
          <w:sz w:val="20"/>
        </w:rPr>
        <w:t xml:space="preserve"> has served as our General Counsel and Secretary since September 2023. Previously, Mr. Kastenmayer served as the General Counsel and Corporate Secretary of Aeglea BioTherapeutics, Inc., from July 2021 to March 2023, and additionally, the interim Chief Executive Officer of Aeglea BioTherapeutics, Inc., from August through November 2022. Prior to Aeglea BioTherapeutics, Inc., Mr. Kastenmayer served as General Counsel at Viela Bio, Inc. from January 2020 to March 2021, where he provided strategic guidance and legal advice including advising the company in connection with the FDA approval and launch of Uplizna</w:t>
      </w:r>
      <w:r>
        <w:rPr>
          <w:rFonts w:ascii="Times New Roman;Times;serif" w:hAnsi="Times New Roman;Times;serif"/>
          <w:sz w:val="15"/>
        </w:rPr>
        <w:t>®</w:t>
      </w:r>
      <w:r>
        <w:rPr>
          <w:rFonts w:ascii="Times New Roman;Times;serif" w:hAnsi="Times New Roman;Times;serif"/>
          <w:sz w:val="20"/>
        </w:rPr>
        <w:t xml:space="preserve"> as well as the company’s acquisition by Horizon Therapeutics plc. Prior to Viela Bio, he served in roles of increasing responsibility at AstraZeneca, from May 2012 to December 2019, including global legal director, where he advised on commercialization and market access strategies, collaboration agreements and handled legal proceedings, as well as senior patent director, accountable for delivering global IP estates for small and large molecule therapies. Earlier in his career, Mr. Kastenmayer served as IP counsel at MedImmune, and as an associate at an IP boutique firm. Mr. Kastenmayer earned a J.D. from Georgetown University Law Center, a Ph.D. in biochemistry and cell and molecular biology from Michigan State University and a B.A. in biology from the University of Virginia and is a registered patent attorney.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Non-Employee Directors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Carl L. Gordon, Ph.D., CFA</w:t>
      </w:r>
      <w:r>
        <w:rPr>
          <w:rFonts w:ascii="Times New Roman;Times;serif" w:hAnsi="Times New Roman;Times;serif"/>
          <w:sz w:val="20"/>
        </w:rPr>
        <w:t xml:space="preserve"> has served as a member of our board of directors since December 2022. Dr. Gordon is a founding member and Managing Partner and Co-Head of Global Private Equity at OrbiMed Advisors LLC, an investment firm. Dr. Gordon currently serves on the boards of directors of several public companies, including Adicet Bio, Inc., Compass Therapeutics Inc., Keros Therapeutics Inc., Kinnate Biopharma, Inc., and Terns Pharmaceuticals, Inc., as well as several private companies. Dr. Gordon previously served on the boards of directors of several companies, including Alector Inc., Arsanis, Inc. (which merged with X4 Pharmaceuticals, Inc.), Gemini Therapeutics Inc., (which merged with Disc Medicine, Inc.), ORIC Pharmaceuticals, Inc., Passage Bio Inc., Prevail Therapeutics Inc., SpringWorks Therapeutics Inc., Theseus Pharmaceuticals, Inc., and Turning Point Therapeutics, Inc. Dr. Gordon received a B.A. in Chemistry from Harvard College, a Ph.D. in Molecular Biology from the Massachusetts Institute of Technology, and was a Fellow at The Rockefeller University. We believe that Dr. Gordon is qualified to serve on our board of directors due to his scientific expertise, extensive business experience, and experience in venture capital and the life sciences industry.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b/>
          <w:sz w:val="20"/>
        </w:rPr>
        <w:t>James Healy, M.D., Ph.D.</w:t>
      </w:r>
      <w:r>
        <w:rPr>
          <w:rFonts w:ascii="Times New Roman;Times;serif" w:hAnsi="Times New Roman;Times;serif"/>
          <w:sz w:val="20"/>
        </w:rPr>
        <w:t xml:space="preserve"> has served as a member of our board of directors since March 2023. Dr. Healy has been a general partner at Sofinnova Investments, Inc., formerly Sofinnova Ventures, a biotechnology investment firm, since June 2000. Prior to June 2000, Dr. Healy held various positions at Sanderling Ventures, a venture capital firm, Bayer Healthcare Pharmaceuticals, as successor to Miles Laboratories, a research based pharmaceutical company, and ISTA Pharmaceuticals, Inc., a company specializing in ophthalmic pharmaceutical products. Dr. Healy is currently on the board of directors of Natera, Inc., a diagnostics company, Bolt Therapeutics, Inc., a clinical-stage oncology therapeutics company; Karuna Therapeutics Inc., a clinical-stage biopharmaceutical company; Y-mAbs, an oncology biologics development company; and several private companies. Dr. Healy has previously served on the boards of directors of Ascendis Pharma A/S, Amarin Corporation, Auris Medical Holding AG, CinCor Pharma Inc., Coherus BioSciences, Inc., Edge Therapeutics, Inc., Hyperion Therapeutics, Inc., InterMune, Inc., Iterum Therapeutics plc, Anthera Pharmaceuticals, Inc., Durata Therapeutics, Inc., CoTherix, Inc., Movetis NV, NuCana plc, ObsEva SA; and several private companies, as well as on the board of the National Venture Capital Association and the board of the Biotechnology Industry Organization. Dr. Healy holds a Bachelor of Arts in Molecular Biology and in Scandinavian Studies from the University of California at Berkeley, and an M.D. and Ph.D. in Immunology from Stanford University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144</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School of Medicine. We believe that Dr. Healy is qualified to serve on our board of directors due to his extensive scientific expertise, investment experience, and experience in venture capital and the life sciences industry.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Bahija Jallal, Ph.D.</w:t>
      </w:r>
      <w:r>
        <w:rPr>
          <w:rFonts w:ascii="Times New Roman;Times;serif" w:hAnsi="Times New Roman;Times;serif"/>
          <w:sz w:val="20"/>
        </w:rPr>
        <w:t xml:space="preserve"> has served as a member of our board of directors since February 2022. Dr. Jallal is the Chief Executive Officer at Immunocore Holdings plc, and has served in this role since January 2019. Prior to January 2019, Dr. Jallal held various leadership positions at biopharmaceutical companies, including serving as the Executive Vice President at AstraZeneca, and the President at MedImmune, a subsidiary of AstraZeneca, from October 2013 to January 2019, and previously, as the Executive Vice President, Research and Development at MedImmune. Dr. Jallal currently serves on the board of directors at Immunocore Holdings and Elevance Health, Inc., and has previously served on the board of directors at Guardant Health, Inc. Dr. Jallal attended the Universite de Paris VI, where she obtained her diplome d’etudes approfondies (DEA) degree in physiology/biochemistry, M.S. in biology, and Ph.D. in Physiology. We believe that Dr. Jallal is qualified to serve on our board of directors due to her experience as the Chief Executive Officer of a global biotechnology company and years of leadership experience at biotechnology companies that provide new medicines to patients.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Chris W. Nolet</w:t>
      </w:r>
      <w:r>
        <w:rPr>
          <w:rFonts w:ascii="Times New Roman;Times;serif" w:hAnsi="Times New Roman;Times;serif"/>
          <w:sz w:val="20"/>
        </w:rPr>
        <w:t xml:space="preserve"> has served as a member of our board of directors since September 2023. Mr. Nolet has more than 43 years of experience in various leadership roles in the audit profession and in the life sciences industry. Mr. Nolet was an audit partner at Ernst &amp; Young LLP (EY), a professional services firm, from November 2001 to June 2019. While at EY, Mr. Nolet led the West EY Life Sciences Industry Group. He served on both the Executive Committee and Finance Committee (Chair) of the California Life Sciences industry association (and its predecessors) from 2000 to February 2024. Mr. Nolet was also a member of the Finance &amp; Investment Committee and Emerging Companies Section of BIO (the Biotechnology Innovation Organization). Prior to EY, Mr. Nolet was a partner at PricewaterhouseCoopers LLP from 1991 to 2001. Mr. Nolet has served on the board of directors of Jasper Therapeutics, Inc. since September 2021, has served on the board of directors of Revance Therapeutics, Inc. since July 2019, and was on the board of directors of PolarityTE, Inc. from April 2020 to January 2023. He previously served on the board of directors of Ambrx Biopharma Inc. from January 2021 to November 2021. Mr. Nolet also served on the board of directors of Viela Bio, Inc. from August 2019 until it was acquired in March 2021. Mr. Nolet holds a B.S. in Accounting from San Diego State University and is a retired Certified Public Accountant in California. We believe that Mr. Nolet is qualified to serve on our board of directors due to his experience working with dozens of life sciences companies ranging from growing venture-capital backed start-ups to Fortune 100 companies, and his financial expertise as a former audit partner and retired California Certified Public Accountant.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Board Composition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board of directors consists of six members with one vacancy. All of our directors are members pursuant to the board composition provisions of our amended and restated certificate of incorporation and amended and restated bylaws. Our nominating and corporate governance committee and our board of directors may therefore consider a broad range of factors relating to the qualifications and background of nominees, which may include diversity, which is not only limited to race, gender or national origin. We have no formal policy regarding board diversity.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knowledge of our business, understanding of the competitive landscape and professional and personal experiences and expertise relevant to our growth strategy. Our directors hold office until their successors have been elected and qualified or until the earlier of their death, resignation or removal. Our amended and restated certificate of incorporation and amended and restated bylaws provide that our directors may be removed only for cause by the affirmative vote of the holders of at least 75%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Director Independence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common stock is listed on the Nasdaq Global Market. Under the Nasdaq listing rules, independent directors must comprise a majority of a listed company’s board of directors within 12 months from the date of listing. In addition,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145</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Nasdaq listing rules require that, subject to specified exceptions, each member of a listed company’s audit, compensation and nominating and corporate governance committees be independent within 12 months from the date of listing. Audit committee members must also satisfy additional independence criteria, including those set forth in Rule 10A-3 under the Exchange Act, and compensation committee members must also satisfy the independence criteria set forth in Rule 10C-1 under the Exchange Act. Pursuant to Rule 10A-3, a minority of a company’s audit committee may be comprised of non-independent directors for a period of up to one year after becoming subject to Rule 10A-3 under the Exchange Act. Under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 In order to be considered independent for purposes of Rule 10A-3 under the Exchange Act,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other than compensation for board service; or (2) be an affiliated person of the listed company or any of its subsidiaries. In order to be considered independent for purposes of Rule 10C-1, the board of 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board of directors has determined that all members of our board of directors, except Carl L. Gordon, Ph.D., CFA, only with respect to the requirements of Rule 10A-3 under the Exchange Act, and Zhengbin (Bing) Yao, Ph.D. and Stuart Lutzker, M.D., Ph.D. are independent directors, including for purposes of the rules of Nasdaq and relevant federal securities laws and regulations. In making such independence determinations, our board of directors considered the relationships that each nonemployee director has with us and all other facts and circumstances that our board of directors deemed relevant in determining their independence, including the beneficial ownership of our capital stock by each non-employee director. In considering the independence of the directors listed above, our board of directors considered the association of our directors with the holders of more than 5% of our common stock.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are no family relationships among any of our directors or executive officers. Zhengbin (Bing) Yao, Ph.D. and Stuart Lutzker, M.D., Ph.D. are not independent directors under these rules because each is an executive officer.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Classified Board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accordance with the terms of our amended and restated certificate of incorporation and amended and restated bylaws, our board of directors are divided into three staggered classes of directors. At each annual meeting of the stockholders, a class of directors will be elected for a three-year term to succeed the directors of the same class whose terms are then expiring. The terms of the directors will expire upon the election and qualification of successor directors at the annual meeting of stockholders to be held during the years 2025 for Class I directors, 2026 for Class II directors and 2027 for Class III directors:</w:t>
      </w:r>
    </w:p>
    <w:tbl>
      <w:tblPr>
        <w:tblW w:w="4233" w:type="dxa"/>
        <w:jc w:val="left"/>
        <w:tblInd w:w="0" w:type="dxa"/>
        <w:tblLayout w:type="fixed"/>
        <w:tblCellMar>
          <w:top w:w="0" w:type="dxa"/>
          <w:left w:w="0" w:type="dxa"/>
          <w:bottom w:w="0" w:type="dxa"/>
          <w:right w:w="0" w:type="dxa"/>
        </w:tblCellMar>
      </w:tblPr>
      <w:tblGrid>
        <w:gridCol w:w="23"/>
        <w:gridCol w:w="170"/>
        <w:gridCol w:w="40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I director is Carl L. Gordon, Ph.D., CFA;</w:t>
            </w:r>
          </w:p>
        </w:tc>
      </w:tr>
    </w:tbl>
    <w:tbl>
      <w:tblPr>
        <w:tblW w:w="7203" w:type="dxa"/>
        <w:jc w:val="left"/>
        <w:tblInd w:w="0" w:type="dxa"/>
        <w:tblLayout w:type="fixed"/>
        <w:tblCellMar>
          <w:top w:w="0" w:type="dxa"/>
          <w:left w:w="0" w:type="dxa"/>
          <w:bottom w:w="0" w:type="dxa"/>
          <w:right w:w="0" w:type="dxa"/>
        </w:tblCellMar>
      </w:tblPr>
      <w:tblGrid>
        <w:gridCol w:w="23"/>
        <w:gridCol w:w="170"/>
        <w:gridCol w:w="70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II directors are James Healy, M.D., Ph.D. and Stuart Lutzker, M.D., Ph.D.; and</w:t>
            </w:r>
          </w:p>
        </w:tc>
      </w:tr>
    </w:tbl>
    <w:tbl>
      <w:tblPr>
        <w:tblW w:w="7803" w:type="dxa"/>
        <w:jc w:val="left"/>
        <w:tblInd w:w="0" w:type="dxa"/>
        <w:tblLayout w:type="fixed"/>
        <w:tblCellMar>
          <w:top w:w="0" w:type="dxa"/>
          <w:left w:w="0" w:type="dxa"/>
          <w:bottom w:w="0" w:type="dxa"/>
          <w:right w:w="0" w:type="dxa"/>
        </w:tblCellMar>
      </w:tblPr>
      <w:tblGrid>
        <w:gridCol w:w="23"/>
        <w:gridCol w:w="170"/>
        <w:gridCol w:w="76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III directors are Zhengbin (Bing) Yao, Ph.D., Bahija Jallal, Ph.D. and Chris W. Nolet.</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amended and restated certificate of incorporation and amended and restated bylaws provide that the number of our directors shall be fixed from time to time by a resolution of the majority of our board of directors. Any additional directorships resulting from an increase in the number of directors will be distributed among the three classes.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division of our board of directors into three classes with staggered three-year terms may delay or prevent stockholder efforts to effect a change of our management or a change in control.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Committees of the Board of Directors and Meetings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board of directors has established an audit committee, a compensation committee and a nominating and corporate governance committee, each of which operates pursuant to a charter adopted by our board of directors. The board of directors may also establish other committees from time to time to assist us and our board of directors. The composition and functioning of all of our committees complies with all applicable requirements of the Sarbanes-Oxley Act of 2002, Nasdaq and SEC rules and regulations, subject to any applicable transition or phase-in periods. Each committee’s charter is available on our website at </w:t>
      </w:r>
      <w:r>
        <w:rPr>
          <w:rFonts w:ascii="Times New Roman;Times;serif" w:hAnsi="Times New Roman;Times;serif"/>
          <w:i/>
          <w:sz w:val="20"/>
        </w:rPr>
        <w:t>https://arrivent.com/</w:t>
      </w:r>
      <w:r>
        <w:rPr>
          <w:rFonts w:ascii="Times New Roman;Times;serif" w:hAnsi="Times New Roman;Times;serif"/>
          <w:sz w:val="20"/>
        </w:rPr>
        <w:t>. The reference to our website address does not constitute incorporation by reference of the information contained at or available through our website, and you should not consider it to be part of this Annual Report.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Audit Committee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audit committee met three (3) times during our fiscal year ended December 31, 2023. Our audit committee is comprised of Carl L. Gordon, Ph.D., CFA, James Healy, M.D., Ph.D., and Chris W. Nolet, with Mr. Nolet serving as chair of the committee. Our board of directors has determined that each member of the audit committee meets the independence requirements under the Nasdaq listing standards and Rule 10A-3 of the Exchange Act, with the exception of Dr. Gordon with respect to the requirements of Rule 10A-3 under the Exchange Act, and has sufficient knowledge in financial and auditing matters to serve on the audit committee, including the capacity to read and understand fundamental financial statements in accordance with applicable requirements. Although our board of directors has determined that Dr. Gordon is an “independent director” as defined under the applicable Nasdaq listing rules, it has also determined that he does not meet the additional requirements of independence applicable to audit committee members of a listed issuer under Rule 10A-3 under the Exchange Act because he is a founding member and Managing Partner and Co-Head of Global Private Equity of OrbiMed Advisors LLC, which indirectly owns one of our stockholders that beneficially holds greater than 10% of our stock. However, our board of directors determined that it was in our best interest to appoint Dr. Gordon to the audit committee due to his scientific expertise, extensive business experience, and experience in venture capital and the life sciences industry. Our board of directors has determined that Mr. Nolet is an “audit committee financial expert” within the meaning of the SEC regulations and the applicable rules of Nasdaq. The audit committee’s responsibilities include:</w:t>
      </w:r>
    </w:p>
    <w:tbl>
      <w:tblPr>
        <w:tblW w:w="9168" w:type="dxa"/>
        <w:jc w:val="left"/>
        <w:tblInd w:w="0" w:type="dxa"/>
        <w:tblLayout w:type="fixed"/>
        <w:tblCellMar>
          <w:top w:w="0" w:type="dxa"/>
          <w:left w:w="0" w:type="dxa"/>
          <w:bottom w:w="0" w:type="dxa"/>
          <w:right w:w="0" w:type="dxa"/>
        </w:tblCellMar>
      </w:tblPr>
      <w:tblGrid>
        <w:gridCol w:w="23"/>
        <w:gridCol w:w="170"/>
        <w:gridCol w:w="89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a firm to serve as the independent registered public accounting firm to audit our financial statements;</w:t>
            </w:r>
          </w:p>
        </w:tc>
      </w:tr>
    </w:tbl>
    <w:tbl>
      <w:tblPr>
        <w:tblW w:w="6783" w:type="dxa"/>
        <w:jc w:val="left"/>
        <w:tblInd w:w="0" w:type="dxa"/>
        <w:tblLayout w:type="fixed"/>
        <w:tblCellMar>
          <w:top w:w="0" w:type="dxa"/>
          <w:left w:w="0" w:type="dxa"/>
          <w:bottom w:w="0" w:type="dxa"/>
          <w:right w:w="0" w:type="dxa"/>
        </w:tblCellMar>
      </w:tblPr>
      <w:tblGrid>
        <w:gridCol w:w="23"/>
        <w:gridCol w:w="170"/>
        <w:gridCol w:w="6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ensuring the independence of the independent registered public accounting firm;</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discussing the scope and results of the audit with the independent registered public accounting firm, and reviewing, with management and that firm, our interim and year-end operating results;</w:t>
            </w:r>
          </w:p>
        </w:tc>
      </w:tr>
    </w:tbl>
    <w:tbl>
      <w:tblPr>
        <w:tblW w:w="9978" w:type="dxa"/>
        <w:jc w:val="left"/>
        <w:tblInd w:w="0" w:type="dxa"/>
        <w:tblLayout w:type="fixed"/>
        <w:tblCellMar>
          <w:top w:w="0" w:type="dxa"/>
          <w:left w:w="0" w:type="dxa"/>
          <w:bottom w:w="0" w:type="dxa"/>
          <w:right w:w="0" w:type="dxa"/>
        </w:tblCellMar>
      </w:tblPr>
      <w:tblGrid>
        <w:gridCol w:w="23"/>
        <w:gridCol w:w="170"/>
        <w:gridCol w:w="97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procedures for employees to anonymously submit concerns about questionable accounting or audit matters;</w:t>
            </w:r>
          </w:p>
        </w:tc>
      </w:tr>
    </w:tbl>
    <w:tbl>
      <w:tblPr>
        <w:tblW w:w="6753" w:type="dxa"/>
        <w:jc w:val="left"/>
        <w:tblInd w:w="0" w:type="dxa"/>
        <w:tblLayout w:type="fixed"/>
        <w:tblCellMar>
          <w:top w:w="0" w:type="dxa"/>
          <w:left w:w="0" w:type="dxa"/>
          <w:bottom w:w="0" w:type="dxa"/>
          <w:right w:w="0" w:type="dxa"/>
        </w:tblCellMar>
      </w:tblPr>
      <w:tblGrid>
        <w:gridCol w:w="23"/>
        <w:gridCol w:w="170"/>
        <w:gridCol w:w="65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considering the effectiveness of our internal controls and internal audit function;</w:t>
            </w:r>
          </w:p>
        </w:tc>
      </w:tr>
    </w:tbl>
    <w:tbl>
      <w:tblPr>
        <w:tblW w:w="6768" w:type="dxa"/>
        <w:jc w:val="left"/>
        <w:tblInd w:w="0" w:type="dxa"/>
        <w:tblLayout w:type="fixed"/>
        <w:tblCellMar>
          <w:top w:w="0" w:type="dxa"/>
          <w:left w:w="0" w:type="dxa"/>
          <w:bottom w:w="0" w:type="dxa"/>
          <w:right w:w="0" w:type="dxa"/>
        </w:tblCellMar>
      </w:tblPr>
      <w:tblGrid>
        <w:gridCol w:w="23"/>
        <w:gridCol w:w="170"/>
        <w:gridCol w:w="65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material related-party transactions or those that require disclosure;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or, as permitted, pre-approving all audit and non-audit services to be performed by the independent registered public accounting firm.</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Compensation Committee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compensation committee met two (2) times during our fiscal year ended December 31, 2023. Our compensation committee is comprised of Bahija Jallal, Ph.D. and Chris W. Nolet, with Dr. Jallal serving as chair of the committee. Each member of this committee is a non-employee director, as defined by Rule 16b-3 promulgated under the Exchange Act, and an outside director, as defined pursuant to Section 162(m) of the Internal Revenue Code of 1986, as amended. Our board of directors has determined that each member of the compensation committee is “independent” as defined in the rules of Nasdaq. The composition of our compensation committee meets the requirements for independence under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147</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listing standards of Nasdaq, including the applicable transition rules. Our compensation committee is comprised of only directors that are independent under the rules of Nasdaq. The compensation committee’s responsibilities include: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annually reviewing and recommending to the board of directors the corporate goals and objectives relevant to the compensation of our Chief Executive Officer;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the performance of our Chief Executive Officer in light of such corporate goals and objectives and, based on such evaluation, recommending to the board of directors the cash compensation of our Chief Executive Officer;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or recommending that our board of directors approve, the compensation of our executive officers;</w:t>
            </w:r>
          </w:p>
        </w:tc>
      </w:tr>
    </w:tbl>
    <w:tbl>
      <w:tblPr>
        <w:tblW w:w="7443" w:type="dxa"/>
        <w:jc w:val="left"/>
        <w:tblInd w:w="0" w:type="dxa"/>
        <w:tblLayout w:type="fixed"/>
        <w:tblCellMar>
          <w:top w:w="0" w:type="dxa"/>
          <w:left w:w="0" w:type="dxa"/>
          <w:bottom w:w="0" w:type="dxa"/>
          <w:right w:w="0" w:type="dxa"/>
        </w:tblCellMar>
      </w:tblPr>
      <w:tblGrid>
        <w:gridCol w:w="23"/>
        <w:gridCol w:w="170"/>
        <w:gridCol w:w="72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to our board of directors the compensation of our directors;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to our board of directors the terms of any compensatory agreements with our executive officers;</w:t>
            </w:r>
          </w:p>
        </w:tc>
      </w:tr>
    </w:tbl>
    <w:tbl>
      <w:tblPr>
        <w:tblW w:w="4398" w:type="dxa"/>
        <w:jc w:val="left"/>
        <w:tblInd w:w="0" w:type="dxa"/>
        <w:tblLayout w:type="fixed"/>
        <w:tblCellMar>
          <w:top w:w="0" w:type="dxa"/>
          <w:left w:w="0" w:type="dxa"/>
          <w:bottom w:w="0" w:type="dxa"/>
          <w:right w:w="0" w:type="dxa"/>
        </w:tblCellMar>
      </w:tblPr>
      <w:tblGrid>
        <w:gridCol w:w="23"/>
        <w:gridCol w:w="170"/>
        <w:gridCol w:w="42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administering our stock and equity incentive plans;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or making recommendations to our board of directors with respect to, incentive compensation and equity plans;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the retention or termination of any consulting firm or outside advisor to assist in the evaluation of compensation matters and evaluating and assessing potential and current compensation advisors in accordance with the independence standards identified in the applicable Nasdaq rules;</w:t>
            </w:r>
          </w:p>
        </w:tc>
      </w:tr>
    </w:tbl>
    <w:tbl>
      <w:tblPr>
        <w:tblW w:w="6183" w:type="dxa"/>
        <w:jc w:val="left"/>
        <w:tblInd w:w="0" w:type="dxa"/>
        <w:tblLayout w:type="fixed"/>
        <w:tblCellMar>
          <w:top w:w="0" w:type="dxa"/>
          <w:left w:w="0" w:type="dxa"/>
          <w:bottom w:w="0" w:type="dxa"/>
          <w:right w:w="0" w:type="dxa"/>
        </w:tblCellMar>
      </w:tblPr>
      <w:tblGrid>
        <w:gridCol w:w="23"/>
        <w:gridCol w:w="170"/>
        <w:gridCol w:w="59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retaining and approving the compensation of any compensation advisors;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preparing the compensation committee report required by SEC rules, if and when required, to be included in our annual proxy statement; and</w:t>
            </w:r>
          </w:p>
        </w:tc>
      </w:tr>
    </w:tbl>
    <w:tbl>
      <w:tblPr>
        <w:tblW w:w="4923" w:type="dxa"/>
        <w:jc w:val="left"/>
        <w:tblInd w:w="0" w:type="dxa"/>
        <w:tblLayout w:type="fixed"/>
        <w:tblCellMar>
          <w:top w:w="0" w:type="dxa"/>
          <w:left w:w="0" w:type="dxa"/>
          <w:bottom w:w="0" w:type="dxa"/>
          <w:right w:w="0" w:type="dxa"/>
        </w:tblCellMar>
      </w:tblPr>
      <w:tblGrid>
        <w:gridCol w:w="23"/>
        <w:gridCol w:w="170"/>
        <w:gridCol w:w="47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all overall compensation policies and practices.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Nominating and Corporate Governance Committee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nominating and corporate governance committee did not meet during our fiscal year ended December 31, 2023. Our nominating and corporate governance committee is comprised of James Healy, M.D., Ph.D. and Bahija Jallal, Ph.D., with Dr. Healy serving as chair of the committee. Our board of directors has determined that each member of the nominating and corporate governance committee is “independent” as defined in the applicable rules of Nasdaq. The nominating and corporate governance committee’s responsibilities include:</w:t>
      </w:r>
    </w:p>
    <w:tbl>
      <w:tblPr>
        <w:tblW w:w="7053" w:type="dxa"/>
        <w:jc w:val="left"/>
        <w:tblInd w:w="0" w:type="dxa"/>
        <w:tblLayout w:type="fixed"/>
        <w:tblCellMar>
          <w:top w:w="0" w:type="dxa"/>
          <w:left w:w="0" w:type="dxa"/>
          <w:bottom w:w="0" w:type="dxa"/>
          <w:right w:w="0" w:type="dxa"/>
        </w:tblCellMar>
      </w:tblPr>
      <w:tblGrid>
        <w:gridCol w:w="23"/>
        <w:gridCol w:w="170"/>
        <w:gridCol w:w="68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and recommending candidates for membership on our board of directors;</w:t>
            </w:r>
          </w:p>
        </w:tc>
      </w:tr>
    </w:tbl>
    <w:tbl>
      <w:tblPr>
        <w:tblW w:w="4968" w:type="dxa"/>
        <w:jc w:val="left"/>
        <w:tblInd w:w="0" w:type="dxa"/>
        <w:tblLayout w:type="fixed"/>
        <w:tblCellMar>
          <w:top w:w="0" w:type="dxa"/>
          <w:left w:w="0" w:type="dxa"/>
          <w:bottom w:w="0" w:type="dxa"/>
          <w:right w:w="0" w:type="dxa"/>
        </w:tblCellMar>
      </w:tblPr>
      <w:tblGrid>
        <w:gridCol w:w="23"/>
        <w:gridCol w:w="170"/>
        <w:gridCol w:w="47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recommending directors to serve on our board committees;</w:t>
            </w:r>
          </w:p>
        </w:tc>
      </w:tr>
    </w:tbl>
    <w:tbl>
      <w:tblPr>
        <w:tblW w:w="6738" w:type="dxa"/>
        <w:jc w:val="left"/>
        <w:tblInd w:w="0" w:type="dxa"/>
        <w:tblLayout w:type="fixed"/>
        <w:tblCellMar>
          <w:top w:w="0" w:type="dxa"/>
          <w:left w:w="0" w:type="dxa"/>
          <w:bottom w:w="0" w:type="dxa"/>
          <w:right w:w="0" w:type="dxa"/>
        </w:tblCellMar>
      </w:tblPr>
      <w:tblGrid>
        <w:gridCol w:w="23"/>
        <w:gridCol w:w="170"/>
        <w:gridCol w:w="65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our corporate governance guidelines and policies;</w:t>
            </w:r>
          </w:p>
        </w:tc>
      </w:tr>
    </w:tbl>
    <w:tbl>
      <w:tblPr>
        <w:tblW w:w="7248" w:type="dxa"/>
        <w:jc w:val="left"/>
        <w:tblInd w:w="0" w:type="dxa"/>
        <w:tblLayout w:type="fixed"/>
        <w:tblCellMar>
          <w:top w:w="0" w:type="dxa"/>
          <w:left w:w="0" w:type="dxa"/>
          <w:bottom w:w="0" w:type="dxa"/>
          <w:right w:w="0" w:type="dxa"/>
        </w:tblCellMar>
      </w:tblPr>
      <w:tblGrid>
        <w:gridCol w:w="23"/>
        <w:gridCol w:w="170"/>
        <w:gridCol w:w="70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proposed waivers of the code of conduct for directors and executive officers;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and overseeing the process of evaluating, the performance of our board of directors and individual directors; and</w:t>
            </w:r>
          </w:p>
        </w:tc>
      </w:tr>
    </w:tbl>
    <w:tbl>
      <w:tblPr>
        <w:tblW w:w="5433" w:type="dxa"/>
        <w:jc w:val="left"/>
        <w:tblInd w:w="0" w:type="dxa"/>
        <w:tblLayout w:type="fixed"/>
        <w:tblCellMar>
          <w:top w:w="0" w:type="dxa"/>
          <w:left w:w="0" w:type="dxa"/>
          <w:bottom w:w="0" w:type="dxa"/>
          <w:right w:w="0" w:type="dxa"/>
        </w:tblCellMar>
      </w:tblPr>
      <w:tblGrid>
        <w:gridCol w:w="23"/>
        <w:gridCol w:w="170"/>
        <w:gridCol w:w="5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assisting our board of directors on corporate governance matters.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Meeting Attendance</w:t>
      </w:r>
      <w:r>
        <w:rPr>
          <w:rFonts w:ascii="Times New Roman;Times;serif" w:hAnsi="Times New Roman;Times;serif"/>
          <w:sz w:val="20"/>
        </w:rPr>
        <w:t xml:space="preserve">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During our fiscal year ended December 31, 2023, there were five (5) meetings of our board of directors, and the various committees of our board of directors met a total of five (5) times. No director attended fewer than 75% of the total number of meetings of our board of directors and of committees of our board of directors on which he or she served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148</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during fiscal 2023, except for Bahija Jallal, Ph.D., who attended five (5) of the applicable seven (7) meetings of the board and committees of the board on which she served that were held during 2023. Our board of directors has adopted a policy under which each member of our board of directors is strongly encouraged but not required to attend each annual meeting of our stockholders.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Leadership Structure and Risk Oversight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board of directors is currently chaired by Zhengbin (Bing) Yao, Ph.D., who also serves as our Chief Executive Officer. Our board of directors does not have a policy regarding the separation of the roles of Chief Executive Officer and Chairman of the board of directors, as our board of directors believes it is in our best interest to make that determination based on our position and direction and the membership of the board of directors. Our board of directors has determined that having an employee director serve as Chairman is in the best interest of our stockholders at this time because of the efficiencies achieved in having the role of Chief Executive Officer and Chairman combined, and because the detailed knowledge of our day-to-day operations and business that the Chief Executive Officer possesses greatly enhances the decision-making processes of our board of directors as a whole. We have a governance structure in place, including independent directors, designed to ensure the powers and duties of the dual role are handled responsibly. We do not have a lead independent director.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board of directors oversees the management of risks inherent in the operation of our business and the implementation of our business strategies. Our board of directors performs this oversight role by using several different levels of review. In connection with its reviews of our operations and corporate functions, our board of directors addresses the primary risks associated with those operations and corporate functions. In addition, our board of directors reviews the risks associated with our business strategies periodically throughout the year as part of its consideration of undertaking any such business strategies.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Each of our board committees also oversees the management of our risks that fall within the committee’s areas of responsibility. In performing this function, each committee has full access to management, as well as the ability to engage advisors. Our Chief Executive Officer reports to the audit committee and is responsible for identifying, evaluating and implementing risk management controls and methodologies to address any identified risks. In connection with its risk management role, our audit committee meets privately with representatives from our independent registered public accounting firm and our Chief Executive Officer. The audit committee oversees the operation of our risk management program, including the identification of the primary risks associated with our business and periodic updates to such risks, and reports to our board of directors regarding these activities.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Insider Participation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 of the members of our compensation committee has at any time during the last fiscal year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 For a description of transactions between us and members of our compensation committee and affiliates of such members, please see the “Certain Relationships and Related Transactions, and Director Independence” section of this Annual Report.</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Diversity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believe that our board of directors should be diverse, including a diversity of experience, competency in relevant fields, gender, race, ethnicity and age. In making determinations regarding nominations of directors, our nominating and corporate governance committee takes into account the benefits of diverse viewpoints. Our nominating and corporate governance committee will also consider these and other factors as it oversees the annual board of directors and committee evaluations.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149</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table below provides certain information regarding the diversity of our board of directors:</w:t>
      </w:r>
    </w:p>
    <w:tbl>
      <w:tblPr>
        <w:tblW w:w="9060" w:type="dxa"/>
        <w:jc w:val="left"/>
        <w:tblInd w:w="0" w:type="dxa"/>
        <w:tblLayout w:type="fixed"/>
        <w:tblCellMar>
          <w:top w:w="0" w:type="dxa"/>
          <w:left w:w="0" w:type="dxa"/>
          <w:bottom w:w="0" w:type="dxa"/>
          <w:right w:w="0" w:type="dxa"/>
        </w:tblCellMar>
      </w:tblPr>
      <w:tblGrid>
        <w:gridCol w:w="1962"/>
        <w:gridCol w:w="1728"/>
        <w:gridCol w:w="311"/>
        <w:gridCol w:w="311"/>
        <w:gridCol w:w="311"/>
        <w:gridCol w:w="311"/>
        <w:gridCol w:w="311"/>
        <w:gridCol w:w="311"/>
        <w:gridCol w:w="370"/>
        <w:gridCol w:w="370"/>
        <w:gridCol w:w="371"/>
        <w:gridCol w:w="1065"/>
        <w:gridCol w:w="1065"/>
        <w:gridCol w:w="109"/>
        <w:gridCol w:w="154"/>
      </w:tblGrid>
      <w:tr>
        <w:trPr/>
        <w:tc>
          <w:tcPr>
            <w:tcW w:w="1962" w:type="dxa"/>
            <w:tcBorders/>
            <w:vAlign w:val="center"/>
          </w:tcPr>
          <w:p>
            <w:pPr>
              <w:pStyle w:val="TableContents"/>
              <w:bidi w:val="0"/>
              <w:spacing w:before="0" w:after="283"/>
              <w:ind w:left="0" w:right="0" w:hanging="0"/>
              <w:jc w:val="left"/>
              <w:rPr>
                <w:sz w:val="4"/>
                <w:szCs w:val="4"/>
              </w:rPr>
            </w:pPr>
            <w:r>
              <w:rPr>
                <w:sz w:val="4"/>
                <w:szCs w:val="4"/>
              </w:rPr>
            </w:r>
          </w:p>
        </w:tc>
        <w:tc>
          <w:tcPr>
            <w:tcW w:w="1728" w:type="dxa"/>
            <w:tcBorders/>
            <w:vAlign w:val="center"/>
          </w:tcPr>
          <w:p>
            <w:pPr>
              <w:pStyle w:val="TableContents"/>
              <w:bidi w:val="0"/>
              <w:spacing w:before="0" w:after="283"/>
              <w:ind w:left="0" w:right="0" w:hanging="0"/>
              <w:jc w:val="left"/>
              <w:rPr>
                <w:sz w:val="4"/>
                <w:szCs w:val="4"/>
              </w:rPr>
            </w:pPr>
            <w:r>
              <w:rPr>
                <w:sz w:val="4"/>
                <w:szCs w:val="4"/>
              </w:rPr>
            </w:r>
          </w:p>
        </w:tc>
        <w:tc>
          <w:tcPr>
            <w:tcW w:w="311" w:type="dxa"/>
            <w:tcBorders/>
            <w:vAlign w:val="center"/>
          </w:tcPr>
          <w:p>
            <w:pPr>
              <w:pStyle w:val="TableContents"/>
              <w:bidi w:val="0"/>
              <w:spacing w:before="0" w:after="283"/>
              <w:ind w:left="0" w:right="0" w:hanging="0"/>
              <w:jc w:val="left"/>
              <w:rPr>
                <w:sz w:val="4"/>
                <w:szCs w:val="4"/>
              </w:rPr>
            </w:pPr>
            <w:r>
              <w:rPr>
                <w:sz w:val="4"/>
                <w:szCs w:val="4"/>
              </w:rPr>
            </w:r>
          </w:p>
        </w:tc>
        <w:tc>
          <w:tcPr>
            <w:tcW w:w="311" w:type="dxa"/>
            <w:tcBorders/>
            <w:vAlign w:val="center"/>
          </w:tcPr>
          <w:p>
            <w:pPr>
              <w:pStyle w:val="TableContents"/>
              <w:bidi w:val="0"/>
              <w:spacing w:before="0" w:after="283"/>
              <w:ind w:left="0" w:right="0" w:hanging="0"/>
              <w:jc w:val="left"/>
              <w:rPr>
                <w:sz w:val="4"/>
                <w:szCs w:val="4"/>
              </w:rPr>
            </w:pPr>
            <w:r>
              <w:rPr>
                <w:sz w:val="4"/>
                <w:szCs w:val="4"/>
              </w:rPr>
            </w:r>
          </w:p>
        </w:tc>
        <w:tc>
          <w:tcPr>
            <w:tcW w:w="311" w:type="dxa"/>
            <w:tcBorders/>
            <w:vAlign w:val="center"/>
          </w:tcPr>
          <w:p>
            <w:pPr>
              <w:pStyle w:val="TableContents"/>
              <w:bidi w:val="0"/>
              <w:spacing w:before="0" w:after="283"/>
              <w:ind w:left="0" w:right="0" w:hanging="0"/>
              <w:jc w:val="left"/>
              <w:rPr>
                <w:sz w:val="4"/>
                <w:szCs w:val="4"/>
              </w:rPr>
            </w:pPr>
            <w:r>
              <w:rPr>
                <w:sz w:val="4"/>
                <w:szCs w:val="4"/>
              </w:rPr>
            </w:r>
          </w:p>
        </w:tc>
        <w:tc>
          <w:tcPr>
            <w:tcW w:w="311" w:type="dxa"/>
            <w:tcBorders/>
            <w:vAlign w:val="center"/>
          </w:tcPr>
          <w:p>
            <w:pPr>
              <w:pStyle w:val="TableContents"/>
              <w:bidi w:val="0"/>
              <w:spacing w:before="0" w:after="283"/>
              <w:ind w:left="0" w:right="0" w:hanging="0"/>
              <w:jc w:val="left"/>
              <w:rPr>
                <w:sz w:val="4"/>
                <w:szCs w:val="4"/>
              </w:rPr>
            </w:pPr>
            <w:r>
              <w:rPr>
                <w:sz w:val="4"/>
                <w:szCs w:val="4"/>
              </w:rPr>
            </w:r>
          </w:p>
        </w:tc>
        <w:tc>
          <w:tcPr>
            <w:tcW w:w="311" w:type="dxa"/>
            <w:tcBorders/>
            <w:vAlign w:val="center"/>
          </w:tcPr>
          <w:p>
            <w:pPr>
              <w:pStyle w:val="TableContents"/>
              <w:bidi w:val="0"/>
              <w:spacing w:before="0" w:after="283"/>
              <w:ind w:left="0" w:right="0" w:hanging="0"/>
              <w:jc w:val="left"/>
              <w:rPr>
                <w:sz w:val="4"/>
                <w:szCs w:val="4"/>
              </w:rPr>
            </w:pPr>
            <w:r>
              <w:rPr>
                <w:sz w:val="4"/>
                <w:szCs w:val="4"/>
              </w:rPr>
            </w:r>
          </w:p>
        </w:tc>
        <w:tc>
          <w:tcPr>
            <w:tcW w:w="311" w:type="dxa"/>
            <w:tcBorders/>
            <w:vAlign w:val="center"/>
          </w:tcPr>
          <w:p>
            <w:pPr>
              <w:pStyle w:val="TableContents"/>
              <w:bidi w:val="0"/>
              <w:spacing w:before="0" w:after="283"/>
              <w:ind w:left="0" w:right="0" w:hanging="0"/>
              <w:jc w:val="left"/>
              <w:rPr>
                <w:sz w:val="4"/>
                <w:szCs w:val="4"/>
              </w:rPr>
            </w:pPr>
            <w:r>
              <w:rPr>
                <w:sz w:val="4"/>
                <w:szCs w:val="4"/>
              </w:rPr>
            </w:r>
          </w:p>
        </w:tc>
        <w:tc>
          <w:tcPr>
            <w:tcW w:w="370" w:type="dxa"/>
            <w:tcBorders/>
            <w:vAlign w:val="center"/>
          </w:tcPr>
          <w:p>
            <w:pPr>
              <w:pStyle w:val="TableContents"/>
              <w:bidi w:val="0"/>
              <w:spacing w:before="0" w:after="283"/>
              <w:ind w:left="0" w:right="0" w:hanging="0"/>
              <w:jc w:val="left"/>
              <w:rPr>
                <w:sz w:val="4"/>
                <w:szCs w:val="4"/>
              </w:rPr>
            </w:pPr>
            <w:r>
              <w:rPr>
                <w:sz w:val="4"/>
                <w:szCs w:val="4"/>
              </w:rPr>
            </w:r>
          </w:p>
        </w:tc>
        <w:tc>
          <w:tcPr>
            <w:tcW w:w="370" w:type="dxa"/>
            <w:tcBorders/>
            <w:vAlign w:val="center"/>
          </w:tcPr>
          <w:p>
            <w:pPr>
              <w:pStyle w:val="TableContents"/>
              <w:bidi w:val="0"/>
              <w:spacing w:before="0" w:after="283"/>
              <w:ind w:left="0" w:right="0" w:hanging="0"/>
              <w:jc w:val="left"/>
              <w:rPr>
                <w:sz w:val="4"/>
                <w:szCs w:val="4"/>
              </w:rPr>
            </w:pPr>
            <w:r>
              <w:rPr>
                <w:sz w:val="4"/>
                <w:szCs w:val="4"/>
              </w:rPr>
            </w:r>
          </w:p>
        </w:tc>
        <w:tc>
          <w:tcPr>
            <w:tcW w:w="371" w:type="dxa"/>
            <w:tcBorders/>
            <w:vAlign w:val="center"/>
          </w:tcPr>
          <w:p>
            <w:pPr>
              <w:pStyle w:val="TableContents"/>
              <w:bidi w:val="0"/>
              <w:spacing w:before="0" w:after="283"/>
              <w:ind w:left="0" w:right="0" w:hanging="0"/>
              <w:jc w:val="left"/>
              <w:rPr>
                <w:sz w:val="4"/>
                <w:szCs w:val="4"/>
              </w:rPr>
            </w:pPr>
            <w:r>
              <w:rPr>
                <w:sz w:val="4"/>
                <w:szCs w:val="4"/>
              </w:rPr>
            </w:r>
          </w:p>
        </w:tc>
        <w:tc>
          <w:tcPr>
            <w:tcW w:w="1065" w:type="dxa"/>
            <w:tcBorders/>
            <w:vAlign w:val="center"/>
          </w:tcPr>
          <w:p>
            <w:pPr>
              <w:pStyle w:val="TableContents"/>
              <w:bidi w:val="0"/>
              <w:spacing w:before="0" w:after="283"/>
              <w:ind w:left="0" w:right="0" w:hanging="0"/>
              <w:jc w:val="left"/>
              <w:rPr>
                <w:sz w:val="4"/>
                <w:szCs w:val="4"/>
              </w:rPr>
            </w:pPr>
            <w:r>
              <w:rPr>
                <w:sz w:val="4"/>
                <w:szCs w:val="4"/>
              </w:rPr>
            </w:r>
          </w:p>
        </w:tc>
        <w:tc>
          <w:tcPr>
            <w:tcW w:w="1065"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962" w:type="dxa"/>
            <w:tcBorders/>
            <w:vAlign w:val="center"/>
          </w:tcPr>
          <w:p>
            <w:pPr>
              <w:pStyle w:val="TableContents"/>
              <w:bidi w:val="0"/>
              <w:spacing w:before="0" w:after="283"/>
              <w:ind w:left="0" w:right="0" w:hanging="0"/>
              <w:jc w:val="left"/>
              <w:rPr>
                <w:sz w:val="4"/>
                <w:szCs w:val="4"/>
              </w:rPr>
            </w:pPr>
            <w:r>
              <w:rPr>
                <w:sz w:val="4"/>
                <w:szCs w:val="4"/>
              </w:rPr>
            </w:r>
          </w:p>
        </w:tc>
        <w:tc>
          <w:tcPr>
            <w:tcW w:w="1728" w:type="dxa"/>
            <w:tcBorders/>
            <w:vAlign w:val="center"/>
          </w:tcPr>
          <w:p>
            <w:pPr>
              <w:pStyle w:val="TableContents"/>
              <w:bidi w:val="0"/>
              <w:spacing w:before="0" w:after="283"/>
              <w:ind w:left="0" w:right="0" w:hanging="0"/>
              <w:jc w:val="left"/>
              <w:rPr>
                <w:sz w:val="4"/>
                <w:szCs w:val="4"/>
              </w:rPr>
            </w:pPr>
            <w:r>
              <w:rPr>
                <w:sz w:val="4"/>
                <w:szCs w:val="4"/>
              </w:rPr>
            </w:r>
          </w:p>
        </w:tc>
        <w:tc>
          <w:tcPr>
            <w:tcW w:w="311" w:type="dxa"/>
            <w:tcBorders/>
            <w:vAlign w:val="center"/>
          </w:tcPr>
          <w:p>
            <w:pPr>
              <w:pStyle w:val="TableContents"/>
              <w:bidi w:val="0"/>
              <w:spacing w:before="0" w:after="283"/>
              <w:ind w:left="0" w:right="0" w:hanging="0"/>
              <w:jc w:val="left"/>
              <w:rPr>
                <w:sz w:val="4"/>
                <w:szCs w:val="4"/>
              </w:rPr>
            </w:pPr>
            <w:r>
              <w:rPr>
                <w:sz w:val="4"/>
                <w:szCs w:val="4"/>
              </w:rPr>
            </w:r>
          </w:p>
        </w:tc>
        <w:tc>
          <w:tcPr>
            <w:tcW w:w="311" w:type="dxa"/>
            <w:tcBorders/>
            <w:vAlign w:val="center"/>
          </w:tcPr>
          <w:p>
            <w:pPr>
              <w:pStyle w:val="TableContents"/>
              <w:bidi w:val="0"/>
              <w:spacing w:before="0" w:after="283"/>
              <w:ind w:left="0" w:right="0" w:hanging="0"/>
              <w:jc w:val="left"/>
              <w:rPr>
                <w:sz w:val="4"/>
                <w:szCs w:val="4"/>
              </w:rPr>
            </w:pPr>
            <w:r>
              <w:rPr>
                <w:sz w:val="4"/>
                <w:szCs w:val="4"/>
              </w:rPr>
            </w:r>
          </w:p>
        </w:tc>
        <w:tc>
          <w:tcPr>
            <w:tcW w:w="311" w:type="dxa"/>
            <w:tcBorders/>
            <w:vAlign w:val="center"/>
          </w:tcPr>
          <w:p>
            <w:pPr>
              <w:pStyle w:val="TableContents"/>
              <w:bidi w:val="0"/>
              <w:spacing w:before="0" w:after="283"/>
              <w:ind w:left="0" w:right="0" w:hanging="0"/>
              <w:jc w:val="left"/>
              <w:rPr>
                <w:sz w:val="4"/>
                <w:szCs w:val="4"/>
              </w:rPr>
            </w:pPr>
            <w:r>
              <w:rPr>
                <w:sz w:val="4"/>
                <w:szCs w:val="4"/>
              </w:rPr>
            </w:r>
          </w:p>
        </w:tc>
        <w:tc>
          <w:tcPr>
            <w:tcW w:w="311" w:type="dxa"/>
            <w:tcBorders/>
            <w:vAlign w:val="center"/>
          </w:tcPr>
          <w:p>
            <w:pPr>
              <w:pStyle w:val="TableContents"/>
              <w:bidi w:val="0"/>
              <w:spacing w:before="0" w:after="283"/>
              <w:ind w:left="0" w:right="0" w:hanging="0"/>
              <w:jc w:val="left"/>
              <w:rPr>
                <w:sz w:val="4"/>
                <w:szCs w:val="4"/>
              </w:rPr>
            </w:pPr>
            <w:r>
              <w:rPr>
                <w:sz w:val="4"/>
                <w:szCs w:val="4"/>
              </w:rPr>
            </w:r>
          </w:p>
        </w:tc>
        <w:tc>
          <w:tcPr>
            <w:tcW w:w="311" w:type="dxa"/>
            <w:tcBorders/>
            <w:vAlign w:val="center"/>
          </w:tcPr>
          <w:p>
            <w:pPr>
              <w:pStyle w:val="TableContents"/>
              <w:bidi w:val="0"/>
              <w:spacing w:before="0" w:after="283"/>
              <w:ind w:left="0" w:right="0" w:hanging="0"/>
              <w:jc w:val="left"/>
              <w:rPr>
                <w:sz w:val="4"/>
                <w:szCs w:val="4"/>
              </w:rPr>
            </w:pPr>
            <w:r>
              <w:rPr>
                <w:sz w:val="4"/>
                <w:szCs w:val="4"/>
              </w:rPr>
            </w:r>
          </w:p>
        </w:tc>
        <w:tc>
          <w:tcPr>
            <w:tcW w:w="311" w:type="dxa"/>
            <w:tcBorders/>
            <w:vAlign w:val="center"/>
          </w:tcPr>
          <w:p>
            <w:pPr>
              <w:pStyle w:val="TableContents"/>
              <w:bidi w:val="0"/>
              <w:spacing w:before="0" w:after="283"/>
              <w:ind w:left="0" w:right="0" w:hanging="0"/>
              <w:jc w:val="left"/>
              <w:rPr>
                <w:sz w:val="4"/>
                <w:szCs w:val="4"/>
              </w:rPr>
            </w:pPr>
            <w:r>
              <w:rPr>
                <w:sz w:val="4"/>
                <w:szCs w:val="4"/>
              </w:rPr>
            </w:r>
          </w:p>
        </w:tc>
        <w:tc>
          <w:tcPr>
            <w:tcW w:w="370" w:type="dxa"/>
            <w:tcBorders/>
            <w:vAlign w:val="center"/>
          </w:tcPr>
          <w:p>
            <w:pPr>
              <w:pStyle w:val="TableContents"/>
              <w:bidi w:val="0"/>
              <w:spacing w:before="0" w:after="283"/>
              <w:ind w:left="0" w:right="0" w:hanging="0"/>
              <w:jc w:val="left"/>
              <w:rPr>
                <w:sz w:val="4"/>
                <w:szCs w:val="4"/>
              </w:rPr>
            </w:pPr>
            <w:r>
              <w:rPr>
                <w:sz w:val="4"/>
                <w:szCs w:val="4"/>
              </w:rPr>
            </w:r>
          </w:p>
        </w:tc>
        <w:tc>
          <w:tcPr>
            <w:tcW w:w="370" w:type="dxa"/>
            <w:tcBorders/>
            <w:vAlign w:val="center"/>
          </w:tcPr>
          <w:p>
            <w:pPr>
              <w:pStyle w:val="TableContents"/>
              <w:bidi w:val="0"/>
              <w:spacing w:before="0" w:after="283"/>
              <w:ind w:left="0" w:right="0" w:hanging="0"/>
              <w:jc w:val="left"/>
              <w:rPr>
                <w:sz w:val="4"/>
                <w:szCs w:val="4"/>
              </w:rPr>
            </w:pPr>
            <w:r>
              <w:rPr>
                <w:sz w:val="4"/>
                <w:szCs w:val="4"/>
              </w:rPr>
            </w:r>
          </w:p>
        </w:tc>
        <w:tc>
          <w:tcPr>
            <w:tcW w:w="371" w:type="dxa"/>
            <w:tcBorders/>
            <w:vAlign w:val="center"/>
          </w:tcPr>
          <w:p>
            <w:pPr>
              <w:pStyle w:val="TableContents"/>
              <w:bidi w:val="0"/>
              <w:spacing w:before="0" w:after="283"/>
              <w:ind w:left="0" w:right="0" w:hanging="0"/>
              <w:jc w:val="left"/>
              <w:rPr>
                <w:sz w:val="4"/>
                <w:szCs w:val="4"/>
              </w:rPr>
            </w:pPr>
            <w:r>
              <w:rPr>
                <w:sz w:val="4"/>
                <w:szCs w:val="4"/>
              </w:rPr>
            </w:r>
          </w:p>
        </w:tc>
        <w:tc>
          <w:tcPr>
            <w:tcW w:w="1065" w:type="dxa"/>
            <w:tcBorders/>
            <w:vAlign w:val="center"/>
          </w:tcPr>
          <w:p>
            <w:pPr>
              <w:pStyle w:val="TableContents"/>
              <w:bidi w:val="0"/>
              <w:spacing w:before="0" w:after="283"/>
              <w:ind w:left="0" w:right="0" w:hanging="0"/>
              <w:jc w:val="left"/>
              <w:rPr>
                <w:sz w:val="4"/>
                <w:szCs w:val="4"/>
              </w:rPr>
            </w:pPr>
            <w:r>
              <w:rPr>
                <w:sz w:val="4"/>
                <w:szCs w:val="4"/>
              </w:rPr>
            </w:r>
          </w:p>
        </w:tc>
        <w:tc>
          <w:tcPr>
            <w:tcW w:w="1065"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8797" w:type="dxa"/>
            <w:gridSpan w:val="13"/>
            <w:tcBorders>
              <w:top w:val="single" w:sz="8" w:space="0" w:color="000000"/>
              <w:left w:val="single" w:sz="8" w:space="0" w:color="000000"/>
              <w:bottom w:val="single" w:sz="8" w:space="0" w:color="000000"/>
              <w:right w:val="single" w:sz="8" w:space="0" w:color="000000"/>
            </w:tcBorders>
            <w:tcMar>
              <w:top w:w="30" w:type="dxa"/>
              <w:left w:w="28" w:type="dxa"/>
              <w:bottom w:w="30" w:type="dxa"/>
              <w:right w:w="28" w:type="dxa"/>
            </w:tcMar>
            <w:vAlign w:val="center"/>
          </w:tcPr>
          <w:p>
            <w:pPr>
              <w:pStyle w:val="TableContents"/>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Board Diversity Matrix (As of March 22, 2024)</w:t>
            </w:r>
          </w:p>
        </w:tc>
        <w:tc>
          <w:tcPr>
            <w:tcW w:w="263"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8797" w:type="dxa"/>
            <w:gridSpan w:val="13"/>
            <w:tcBorders>
              <w:top w:val="single" w:sz="8" w:space="0" w:color="000000"/>
              <w:left w:val="single" w:sz="8" w:space="0" w:color="000000"/>
              <w:bottom w:val="single" w:sz="8" w:space="0" w:color="000000"/>
              <w:right w:val="single" w:sz="8" w:space="0" w:color="000000"/>
            </w:tcBorders>
            <w:shd w:fill="004E53" w:val="clear"/>
            <w:tcMar>
              <w:top w:w="30" w:type="dxa"/>
              <w:left w:w="28" w:type="dxa"/>
              <w:bottom w:w="30" w:type="dxa"/>
              <w:right w:w="28" w:type="dxa"/>
            </w:tcMar>
            <w:vAlign w:val="center"/>
          </w:tcPr>
          <w:p>
            <w:pPr>
              <w:pStyle w:val="TableContents"/>
              <w:bidi w:val="0"/>
              <w:spacing w:before="0" w:after="100"/>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Board Size:</w:t>
            </w:r>
          </w:p>
        </w:tc>
        <w:tc>
          <w:tcPr>
            <w:tcW w:w="263"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690" w:type="dxa"/>
            <w:gridSpan w:val="2"/>
            <w:tcBorders>
              <w:top w:val="single" w:sz="8" w:space="0" w:color="000000"/>
              <w:left w:val="single" w:sz="8" w:space="0" w:color="000000"/>
            </w:tcBorders>
            <w:tcMar>
              <w:top w:w="30" w:type="dxa"/>
              <w:left w:w="130" w:type="dxa"/>
            </w:tcMar>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Total Number of Directors</w:t>
            </w:r>
          </w:p>
        </w:tc>
        <w:tc>
          <w:tcPr>
            <w:tcW w:w="5107" w:type="dxa"/>
            <w:gridSpan w:val="11"/>
            <w:tcBorders>
              <w:top w:val="single" w:sz="8" w:space="0" w:color="000000"/>
              <w:left w:val="single" w:sz="8" w:space="0" w:color="000000"/>
              <w:right w:val="single" w:sz="8" w:space="0" w:color="000000"/>
            </w:tcBorders>
            <w:tcMar>
              <w:top w:w="30" w:type="dxa"/>
              <w:left w:w="28" w:type="dxa"/>
              <w:right w:w="28"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6</w:t>
            </w:r>
          </w:p>
        </w:tc>
        <w:tc>
          <w:tcPr>
            <w:tcW w:w="263"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690" w:type="dxa"/>
            <w:gridSpan w:val="2"/>
            <w:tcBorders>
              <w:top w:val="single" w:sz="8" w:space="0" w:color="000000"/>
              <w:left w:val="single" w:sz="8" w:space="0" w:color="000000"/>
            </w:tcBorders>
            <w:shd w:fill="004E53" w:val="clear"/>
            <w:tcMar>
              <w:top w:w="30" w:type="dxa"/>
              <w:left w:w="28" w:type="dxa"/>
            </w:tcMar>
            <w:vAlign w:val="center"/>
          </w:tcPr>
          <w:p>
            <w:pPr>
              <w:pStyle w:val="TableContents"/>
              <w:bidi w:val="0"/>
              <w:spacing w:before="0" w:after="283"/>
              <w:ind w:left="0" w:right="0" w:hanging="0"/>
              <w:jc w:val="left"/>
              <w:rPr>
                <w:sz w:val="4"/>
                <w:szCs w:val="4"/>
              </w:rPr>
            </w:pPr>
            <w:r>
              <w:rPr>
                <w:sz w:val="4"/>
                <w:szCs w:val="4"/>
              </w:rPr>
            </w:r>
          </w:p>
        </w:tc>
        <w:tc>
          <w:tcPr>
            <w:tcW w:w="933" w:type="dxa"/>
            <w:gridSpan w:val="3"/>
            <w:tcBorders>
              <w:top w:val="single" w:sz="8" w:space="0" w:color="000000"/>
              <w:left w:val="single" w:sz="8" w:space="0" w:color="000000"/>
              <w:bottom w:val="single" w:sz="8" w:space="0" w:color="000000"/>
            </w:tcBorders>
            <w:shd w:fill="004E53" w:val="clear"/>
            <w:tcMar>
              <w:top w:w="30" w:type="dxa"/>
              <w:left w:w="28" w:type="dxa"/>
              <w:bottom w:w="30" w:type="dxa"/>
            </w:tcMar>
            <w:vAlign w:val="center"/>
          </w:tcPr>
          <w:p>
            <w:pPr>
              <w:pStyle w:val="TableContents"/>
              <w:bidi w:val="0"/>
              <w:spacing w:before="0" w:after="10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Female</w:t>
            </w:r>
          </w:p>
        </w:tc>
        <w:tc>
          <w:tcPr>
            <w:tcW w:w="933" w:type="dxa"/>
            <w:gridSpan w:val="3"/>
            <w:tcBorders>
              <w:top w:val="single" w:sz="8" w:space="0" w:color="000000"/>
              <w:left w:val="single" w:sz="8" w:space="0" w:color="000000"/>
              <w:bottom w:val="single" w:sz="8" w:space="0" w:color="000000"/>
            </w:tcBorders>
            <w:shd w:fill="004E53" w:val="clear"/>
            <w:tcMar>
              <w:top w:w="30" w:type="dxa"/>
              <w:left w:w="28" w:type="dxa"/>
              <w:bottom w:w="30" w:type="dxa"/>
            </w:tcMar>
            <w:vAlign w:val="center"/>
          </w:tcPr>
          <w:p>
            <w:pPr>
              <w:pStyle w:val="TableContents"/>
              <w:bidi w:val="0"/>
              <w:spacing w:before="0" w:after="10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Male</w:t>
            </w:r>
          </w:p>
        </w:tc>
        <w:tc>
          <w:tcPr>
            <w:tcW w:w="1111" w:type="dxa"/>
            <w:gridSpan w:val="3"/>
            <w:tcBorders>
              <w:top w:val="single" w:sz="8" w:space="0" w:color="000000"/>
              <w:left w:val="single" w:sz="8" w:space="0" w:color="000000"/>
              <w:bottom w:val="single" w:sz="8" w:space="0" w:color="000000"/>
            </w:tcBorders>
            <w:shd w:fill="004E53" w:val="clear"/>
            <w:tcMar>
              <w:top w:w="30" w:type="dxa"/>
              <w:left w:w="28" w:type="dxa"/>
              <w:bottom w:w="30" w:type="dxa"/>
            </w:tcMar>
            <w:vAlign w:val="center"/>
          </w:tcPr>
          <w:p>
            <w:pPr>
              <w:pStyle w:val="TableContents"/>
              <w:bidi w:val="0"/>
              <w:spacing w:before="0" w:after="10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Non-Binary</w:t>
            </w:r>
          </w:p>
        </w:tc>
        <w:tc>
          <w:tcPr>
            <w:tcW w:w="2130" w:type="dxa"/>
            <w:gridSpan w:val="2"/>
            <w:tcBorders>
              <w:top w:val="single" w:sz="8" w:space="0" w:color="000000"/>
              <w:left w:val="single" w:sz="8" w:space="0" w:color="000000"/>
              <w:bottom w:val="single" w:sz="8" w:space="0" w:color="000000"/>
              <w:right w:val="single" w:sz="8" w:space="0" w:color="000000"/>
            </w:tcBorders>
            <w:shd w:fill="004E53" w:val="clear"/>
            <w:tcMar>
              <w:top w:w="30" w:type="dxa"/>
              <w:left w:w="28" w:type="dxa"/>
              <w:bottom w:w="30" w:type="dxa"/>
              <w:right w:w="28" w:type="dxa"/>
            </w:tcMar>
            <w:vAlign w:val="center"/>
          </w:tcPr>
          <w:p>
            <w:pPr>
              <w:pStyle w:val="TableContents"/>
              <w:bidi w:val="0"/>
              <w:spacing w:before="0" w:after="10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Did not Disclose Gender</w:t>
            </w:r>
          </w:p>
        </w:tc>
        <w:tc>
          <w:tcPr>
            <w:tcW w:w="263"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8797" w:type="dxa"/>
            <w:gridSpan w:val="13"/>
            <w:tcBorders>
              <w:top w:val="single" w:sz="8" w:space="0" w:color="000000"/>
              <w:left w:val="single" w:sz="8" w:space="0" w:color="000000"/>
              <w:right w:val="single" w:sz="8" w:space="0" w:color="000000"/>
            </w:tcBorders>
            <w:shd w:fill="004E53" w:val="clear"/>
            <w:tcMar>
              <w:top w:w="30" w:type="dxa"/>
              <w:left w:w="28" w:type="dxa"/>
              <w:right w:w="28" w:type="dxa"/>
            </w:tcMar>
            <w:vAlign w:val="center"/>
          </w:tcPr>
          <w:p>
            <w:pPr>
              <w:pStyle w:val="TableContents"/>
              <w:bidi w:val="0"/>
              <w:spacing w:before="0" w:after="100"/>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Gender Identity:</w:t>
            </w:r>
          </w:p>
        </w:tc>
        <w:tc>
          <w:tcPr>
            <w:tcW w:w="263"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690" w:type="dxa"/>
            <w:gridSpan w:val="2"/>
            <w:tcBorders>
              <w:top w:val="single" w:sz="8" w:space="0" w:color="000000"/>
              <w:left w:val="single" w:sz="8" w:space="0" w:color="000000"/>
            </w:tcBorders>
            <w:tcMar>
              <w:top w:w="30" w:type="dxa"/>
              <w:left w:w="130" w:type="dxa"/>
            </w:tcMar>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Directors</w:t>
            </w:r>
          </w:p>
        </w:tc>
        <w:tc>
          <w:tcPr>
            <w:tcW w:w="933" w:type="dxa"/>
            <w:gridSpan w:val="3"/>
            <w:tcBorders>
              <w:top w:val="single" w:sz="8" w:space="0" w:color="000000"/>
              <w:left w:val="single" w:sz="8" w:space="0" w:color="000000"/>
              <w:bottom w:val="single" w:sz="8" w:space="0" w:color="000000"/>
            </w:tcBorders>
            <w:tcMar>
              <w:top w:w="30" w:type="dxa"/>
              <w:left w:w="28" w:type="dxa"/>
              <w:bottom w:w="30"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w:t>
            </w:r>
          </w:p>
        </w:tc>
        <w:tc>
          <w:tcPr>
            <w:tcW w:w="933" w:type="dxa"/>
            <w:gridSpan w:val="3"/>
            <w:tcBorders>
              <w:top w:val="single" w:sz="8" w:space="0" w:color="000000"/>
              <w:left w:val="single" w:sz="8" w:space="0" w:color="000000"/>
              <w:bottom w:val="single" w:sz="8" w:space="0" w:color="000000"/>
            </w:tcBorders>
            <w:tcMar>
              <w:top w:w="30" w:type="dxa"/>
              <w:left w:w="28" w:type="dxa"/>
              <w:bottom w:w="30"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4</w:t>
            </w:r>
          </w:p>
        </w:tc>
        <w:tc>
          <w:tcPr>
            <w:tcW w:w="1111" w:type="dxa"/>
            <w:gridSpan w:val="3"/>
            <w:tcBorders>
              <w:top w:val="single" w:sz="8" w:space="0" w:color="000000"/>
              <w:left w:val="single" w:sz="8" w:space="0" w:color="000000"/>
              <w:bottom w:val="single" w:sz="8" w:space="0" w:color="000000"/>
            </w:tcBorders>
            <w:tcMar>
              <w:top w:w="30" w:type="dxa"/>
              <w:left w:w="28" w:type="dxa"/>
              <w:bottom w:w="30" w:type="dxa"/>
            </w:tcMar>
            <w:vAlign w:val="center"/>
          </w:tcPr>
          <w:p>
            <w:pPr>
              <w:pStyle w:val="TableContents"/>
              <w:bidi w:val="0"/>
              <w:spacing w:before="0" w:after="100"/>
              <w:ind w:left="0" w:right="0" w:hanging="0"/>
              <w:jc w:val="center"/>
              <w:rPr/>
            </w:pPr>
            <w:r>
              <w:rPr/>
              <w:t>—</w:t>
            </w:r>
          </w:p>
        </w:tc>
        <w:tc>
          <w:tcPr>
            <w:tcW w:w="2130" w:type="dxa"/>
            <w:gridSpan w:val="2"/>
            <w:tcBorders>
              <w:top w:val="single" w:sz="8" w:space="0" w:color="000000"/>
              <w:left w:val="single" w:sz="8" w:space="0" w:color="000000"/>
              <w:bottom w:val="single" w:sz="8" w:space="0" w:color="000000"/>
              <w:right w:val="single" w:sz="8" w:space="0" w:color="000000"/>
            </w:tcBorders>
            <w:tcMar>
              <w:top w:w="30" w:type="dxa"/>
              <w:left w:w="28" w:type="dxa"/>
              <w:bottom w:w="30" w:type="dxa"/>
              <w:right w:w="28"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w:t>
            </w:r>
          </w:p>
        </w:tc>
        <w:tc>
          <w:tcPr>
            <w:tcW w:w="263"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8797" w:type="dxa"/>
            <w:gridSpan w:val="13"/>
            <w:tcBorders>
              <w:top w:val="single" w:sz="8" w:space="0" w:color="000000"/>
              <w:left w:val="single" w:sz="8" w:space="0" w:color="000000"/>
              <w:right w:val="single" w:sz="8" w:space="0" w:color="000000"/>
            </w:tcBorders>
            <w:shd w:fill="004E53" w:val="clear"/>
            <w:tcMar>
              <w:top w:w="30" w:type="dxa"/>
              <w:left w:w="28" w:type="dxa"/>
              <w:right w:w="28" w:type="dxa"/>
            </w:tcMar>
            <w:vAlign w:val="center"/>
          </w:tcPr>
          <w:p>
            <w:pPr>
              <w:pStyle w:val="TableContents"/>
              <w:bidi w:val="0"/>
              <w:spacing w:before="0" w:after="100"/>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Number of Directors Who Identify in Any of the Categories Below:</w:t>
            </w:r>
          </w:p>
        </w:tc>
        <w:tc>
          <w:tcPr>
            <w:tcW w:w="263"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690" w:type="dxa"/>
            <w:gridSpan w:val="2"/>
            <w:tcBorders>
              <w:top w:val="single" w:sz="8" w:space="0" w:color="000000"/>
              <w:left w:val="single" w:sz="8" w:space="0" w:color="000000"/>
            </w:tcBorders>
            <w:tcMar>
              <w:top w:w="30" w:type="dxa"/>
              <w:left w:w="130" w:type="dxa"/>
            </w:tcMar>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African American or Black</w:t>
            </w:r>
          </w:p>
        </w:tc>
        <w:tc>
          <w:tcPr>
            <w:tcW w:w="933" w:type="dxa"/>
            <w:gridSpan w:val="3"/>
            <w:tcBorders>
              <w:top w:val="single" w:sz="8" w:space="0" w:color="000000"/>
              <w:left w:val="single" w:sz="8" w:space="0" w:color="000000"/>
            </w:tcBorders>
            <w:tcMar>
              <w:top w:w="30" w:type="dxa"/>
              <w:left w:w="28" w:type="dxa"/>
            </w:tcMar>
            <w:vAlign w:val="center"/>
          </w:tcPr>
          <w:p>
            <w:pPr>
              <w:pStyle w:val="TableContents"/>
              <w:bidi w:val="0"/>
              <w:spacing w:before="0" w:after="100"/>
              <w:ind w:left="0" w:right="0" w:hanging="0"/>
              <w:jc w:val="center"/>
              <w:rPr/>
            </w:pPr>
            <w:r>
              <w:rPr/>
              <w:t>—</w:t>
            </w:r>
          </w:p>
        </w:tc>
        <w:tc>
          <w:tcPr>
            <w:tcW w:w="933" w:type="dxa"/>
            <w:gridSpan w:val="3"/>
            <w:tcBorders>
              <w:top w:val="single" w:sz="8" w:space="0" w:color="000000"/>
              <w:left w:val="single" w:sz="8" w:space="0" w:color="000000"/>
            </w:tcBorders>
            <w:tcMar>
              <w:top w:w="30" w:type="dxa"/>
              <w:left w:w="28" w:type="dxa"/>
            </w:tcMar>
            <w:vAlign w:val="center"/>
          </w:tcPr>
          <w:p>
            <w:pPr>
              <w:pStyle w:val="TableContents"/>
              <w:bidi w:val="0"/>
              <w:spacing w:before="0" w:after="100"/>
              <w:ind w:left="0" w:right="0" w:hanging="0"/>
              <w:jc w:val="center"/>
              <w:rPr/>
            </w:pPr>
            <w:r>
              <w:rPr/>
              <w:t>—</w:t>
            </w:r>
          </w:p>
        </w:tc>
        <w:tc>
          <w:tcPr>
            <w:tcW w:w="1111" w:type="dxa"/>
            <w:gridSpan w:val="3"/>
            <w:tcBorders>
              <w:top w:val="single" w:sz="8" w:space="0" w:color="000000"/>
              <w:left w:val="single" w:sz="8" w:space="0" w:color="000000"/>
            </w:tcBorders>
            <w:tcMar>
              <w:top w:w="30" w:type="dxa"/>
              <w:left w:w="28" w:type="dxa"/>
            </w:tcMar>
            <w:vAlign w:val="center"/>
          </w:tcPr>
          <w:p>
            <w:pPr>
              <w:pStyle w:val="TableContents"/>
              <w:bidi w:val="0"/>
              <w:spacing w:before="0" w:after="100"/>
              <w:ind w:left="0" w:right="0" w:hanging="0"/>
              <w:jc w:val="center"/>
              <w:rPr/>
            </w:pPr>
            <w:r>
              <w:rPr/>
              <w:t>—</w:t>
            </w:r>
          </w:p>
        </w:tc>
        <w:tc>
          <w:tcPr>
            <w:tcW w:w="2130" w:type="dxa"/>
            <w:gridSpan w:val="2"/>
            <w:tcBorders>
              <w:top w:val="single" w:sz="8" w:space="0" w:color="000000"/>
              <w:left w:val="single" w:sz="8" w:space="0" w:color="000000"/>
              <w:right w:val="single" w:sz="8" w:space="0" w:color="000000"/>
            </w:tcBorders>
            <w:tcMar>
              <w:top w:w="30" w:type="dxa"/>
              <w:left w:w="28" w:type="dxa"/>
              <w:right w:w="28" w:type="dxa"/>
            </w:tcMar>
            <w:vAlign w:val="center"/>
          </w:tcPr>
          <w:p>
            <w:pPr>
              <w:pStyle w:val="TableContents"/>
              <w:bidi w:val="0"/>
              <w:spacing w:before="0" w:after="100"/>
              <w:ind w:left="0" w:right="0" w:hanging="0"/>
              <w:jc w:val="center"/>
              <w:rPr/>
            </w:pPr>
            <w:r>
              <w:rPr/>
              <w:t>—</w:t>
            </w:r>
          </w:p>
        </w:tc>
        <w:tc>
          <w:tcPr>
            <w:tcW w:w="263"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690" w:type="dxa"/>
            <w:gridSpan w:val="2"/>
            <w:tcBorders>
              <w:top w:val="single" w:sz="8" w:space="0" w:color="000000"/>
              <w:left w:val="single" w:sz="8" w:space="0" w:color="000000"/>
            </w:tcBorders>
            <w:tcMar>
              <w:top w:w="30" w:type="dxa"/>
              <w:left w:w="130" w:type="dxa"/>
            </w:tcMar>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Alaskan Native or Native American</w:t>
            </w:r>
          </w:p>
        </w:tc>
        <w:tc>
          <w:tcPr>
            <w:tcW w:w="933" w:type="dxa"/>
            <w:gridSpan w:val="3"/>
            <w:tcBorders>
              <w:top w:val="single" w:sz="8" w:space="0" w:color="000000"/>
              <w:left w:val="single" w:sz="8" w:space="0" w:color="000000"/>
            </w:tcBorders>
            <w:tcMar>
              <w:top w:w="30" w:type="dxa"/>
              <w:left w:w="28" w:type="dxa"/>
            </w:tcMar>
            <w:vAlign w:val="center"/>
          </w:tcPr>
          <w:p>
            <w:pPr>
              <w:pStyle w:val="TableContents"/>
              <w:bidi w:val="0"/>
              <w:spacing w:before="0" w:after="100"/>
              <w:ind w:left="0" w:right="0" w:hanging="0"/>
              <w:jc w:val="center"/>
              <w:rPr/>
            </w:pPr>
            <w:r>
              <w:rPr/>
              <w:t>—</w:t>
            </w:r>
          </w:p>
        </w:tc>
        <w:tc>
          <w:tcPr>
            <w:tcW w:w="933" w:type="dxa"/>
            <w:gridSpan w:val="3"/>
            <w:tcBorders>
              <w:top w:val="single" w:sz="8" w:space="0" w:color="000000"/>
              <w:left w:val="single" w:sz="8" w:space="0" w:color="000000"/>
            </w:tcBorders>
            <w:tcMar>
              <w:top w:w="30" w:type="dxa"/>
              <w:left w:w="28" w:type="dxa"/>
            </w:tcMar>
            <w:vAlign w:val="center"/>
          </w:tcPr>
          <w:p>
            <w:pPr>
              <w:pStyle w:val="TableContents"/>
              <w:bidi w:val="0"/>
              <w:spacing w:before="0" w:after="100"/>
              <w:ind w:left="0" w:right="0" w:hanging="0"/>
              <w:jc w:val="center"/>
              <w:rPr/>
            </w:pPr>
            <w:r>
              <w:rPr/>
              <w:t>—</w:t>
            </w:r>
          </w:p>
        </w:tc>
        <w:tc>
          <w:tcPr>
            <w:tcW w:w="1111" w:type="dxa"/>
            <w:gridSpan w:val="3"/>
            <w:tcBorders>
              <w:top w:val="single" w:sz="8" w:space="0" w:color="000000"/>
              <w:left w:val="single" w:sz="8" w:space="0" w:color="000000"/>
            </w:tcBorders>
            <w:tcMar>
              <w:top w:w="30" w:type="dxa"/>
              <w:left w:w="28" w:type="dxa"/>
            </w:tcMar>
            <w:vAlign w:val="center"/>
          </w:tcPr>
          <w:p>
            <w:pPr>
              <w:pStyle w:val="TableContents"/>
              <w:bidi w:val="0"/>
              <w:spacing w:before="0" w:after="100"/>
              <w:ind w:left="0" w:right="0" w:hanging="0"/>
              <w:jc w:val="center"/>
              <w:rPr/>
            </w:pPr>
            <w:r>
              <w:rPr/>
              <w:t>—</w:t>
            </w:r>
          </w:p>
        </w:tc>
        <w:tc>
          <w:tcPr>
            <w:tcW w:w="2130" w:type="dxa"/>
            <w:gridSpan w:val="2"/>
            <w:tcBorders>
              <w:top w:val="single" w:sz="8" w:space="0" w:color="000000"/>
              <w:left w:val="single" w:sz="8" w:space="0" w:color="000000"/>
              <w:right w:val="single" w:sz="8" w:space="0" w:color="000000"/>
            </w:tcBorders>
            <w:tcMar>
              <w:top w:w="30" w:type="dxa"/>
              <w:left w:w="28" w:type="dxa"/>
              <w:right w:w="28" w:type="dxa"/>
            </w:tcMar>
            <w:vAlign w:val="center"/>
          </w:tcPr>
          <w:p>
            <w:pPr>
              <w:pStyle w:val="TableContents"/>
              <w:bidi w:val="0"/>
              <w:spacing w:before="0" w:after="100"/>
              <w:ind w:left="0" w:right="0" w:hanging="0"/>
              <w:jc w:val="center"/>
              <w:rPr/>
            </w:pPr>
            <w:r>
              <w:rPr/>
              <w:t>—</w:t>
            </w:r>
          </w:p>
        </w:tc>
        <w:tc>
          <w:tcPr>
            <w:tcW w:w="263"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690" w:type="dxa"/>
            <w:gridSpan w:val="2"/>
            <w:tcBorders>
              <w:top w:val="single" w:sz="8" w:space="0" w:color="000000"/>
              <w:left w:val="single" w:sz="8" w:space="0" w:color="000000"/>
            </w:tcBorders>
            <w:tcMar>
              <w:top w:w="30" w:type="dxa"/>
              <w:left w:w="130" w:type="dxa"/>
            </w:tcMar>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Asian</w:t>
            </w:r>
          </w:p>
        </w:tc>
        <w:tc>
          <w:tcPr>
            <w:tcW w:w="933" w:type="dxa"/>
            <w:gridSpan w:val="3"/>
            <w:tcBorders>
              <w:top w:val="single" w:sz="8" w:space="0" w:color="000000"/>
              <w:left w:val="single" w:sz="8" w:space="0" w:color="000000"/>
            </w:tcBorders>
            <w:tcMar>
              <w:top w:w="30" w:type="dxa"/>
              <w:left w:w="28" w:type="dxa"/>
            </w:tcMar>
            <w:vAlign w:val="center"/>
          </w:tcPr>
          <w:p>
            <w:pPr>
              <w:pStyle w:val="TableContents"/>
              <w:bidi w:val="0"/>
              <w:spacing w:before="0" w:after="100"/>
              <w:ind w:left="0" w:right="0" w:hanging="0"/>
              <w:jc w:val="center"/>
              <w:rPr/>
            </w:pPr>
            <w:r>
              <w:rPr/>
              <w:t>—</w:t>
            </w:r>
          </w:p>
        </w:tc>
        <w:tc>
          <w:tcPr>
            <w:tcW w:w="933" w:type="dxa"/>
            <w:gridSpan w:val="3"/>
            <w:tcBorders>
              <w:top w:val="single" w:sz="8" w:space="0" w:color="000000"/>
              <w:left w:val="single" w:sz="8" w:space="0" w:color="000000"/>
            </w:tcBorders>
            <w:tcMar>
              <w:top w:w="30" w:type="dxa"/>
              <w:left w:w="28"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w:t>
            </w:r>
          </w:p>
        </w:tc>
        <w:tc>
          <w:tcPr>
            <w:tcW w:w="1111" w:type="dxa"/>
            <w:gridSpan w:val="3"/>
            <w:tcBorders>
              <w:top w:val="single" w:sz="8" w:space="0" w:color="000000"/>
              <w:left w:val="single" w:sz="8" w:space="0" w:color="000000"/>
            </w:tcBorders>
            <w:tcMar>
              <w:top w:w="30" w:type="dxa"/>
              <w:left w:w="28" w:type="dxa"/>
            </w:tcMar>
            <w:vAlign w:val="center"/>
          </w:tcPr>
          <w:p>
            <w:pPr>
              <w:pStyle w:val="TableContents"/>
              <w:bidi w:val="0"/>
              <w:spacing w:before="0" w:after="100"/>
              <w:ind w:left="0" w:right="0" w:hanging="0"/>
              <w:jc w:val="center"/>
              <w:rPr/>
            </w:pPr>
            <w:r>
              <w:rPr/>
              <w:t>—</w:t>
            </w:r>
          </w:p>
        </w:tc>
        <w:tc>
          <w:tcPr>
            <w:tcW w:w="2130" w:type="dxa"/>
            <w:gridSpan w:val="2"/>
            <w:tcBorders>
              <w:top w:val="single" w:sz="8" w:space="0" w:color="000000"/>
              <w:left w:val="single" w:sz="8" w:space="0" w:color="000000"/>
              <w:right w:val="single" w:sz="8" w:space="0" w:color="000000"/>
            </w:tcBorders>
            <w:tcMar>
              <w:top w:w="30" w:type="dxa"/>
              <w:left w:w="28" w:type="dxa"/>
              <w:right w:w="28" w:type="dxa"/>
            </w:tcMar>
            <w:vAlign w:val="center"/>
          </w:tcPr>
          <w:p>
            <w:pPr>
              <w:pStyle w:val="TableContents"/>
              <w:bidi w:val="0"/>
              <w:spacing w:before="0" w:after="100"/>
              <w:ind w:left="0" w:right="0" w:hanging="0"/>
              <w:jc w:val="center"/>
              <w:rPr/>
            </w:pPr>
            <w:r>
              <w:rPr/>
              <w:t>—</w:t>
            </w:r>
          </w:p>
        </w:tc>
        <w:tc>
          <w:tcPr>
            <w:tcW w:w="263"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690" w:type="dxa"/>
            <w:gridSpan w:val="2"/>
            <w:tcBorders>
              <w:top w:val="single" w:sz="8" w:space="0" w:color="000000"/>
              <w:left w:val="single" w:sz="8" w:space="0" w:color="000000"/>
            </w:tcBorders>
            <w:tcMar>
              <w:top w:w="30" w:type="dxa"/>
              <w:left w:w="130" w:type="dxa"/>
            </w:tcMar>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Hispanic or Latinx</w:t>
            </w:r>
          </w:p>
        </w:tc>
        <w:tc>
          <w:tcPr>
            <w:tcW w:w="933" w:type="dxa"/>
            <w:gridSpan w:val="3"/>
            <w:tcBorders>
              <w:top w:val="single" w:sz="8" w:space="0" w:color="000000"/>
              <w:left w:val="single" w:sz="8" w:space="0" w:color="000000"/>
            </w:tcBorders>
            <w:tcMar>
              <w:top w:w="30" w:type="dxa"/>
              <w:left w:w="28" w:type="dxa"/>
            </w:tcMar>
            <w:vAlign w:val="center"/>
          </w:tcPr>
          <w:p>
            <w:pPr>
              <w:pStyle w:val="TableContents"/>
              <w:bidi w:val="0"/>
              <w:spacing w:before="0" w:after="100"/>
              <w:ind w:left="0" w:right="0" w:hanging="0"/>
              <w:jc w:val="center"/>
              <w:rPr/>
            </w:pPr>
            <w:r>
              <w:rPr/>
              <w:t>—</w:t>
            </w:r>
          </w:p>
        </w:tc>
        <w:tc>
          <w:tcPr>
            <w:tcW w:w="933" w:type="dxa"/>
            <w:gridSpan w:val="3"/>
            <w:tcBorders>
              <w:top w:val="single" w:sz="8" w:space="0" w:color="000000"/>
              <w:left w:val="single" w:sz="8" w:space="0" w:color="000000"/>
            </w:tcBorders>
            <w:tcMar>
              <w:top w:w="30" w:type="dxa"/>
              <w:left w:w="28" w:type="dxa"/>
            </w:tcMar>
            <w:vAlign w:val="center"/>
          </w:tcPr>
          <w:p>
            <w:pPr>
              <w:pStyle w:val="TableContents"/>
              <w:bidi w:val="0"/>
              <w:spacing w:before="0" w:after="100"/>
              <w:ind w:left="0" w:right="0" w:hanging="0"/>
              <w:jc w:val="center"/>
              <w:rPr/>
            </w:pPr>
            <w:r>
              <w:rPr/>
              <w:t>—</w:t>
            </w:r>
          </w:p>
        </w:tc>
        <w:tc>
          <w:tcPr>
            <w:tcW w:w="1111" w:type="dxa"/>
            <w:gridSpan w:val="3"/>
            <w:tcBorders>
              <w:top w:val="single" w:sz="8" w:space="0" w:color="000000"/>
              <w:left w:val="single" w:sz="8" w:space="0" w:color="000000"/>
            </w:tcBorders>
            <w:tcMar>
              <w:top w:w="30" w:type="dxa"/>
              <w:left w:w="28" w:type="dxa"/>
            </w:tcMar>
            <w:vAlign w:val="center"/>
          </w:tcPr>
          <w:p>
            <w:pPr>
              <w:pStyle w:val="TableContents"/>
              <w:bidi w:val="0"/>
              <w:spacing w:before="0" w:after="100"/>
              <w:ind w:left="0" w:right="0" w:hanging="0"/>
              <w:jc w:val="center"/>
              <w:rPr/>
            </w:pPr>
            <w:r>
              <w:rPr/>
              <w:t>—</w:t>
            </w:r>
          </w:p>
        </w:tc>
        <w:tc>
          <w:tcPr>
            <w:tcW w:w="2130" w:type="dxa"/>
            <w:gridSpan w:val="2"/>
            <w:tcBorders>
              <w:top w:val="single" w:sz="8" w:space="0" w:color="000000"/>
              <w:left w:val="single" w:sz="8" w:space="0" w:color="000000"/>
              <w:right w:val="single" w:sz="8" w:space="0" w:color="000000"/>
            </w:tcBorders>
            <w:tcMar>
              <w:top w:w="30" w:type="dxa"/>
              <w:left w:w="28" w:type="dxa"/>
              <w:right w:w="28" w:type="dxa"/>
            </w:tcMar>
            <w:vAlign w:val="center"/>
          </w:tcPr>
          <w:p>
            <w:pPr>
              <w:pStyle w:val="TableContents"/>
              <w:bidi w:val="0"/>
              <w:spacing w:before="0" w:after="100"/>
              <w:ind w:left="0" w:right="0" w:hanging="0"/>
              <w:jc w:val="center"/>
              <w:rPr/>
            </w:pPr>
            <w:r>
              <w:rPr/>
              <w:t>—</w:t>
            </w:r>
          </w:p>
        </w:tc>
        <w:tc>
          <w:tcPr>
            <w:tcW w:w="263"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690" w:type="dxa"/>
            <w:gridSpan w:val="2"/>
            <w:tcBorders>
              <w:top w:val="single" w:sz="8" w:space="0" w:color="000000"/>
              <w:left w:val="single" w:sz="8" w:space="0" w:color="000000"/>
            </w:tcBorders>
            <w:tcMar>
              <w:top w:w="30" w:type="dxa"/>
              <w:left w:w="130" w:type="dxa"/>
            </w:tcMar>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Native Hawaiian or Pacific Islander</w:t>
            </w:r>
          </w:p>
        </w:tc>
        <w:tc>
          <w:tcPr>
            <w:tcW w:w="933" w:type="dxa"/>
            <w:gridSpan w:val="3"/>
            <w:tcBorders>
              <w:top w:val="single" w:sz="8" w:space="0" w:color="000000"/>
              <w:left w:val="single" w:sz="8" w:space="0" w:color="000000"/>
            </w:tcBorders>
            <w:tcMar>
              <w:top w:w="30" w:type="dxa"/>
              <w:left w:w="28" w:type="dxa"/>
            </w:tcMar>
            <w:vAlign w:val="center"/>
          </w:tcPr>
          <w:p>
            <w:pPr>
              <w:pStyle w:val="TableContents"/>
              <w:bidi w:val="0"/>
              <w:spacing w:before="0" w:after="100"/>
              <w:ind w:left="0" w:right="0" w:hanging="0"/>
              <w:jc w:val="center"/>
              <w:rPr/>
            </w:pPr>
            <w:r>
              <w:rPr/>
              <w:t>—</w:t>
            </w:r>
          </w:p>
        </w:tc>
        <w:tc>
          <w:tcPr>
            <w:tcW w:w="933" w:type="dxa"/>
            <w:gridSpan w:val="3"/>
            <w:tcBorders>
              <w:top w:val="single" w:sz="8" w:space="0" w:color="000000"/>
              <w:left w:val="single" w:sz="8" w:space="0" w:color="000000"/>
            </w:tcBorders>
            <w:tcMar>
              <w:top w:w="30" w:type="dxa"/>
              <w:left w:w="28" w:type="dxa"/>
            </w:tcMar>
            <w:vAlign w:val="center"/>
          </w:tcPr>
          <w:p>
            <w:pPr>
              <w:pStyle w:val="TableContents"/>
              <w:bidi w:val="0"/>
              <w:spacing w:before="0" w:after="100"/>
              <w:ind w:left="0" w:right="0" w:hanging="0"/>
              <w:jc w:val="center"/>
              <w:rPr/>
            </w:pPr>
            <w:r>
              <w:rPr/>
              <w:t>—</w:t>
            </w:r>
          </w:p>
        </w:tc>
        <w:tc>
          <w:tcPr>
            <w:tcW w:w="1111" w:type="dxa"/>
            <w:gridSpan w:val="3"/>
            <w:tcBorders>
              <w:top w:val="single" w:sz="8" w:space="0" w:color="000000"/>
              <w:left w:val="single" w:sz="8" w:space="0" w:color="000000"/>
            </w:tcBorders>
            <w:tcMar>
              <w:top w:w="30" w:type="dxa"/>
              <w:left w:w="28" w:type="dxa"/>
            </w:tcMar>
            <w:vAlign w:val="center"/>
          </w:tcPr>
          <w:p>
            <w:pPr>
              <w:pStyle w:val="TableContents"/>
              <w:bidi w:val="0"/>
              <w:spacing w:before="0" w:after="100"/>
              <w:ind w:left="0" w:right="0" w:hanging="0"/>
              <w:jc w:val="center"/>
              <w:rPr/>
            </w:pPr>
            <w:r>
              <w:rPr/>
              <w:t>—</w:t>
            </w:r>
          </w:p>
        </w:tc>
        <w:tc>
          <w:tcPr>
            <w:tcW w:w="2130" w:type="dxa"/>
            <w:gridSpan w:val="2"/>
            <w:tcBorders>
              <w:top w:val="single" w:sz="8" w:space="0" w:color="000000"/>
              <w:left w:val="single" w:sz="8" w:space="0" w:color="000000"/>
              <w:right w:val="single" w:sz="8" w:space="0" w:color="000000"/>
            </w:tcBorders>
            <w:tcMar>
              <w:top w:w="30" w:type="dxa"/>
              <w:left w:w="28" w:type="dxa"/>
              <w:right w:w="28" w:type="dxa"/>
            </w:tcMar>
            <w:vAlign w:val="center"/>
          </w:tcPr>
          <w:p>
            <w:pPr>
              <w:pStyle w:val="TableContents"/>
              <w:bidi w:val="0"/>
              <w:spacing w:before="0" w:after="100"/>
              <w:ind w:left="0" w:right="0" w:hanging="0"/>
              <w:jc w:val="center"/>
              <w:rPr/>
            </w:pPr>
            <w:r>
              <w:rPr/>
              <w:t>—</w:t>
            </w:r>
          </w:p>
        </w:tc>
        <w:tc>
          <w:tcPr>
            <w:tcW w:w="263"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690" w:type="dxa"/>
            <w:gridSpan w:val="2"/>
            <w:tcBorders>
              <w:top w:val="single" w:sz="8" w:space="0" w:color="000000"/>
              <w:left w:val="single" w:sz="8" w:space="0" w:color="000000"/>
            </w:tcBorders>
            <w:tcMar>
              <w:top w:w="30" w:type="dxa"/>
              <w:left w:w="130" w:type="dxa"/>
            </w:tcMar>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White</w:t>
            </w:r>
          </w:p>
        </w:tc>
        <w:tc>
          <w:tcPr>
            <w:tcW w:w="933" w:type="dxa"/>
            <w:gridSpan w:val="3"/>
            <w:tcBorders>
              <w:top w:val="single" w:sz="8" w:space="0" w:color="000000"/>
              <w:left w:val="single" w:sz="8" w:space="0" w:color="000000"/>
            </w:tcBorders>
            <w:tcMar>
              <w:top w:w="30" w:type="dxa"/>
              <w:left w:w="28" w:type="dxa"/>
            </w:tcMar>
            <w:vAlign w:val="center"/>
          </w:tcPr>
          <w:p>
            <w:pPr>
              <w:pStyle w:val="TableContents"/>
              <w:bidi w:val="0"/>
              <w:spacing w:before="0" w:after="100"/>
              <w:ind w:left="0" w:right="0" w:hanging="0"/>
              <w:jc w:val="center"/>
              <w:rPr/>
            </w:pPr>
            <w:r>
              <w:rPr/>
              <w:t>—</w:t>
            </w:r>
          </w:p>
        </w:tc>
        <w:tc>
          <w:tcPr>
            <w:tcW w:w="933" w:type="dxa"/>
            <w:gridSpan w:val="3"/>
            <w:tcBorders>
              <w:top w:val="single" w:sz="8" w:space="0" w:color="000000"/>
              <w:left w:val="single" w:sz="8" w:space="0" w:color="000000"/>
            </w:tcBorders>
            <w:tcMar>
              <w:top w:w="30" w:type="dxa"/>
              <w:left w:w="28"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2</w:t>
            </w:r>
          </w:p>
        </w:tc>
        <w:tc>
          <w:tcPr>
            <w:tcW w:w="1111" w:type="dxa"/>
            <w:gridSpan w:val="3"/>
            <w:tcBorders>
              <w:top w:val="single" w:sz="8" w:space="0" w:color="000000"/>
              <w:left w:val="single" w:sz="8" w:space="0" w:color="000000"/>
            </w:tcBorders>
            <w:tcMar>
              <w:top w:w="30" w:type="dxa"/>
              <w:left w:w="28" w:type="dxa"/>
            </w:tcMar>
            <w:vAlign w:val="center"/>
          </w:tcPr>
          <w:p>
            <w:pPr>
              <w:pStyle w:val="TableContents"/>
              <w:bidi w:val="0"/>
              <w:spacing w:before="0" w:after="100"/>
              <w:ind w:left="0" w:right="0" w:hanging="0"/>
              <w:jc w:val="center"/>
              <w:rPr/>
            </w:pPr>
            <w:r>
              <w:rPr/>
              <w:t>—</w:t>
            </w:r>
          </w:p>
        </w:tc>
        <w:tc>
          <w:tcPr>
            <w:tcW w:w="2130" w:type="dxa"/>
            <w:gridSpan w:val="2"/>
            <w:tcBorders>
              <w:top w:val="single" w:sz="8" w:space="0" w:color="000000"/>
              <w:left w:val="single" w:sz="8" w:space="0" w:color="000000"/>
              <w:right w:val="single" w:sz="8" w:space="0" w:color="000000"/>
            </w:tcBorders>
            <w:tcMar>
              <w:top w:w="30" w:type="dxa"/>
              <w:left w:w="28" w:type="dxa"/>
              <w:right w:w="28" w:type="dxa"/>
            </w:tcMar>
            <w:vAlign w:val="center"/>
          </w:tcPr>
          <w:p>
            <w:pPr>
              <w:pStyle w:val="TableContents"/>
              <w:bidi w:val="0"/>
              <w:spacing w:before="0" w:after="100"/>
              <w:ind w:left="0" w:right="0" w:hanging="0"/>
              <w:jc w:val="center"/>
              <w:rPr/>
            </w:pPr>
            <w:r>
              <w:rPr/>
              <w:t>—</w:t>
            </w:r>
          </w:p>
        </w:tc>
        <w:tc>
          <w:tcPr>
            <w:tcW w:w="263"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690" w:type="dxa"/>
            <w:gridSpan w:val="2"/>
            <w:tcBorders>
              <w:top w:val="single" w:sz="8" w:space="0" w:color="000000"/>
              <w:left w:val="single" w:sz="8" w:space="0" w:color="000000"/>
            </w:tcBorders>
            <w:tcMar>
              <w:top w:w="30" w:type="dxa"/>
              <w:left w:w="130" w:type="dxa"/>
            </w:tcMar>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Two or More Races or Ethnicities</w:t>
            </w:r>
          </w:p>
        </w:tc>
        <w:tc>
          <w:tcPr>
            <w:tcW w:w="933" w:type="dxa"/>
            <w:gridSpan w:val="3"/>
            <w:tcBorders>
              <w:top w:val="single" w:sz="8" w:space="0" w:color="000000"/>
              <w:left w:val="single" w:sz="8" w:space="0" w:color="000000"/>
            </w:tcBorders>
            <w:tcMar>
              <w:top w:w="30" w:type="dxa"/>
              <w:left w:w="28" w:type="dxa"/>
            </w:tcMar>
            <w:vAlign w:val="center"/>
          </w:tcPr>
          <w:p>
            <w:pPr>
              <w:pStyle w:val="TableContents"/>
              <w:bidi w:val="0"/>
              <w:spacing w:before="0" w:after="100"/>
              <w:ind w:left="0" w:right="0" w:hanging="0"/>
              <w:jc w:val="center"/>
              <w:rPr/>
            </w:pPr>
            <w:r>
              <w:rPr/>
              <w:t>—</w:t>
            </w:r>
          </w:p>
        </w:tc>
        <w:tc>
          <w:tcPr>
            <w:tcW w:w="933" w:type="dxa"/>
            <w:gridSpan w:val="3"/>
            <w:tcBorders>
              <w:top w:val="single" w:sz="8" w:space="0" w:color="000000"/>
              <w:left w:val="single" w:sz="8" w:space="0" w:color="000000"/>
              <w:bottom w:val="single" w:sz="8" w:space="0" w:color="000000"/>
            </w:tcBorders>
            <w:tcMar>
              <w:top w:w="30" w:type="dxa"/>
              <w:left w:w="28" w:type="dxa"/>
              <w:bottom w:w="30" w:type="dxa"/>
            </w:tcMar>
            <w:vAlign w:val="center"/>
          </w:tcPr>
          <w:p>
            <w:pPr>
              <w:pStyle w:val="TableContents"/>
              <w:bidi w:val="0"/>
              <w:spacing w:before="0" w:after="100"/>
              <w:ind w:left="0" w:right="0" w:hanging="0"/>
              <w:jc w:val="center"/>
              <w:rPr/>
            </w:pPr>
            <w:r>
              <w:rPr/>
              <w:t>—</w:t>
            </w:r>
          </w:p>
        </w:tc>
        <w:tc>
          <w:tcPr>
            <w:tcW w:w="1111" w:type="dxa"/>
            <w:gridSpan w:val="3"/>
            <w:tcBorders>
              <w:top w:val="single" w:sz="8" w:space="0" w:color="000000"/>
              <w:left w:val="single" w:sz="8" w:space="0" w:color="000000"/>
              <w:bottom w:val="single" w:sz="8" w:space="0" w:color="000000"/>
            </w:tcBorders>
            <w:tcMar>
              <w:top w:w="30" w:type="dxa"/>
              <w:left w:w="28" w:type="dxa"/>
              <w:bottom w:w="30" w:type="dxa"/>
            </w:tcMar>
            <w:vAlign w:val="center"/>
          </w:tcPr>
          <w:p>
            <w:pPr>
              <w:pStyle w:val="TableContents"/>
              <w:bidi w:val="0"/>
              <w:spacing w:before="0" w:after="100"/>
              <w:ind w:left="0" w:right="0" w:hanging="0"/>
              <w:jc w:val="center"/>
              <w:rPr/>
            </w:pPr>
            <w:r>
              <w:rPr/>
              <w:t>—</w:t>
            </w:r>
          </w:p>
        </w:tc>
        <w:tc>
          <w:tcPr>
            <w:tcW w:w="2130" w:type="dxa"/>
            <w:gridSpan w:val="2"/>
            <w:tcBorders>
              <w:top w:val="single" w:sz="8" w:space="0" w:color="000000"/>
              <w:left w:val="single" w:sz="8" w:space="0" w:color="000000"/>
              <w:bottom w:val="single" w:sz="8" w:space="0" w:color="000000"/>
              <w:right w:val="single" w:sz="8" w:space="0" w:color="000000"/>
            </w:tcBorders>
            <w:tcMar>
              <w:top w:w="30" w:type="dxa"/>
              <w:left w:w="28" w:type="dxa"/>
              <w:bottom w:w="30" w:type="dxa"/>
              <w:right w:w="28" w:type="dxa"/>
            </w:tcMar>
            <w:vAlign w:val="center"/>
          </w:tcPr>
          <w:p>
            <w:pPr>
              <w:pStyle w:val="TableContents"/>
              <w:bidi w:val="0"/>
              <w:spacing w:before="0" w:after="100"/>
              <w:ind w:left="0" w:right="0" w:hanging="0"/>
              <w:jc w:val="center"/>
              <w:rPr/>
            </w:pPr>
            <w:r>
              <w:rPr/>
              <w:t>—</w:t>
            </w:r>
          </w:p>
        </w:tc>
        <w:tc>
          <w:tcPr>
            <w:tcW w:w="263"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690" w:type="dxa"/>
            <w:gridSpan w:val="2"/>
            <w:tcBorders>
              <w:top w:val="single" w:sz="8" w:space="0" w:color="000000"/>
              <w:left w:val="single" w:sz="8" w:space="0" w:color="000000"/>
            </w:tcBorders>
            <w:tcMar>
              <w:top w:w="30" w:type="dxa"/>
              <w:left w:w="130" w:type="dxa"/>
            </w:tcMar>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LGBTQ+</w:t>
            </w:r>
          </w:p>
        </w:tc>
        <w:tc>
          <w:tcPr>
            <w:tcW w:w="5107" w:type="dxa"/>
            <w:gridSpan w:val="11"/>
            <w:tcBorders>
              <w:top w:val="single" w:sz="8" w:space="0" w:color="000000"/>
              <w:left w:val="single" w:sz="8" w:space="0" w:color="000000"/>
              <w:bottom w:val="single" w:sz="8" w:space="0" w:color="000000"/>
              <w:right w:val="single" w:sz="8" w:space="0" w:color="000000"/>
            </w:tcBorders>
            <w:tcMar>
              <w:top w:w="30" w:type="dxa"/>
              <w:left w:w="28" w:type="dxa"/>
              <w:bottom w:w="30" w:type="dxa"/>
              <w:right w:w="28" w:type="dxa"/>
            </w:tcMar>
            <w:vAlign w:val="center"/>
          </w:tcPr>
          <w:p>
            <w:pPr>
              <w:pStyle w:val="TableContents"/>
              <w:bidi w:val="0"/>
              <w:spacing w:before="0" w:after="100"/>
              <w:ind w:left="0" w:right="0" w:hanging="0"/>
              <w:jc w:val="center"/>
              <w:rPr/>
            </w:pPr>
            <w:r>
              <w:rPr/>
              <w:t>—</w:t>
            </w:r>
          </w:p>
        </w:tc>
        <w:tc>
          <w:tcPr>
            <w:tcW w:w="263"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690" w:type="dxa"/>
            <w:gridSpan w:val="2"/>
            <w:tcBorders>
              <w:top w:val="single" w:sz="8" w:space="0" w:color="000000"/>
              <w:left w:val="single" w:sz="8" w:space="0" w:color="000000"/>
              <w:bottom w:val="single" w:sz="8" w:space="0" w:color="000000"/>
            </w:tcBorders>
            <w:tcMar>
              <w:top w:w="30" w:type="dxa"/>
              <w:left w:w="130" w:type="dxa"/>
              <w:bottom w:w="30" w:type="dxa"/>
            </w:tcMar>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Persons with Disabilities</w:t>
            </w:r>
          </w:p>
        </w:tc>
        <w:tc>
          <w:tcPr>
            <w:tcW w:w="5107" w:type="dxa"/>
            <w:gridSpan w:val="11"/>
            <w:tcBorders>
              <w:top w:val="single" w:sz="8" w:space="0" w:color="000000"/>
              <w:left w:val="single" w:sz="8" w:space="0" w:color="000000"/>
              <w:bottom w:val="single" w:sz="8" w:space="0" w:color="000000"/>
              <w:right w:val="single" w:sz="8" w:space="0" w:color="000000"/>
            </w:tcBorders>
            <w:tcMar>
              <w:top w:w="30" w:type="dxa"/>
              <w:left w:w="28" w:type="dxa"/>
              <w:bottom w:w="30" w:type="dxa"/>
              <w:right w:w="28" w:type="dxa"/>
            </w:tcMar>
            <w:vAlign w:val="center"/>
          </w:tcPr>
          <w:p>
            <w:pPr>
              <w:pStyle w:val="TableContents"/>
              <w:bidi w:val="0"/>
              <w:spacing w:before="0" w:after="100"/>
              <w:ind w:left="0" w:right="0" w:hanging="0"/>
              <w:jc w:val="center"/>
              <w:rPr/>
            </w:pPr>
            <w:r>
              <w:rPr/>
              <w:t>—</w:t>
            </w:r>
          </w:p>
        </w:tc>
        <w:tc>
          <w:tcPr>
            <w:tcW w:w="263"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690" w:type="dxa"/>
            <w:gridSpan w:val="2"/>
            <w:tcBorders>
              <w:top w:val="single" w:sz="8" w:space="0" w:color="000000"/>
              <w:left w:val="single" w:sz="8" w:space="0" w:color="000000"/>
              <w:bottom w:val="single" w:sz="2" w:space="0" w:color="000000"/>
            </w:tcBorders>
            <w:tcMar>
              <w:top w:w="30" w:type="dxa"/>
              <w:left w:w="130" w:type="dxa"/>
              <w:bottom w:w="30" w:type="dxa"/>
            </w:tcMar>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Did Not Disclose Demographic Background</w:t>
            </w:r>
          </w:p>
        </w:tc>
        <w:tc>
          <w:tcPr>
            <w:tcW w:w="5107" w:type="dxa"/>
            <w:gridSpan w:val="11"/>
            <w:tcBorders>
              <w:top w:val="single" w:sz="8" w:space="0" w:color="000000"/>
              <w:left w:val="single" w:sz="8" w:space="0" w:color="000000"/>
              <w:bottom w:val="single" w:sz="2" w:space="0" w:color="000000"/>
              <w:right w:val="single" w:sz="8" w:space="0" w:color="000000"/>
            </w:tcBorders>
            <w:tcMar>
              <w:top w:w="30" w:type="dxa"/>
              <w:left w:w="28" w:type="dxa"/>
              <w:bottom w:w="30" w:type="dxa"/>
              <w:right w:w="28"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3</w:t>
            </w:r>
          </w:p>
        </w:tc>
        <w:tc>
          <w:tcPr>
            <w:tcW w:w="263"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Corporate Code of Conduct and Ethics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have adopted a corporate code of conduct and ethics that applies to all of our employees, officers and directors, including those officers responsible for financial reporting. Our code of business conduct and ethics is available on our website at </w:t>
      </w:r>
      <w:r>
        <w:rPr>
          <w:rFonts w:ascii="Times New Roman;Times;serif" w:hAnsi="Times New Roman;Times;serif"/>
          <w:i/>
          <w:sz w:val="20"/>
        </w:rPr>
        <w:t>https://arrivent.com/</w:t>
      </w:r>
      <w:r>
        <w:rPr>
          <w:rFonts w:ascii="Times New Roman;Times;serif" w:hAnsi="Times New Roman;Times;serif"/>
          <w:sz w:val="20"/>
        </w:rPr>
        <w:t>. The information on our website is deemed not to be incorporated in this Annual Report or to be a part of this Annual Report. We intend to disclose any amendments to such code, or any waivers of its requirements, on our website or in a Current Report on Form 8-K.</w:t>
      </w:r>
    </w:p>
    <w:p>
      <w:pPr>
        <w:pStyle w:val="TextBody"/>
        <w:bidi w:val="0"/>
        <w:spacing w:before="360" w:after="0"/>
        <w:ind w:left="0" w:right="0" w:hanging="0"/>
        <w:jc w:val="left"/>
        <w:rPr>
          <w:rFonts w:ascii="Times New Roman;Times;serif" w:hAnsi="Times New Roman;Times;serif"/>
          <w:b/>
          <w:sz w:val="20"/>
        </w:rPr>
      </w:pPr>
      <w:r>
        <w:rPr>
          <w:rFonts w:ascii="Times New Roman;Times;serif" w:hAnsi="Times New Roman;Times;serif"/>
          <w:b/>
          <w:sz w:val="20"/>
        </w:rPr>
        <w:t>Delinquent Section 16(a) Reports</w:t>
      </w:r>
    </w:p>
    <w:p>
      <w:pPr>
        <w:pStyle w:val="TextBody"/>
        <w:bidi w:val="0"/>
        <w:spacing w:before="120" w:after="0"/>
        <w:ind w:left="0" w:right="0" w:firstLine="360"/>
        <w:jc w:val="left"/>
        <w:rPr>
          <w:rFonts w:ascii="Times New Roman;Times;serif" w:hAnsi="Times New Roman;Times;serif"/>
          <w:sz w:val="20"/>
        </w:rPr>
      </w:pPr>
      <w:r>
        <w:rPr>
          <w:rFonts w:ascii="Times New Roman;Times;serif" w:hAnsi="Times New Roman;Times;serif"/>
          <w:sz w:val="20"/>
        </w:rPr>
        <w:t>Section 16(a) of the Exchange Act requires our directors, officers and beneficial owners of more than 10% of our common stock to file with the SEC initial reports of ownership and reports of changes in the ownership of our common stock and other equity securities. Such persons are required to furnish us copies of all Section 16(a) filings.</w:t>
      </w:r>
    </w:p>
    <w:p>
      <w:pPr>
        <w:pStyle w:val="TextBody"/>
        <w:bidi w:val="0"/>
        <w:spacing w:before="120" w:after="0"/>
        <w:ind w:left="0" w:right="0" w:firstLine="360"/>
        <w:jc w:val="left"/>
        <w:rPr>
          <w:rFonts w:ascii="Times New Roman;Times;serif" w:hAnsi="Times New Roman;Times;serif"/>
          <w:sz w:val="20"/>
        </w:rPr>
      </w:pPr>
      <w:r>
        <w:rPr>
          <w:rFonts w:ascii="Times New Roman;Times;serif" w:hAnsi="Times New Roman;Times;serif"/>
          <w:sz w:val="20"/>
        </w:rPr>
        <w:t>Based upon a review of the forms filed with the SEC, we believe that our officers, directors and beneficial owners of more than 10% of our common stock complied with all applicable filing requirements during our fiscal year ended December 31,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150</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11. Executive Compensation</w:t>
      </w:r>
      <w:bookmarkStart w:id="34" w:name="Item11ExecutiveCompensation_801682"/>
      <w:bookmarkEnd w:id="34"/>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Summary Compensation Table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information regarding compensation earned with respect to our fiscal years ended December 31, 2023 and December 31, 2022 by our principal executive officer and the two next most highly compensated executive officers who earned more than $100,000 during our fiscal year ended December 31, 2023, and were serving as executive officers as of such date, who are referred to as our named executive officers for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 date, the compensation of our named executive officers has consisted of a combination of base salary, bonuses and long-term incentive compensation in the form of stock options. Our named executive officers, like all full-time employees, are eligible to participate in our 401(k) plan. We expect to evaluate our compensation values and philosophy and compensation plans and arrangements as circumstances require.</w:t>
      </w:r>
    </w:p>
    <w:tbl>
      <w:tblPr>
        <w:tblW w:w="10205" w:type="dxa"/>
        <w:jc w:val="center"/>
        <w:tblInd w:w="0" w:type="dxa"/>
        <w:tblLayout w:type="fixed"/>
        <w:tblCellMar>
          <w:top w:w="0" w:type="dxa"/>
          <w:left w:w="0" w:type="dxa"/>
          <w:bottom w:w="0" w:type="dxa"/>
          <w:right w:w="0" w:type="dxa"/>
        </w:tblCellMar>
      </w:tblPr>
      <w:tblGrid>
        <w:gridCol w:w="2875"/>
        <w:gridCol w:w="326"/>
        <w:gridCol w:w="526"/>
        <w:gridCol w:w="326"/>
        <w:gridCol w:w="781"/>
        <w:gridCol w:w="326"/>
        <w:gridCol w:w="781"/>
        <w:gridCol w:w="353"/>
        <w:gridCol w:w="1141"/>
        <w:gridCol w:w="326"/>
        <w:gridCol w:w="1141"/>
        <w:gridCol w:w="326"/>
        <w:gridCol w:w="977"/>
      </w:tblGrid>
      <w:tr>
        <w:trPr/>
        <w:tc>
          <w:tcPr>
            <w:tcW w:w="2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825625" cy="175260"/>
                      <wp:effectExtent l="0" t="0" r="0" b="0"/>
                      <wp:wrapNone/>
                      <wp:docPr id="185" name="Frame158"/>
                      <a:graphic xmlns:a="http://schemas.openxmlformats.org/drawingml/2006/main">
                        <a:graphicData uri="http://schemas.microsoft.com/office/word/2010/wordprocessingShape">
                          <wps:wsp>
                            <wps:cNvSpPr txBox="1"/>
                            <wps:spPr>
                              <a:xfrm>
                                <a:off x="0" y="0"/>
                                <a:ext cx="1825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334010" cy="175260"/>
                      <wp:effectExtent l="0" t="0" r="0" b="0"/>
                      <wp:wrapNone/>
                      <wp:docPr id="187" name="Frame160"/>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8"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495935" cy="175260"/>
                      <wp:effectExtent l="0" t="0" r="0" b="0"/>
                      <wp:wrapNone/>
                      <wp:docPr id="189" name="Frame16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90" name="Frame1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495935" cy="175260"/>
                      <wp:effectExtent l="0" t="0" r="0" b="0"/>
                      <wp:wrapNone/>
                      <wp:docPr id="191" name="Frame16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24155" cy="175260"/>
                      <wp:effectExtent l="0" t="0" r="0" b="0"/>
                      <wp:wrapNone/>
                      <wp:docPr id="192" name="Frame165"/>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724535" cy="175260"/>
                      <wp:effectExtent l="0" t="0" r="0" b="0"/>
                      <wp:wrapNone/>
                      <wp:docPr id="193" name="Frame16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94" name="Frame1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724535" cy="175260"/>
                      <wp:effectExtent l="0" t="0" r="0" b="0"/>
                      <wp:wrapNone/>
                      <wp:docPr id="195" name="Frame16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20395" cy="175260"/>
                      <wp:effectExtent l="0" t="0" r="0" b="0"/>
                      <wp:wrapNone/>
                      <wp:docPr id="197" name="Frame170"/>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7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53"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Non-Equity</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77" w:type="dxa"/>
            <w:tcBorders/>
            <w:vAlign w:val="center"/>
          </w:tcPr>
          <w:p>
            <w:pPr>
              <w:pStyle w:val="TableContents"/>
              <w:bidi w:val="0"/>
              <w:spacing w:before="0" w:after="1"/>
              <w:ind w:left="0" w:right="0" w:hanging="0"/>
              <w:jc w:val="center"/>
              <w:rPr/>
            </w:pPr>
            <w:r>
              <w:rPr/>
              <w:t>​</w:t>
            </w:r>
          </w:p>
        </w:tc>
      </w:tr>
      <w:tr>
        <w:trPr/>
        <w:tc>
          <w:tcPr>
            <w:tcW w:w="287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53"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Incentive Plan</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326" w:type="dxa"/>
            <w:tcBorders/>
            <w:vAlign w:val="center"/>
          </w:tcPr>
          <w:p>
            <w:pPr>
              <w:pStyle w:val="TableContents"/>
              <w:bidi w:val="0"/>
              <w:spacing w:before="0" w:after="1"/>
              <w:ind w:left="0" w:right="0" w:hanging="0"/>
              <w:jc w:val="left"/>
              <w:rPr/>
            </w:pPr>
            <w:r>
              <w:rPr/>
              <w:t>​</w:t>
            </w:r>
          </w:p>
        </w:tc>
        <w:tc>
          <w:tcPr>
            <w:tcW w:w="977" w:type="dxa"/>
            <w:tcBorders/>
            <w:vAlign w:val="center"/>
          </w:tcPr>
          <w:p>
            <w:pPr>
              <w:pStyle w:val="TableContents"/>
              <w:bidi w:val="0"/>
              <w:spacing w:before="0" w:after="1"/>
              <w:ind w:left="0" w:right="0" w:hanging="0"/>
              <w:jc w:val="center"/>
              <w:rPr/>
            </w:pPr>
            <w:r>
              <w:rPr/>
              <w:t>​</w:t>
            </w:r>
          </w:p>
        </w:tc>
      </w:tr>
      <w:tr>
        <w:trPr/>
        <w:tc>
          <w:tcPr>
            <w:tcW w:w="287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Salary</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53"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26" w:type="dxa"/>
            <w:tcBorders/>
            <w:vAlign w:val="center"/>
          </w:tcPr>
          <w:p>
            <w:pPr>
              <w:pStyle w:val="TableContents"/>
              <w:bidi w:val="0"/>
              <w:spacing w:before="0" w:after="1"/>
              <w:ind w:left="0" w:right="0" w:hanging="0"/>
              <w:jc w:val="left"/>
              <w:rPr/>
            </w:pPr>
            <w:r>
              <w:rPr/>
              <w:t>​</w:t>
            </w:r>
          </w:p>
        </w:tc>
        <w:tc>
          <w:tcPr>
            <w:tcW w:w="97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87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 and Principal Position</w:t>
            </w:r>
          </w:p>
        </w:tc>
        <w:tc>
          <w:tcPr>
            <w:tcW w:w="326" w:type="dxa"/>
            <w:tcBorders/>
            <w:vAlign w:val="center"/>
          </w:tcPr>
          <w:p>
            <w:pPr>
              <w:pStyle w:val="TableContents"/>
              <w:bidi w:val="0"/>
              <w:spacing w:before="0" w:after="1"/>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(1)</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(2)</w:t>
            </w:r>
          </w:p>
        </w:tc>
        <w:tc>
          <w:tcPr>
            <w:tcW w:w="353"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(3)</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(4)</w:t>
            </w:r>
          </w:p>
        </w:tc>
        <w:tc>
          <w:tcPr>
            <w:tcW w:w="326" w:type="dxa"/>
            <w:tcBorders/>
            <w:vAlign w:val="center"/>
          </w:tcPr>
          <w:p>
            <w:pPr>
              <w:pStyle w:val="TableContents"/>
              <w:bidi w:val="0"/>
              <w:spacing w:before="0" w:after="1"/>
              <w:ind w:left="0" w:right="0" w:hanging="0"/>
              <w:jc w:val="left"/>
              <w:rPr/>
            </w:pPr>
            <w:r>
              <w:rPr/>
              <w:t>    </w:t>
            </w:r>
          </w:p>
        </w:tc>
        <w:tc>
          <w:tcPr>
            <w:tcW w:w="97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28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Zhengbin (Bing) Yao, Ph.D.</w:t>
            </w:r>
          </w:p>
        </w:tc>
        <w:tc>
          <w:tcPr>
            <w:tcW w:w="32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53"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77" w:type="dxa"/>
            <w:tcBorders/>
            <w:shd w:fill="CCEEFF" w:val="clear"/>
            <w:vAlign w:val="center"/>
          </w:tcPr>
          <w:p>
            <w:pPr>
              <w:pStyle w:val="TableContents"/>
              <w:bidi w:val="0"/>
              <w:spacing w:before="0" w:after="1"/>
              <w:ind w:left="0" w:right="0" w:hanging="0"/>
              <w:jc w:val="right"/>
              <w:rPr/>
            </w:pPr>
            <w:r>
              <w:rPr/>
              <w:t>​</w:t>
            </w:r>
          </w:p>
        </w:tc>
      </w:tr>
      <w:tr>
        <w:trPr/>
        <w:tc>
          <w:tcPr>
            <w:tcW w:w="2875"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Chief Executive Officer and President</w:t>
            </w:r>
          </w:p>
        </w:tc>
        <w:tc>
          <w:tcPr>
            <w:tcW w:w="32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536,475</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394,693</w:t>
            </w:r>
          </w:p>
        </w:tc>
        <w:tc>
          <w:tcPr>
            <w:tcW w:w="3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5"/>
              </w:rPr>
              <w:t>(5)  </w:t>
            </w: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241,414</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13,200</w:t>
            </w:r>
          </w:p>
        </w:tc>
        <w:tc>
          <w:tcPr>
            <w:tcW w:w="326" w:type="dxa"/>
            <w:tcBorders/>
            <w:shd w:fill="CCEEFF" w:val="clear"/>
            <w:vAlign w:val="center"/>
          </w:tcPr>
          <w:p>
            <w:pPr>
              <w:pStyle w:val="TableContents"/>
              <w:bidi w:val="0"/>
              <w:spacing w:before="0" w:after="1"/>
              <w:ind w:left="0" w:right="0" w:hanging="0"/>
              <w:jc w:val="left"/>
              <w:rPr/>
            </w:pPr>
            <w:r>
              <w:rPr/>
              <w:t> </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1,185,782</w:t>
            </w:r>
          </w:p>
        </w:tc>
      </w:tr>
      <w:tr>
        <w:trPr/>
        <w:tc>
          <w:tcPr>
            <w:tcW w:w="287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516,042</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413,091</w:t>
            </w:r>
          </w:p>
        </w:tc>
        <w:tc>
          <w:tcPr>
            <w:tcW w:w="3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5"/>
              </w:rPr>
              <w:t>(5)  </w:t>
            </w: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258,021</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12,200</w:t>
            </w:r>
          </w:p>
        </w:tc>
        <w:tc>
          <w:tcPr>
            <w:tcW w:w="326" w:type="dxa"/>
            <w:tcBorders/>
            <w:shd w:fill="CCEEFF" w:val="clear"/>
            <w:vAlign w:val="center"/>
          </w:tcPr>
          <w:p>
            <w:pPr>
              <w:pStyle w:val="TableContents"/>
              <w:bidi w:val="0"/>
              <w:spacing w:before="0" w:after="1"/>
              <w:ind w:left="0" w:right="0" w:hanging="0"/>
              <w:jc w:val="left"/>
              <w:rPr/>
            </w:pPr>
            <w:r>
              <w:rPr/>
              <w:t> </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1,199,354</w:t>
            </w:r>
          </w:p>
        </w:tc>
      </w:tr>
      <w:tr>
        <w:trPr/>
        <w:tc>
          <w:tcPr>
            <w:tcW w:w="28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Stuart Lutzker, M.D., Ph.D.</w:t>
            </w:r>
            <w:r>
              <w:rPr>
                <w:rFonts w:ascii="Times New Roman;Times;serif" w:hAnsi="Times New Roman;Times;serif"/>
                <w:sz w:val="15"/>
              </w:rPr>
              <w:t>(9)</w:t>
            </w:r>
          </w:p>
        </w:tc>
        <w:tc>
          <w:tcPr>
            <w:tcW w:w="326"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53"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7" w:type="dxa"/>
            <w:tcBorders/>
            <w:vAlign w:val="center"/>
          </w:tcPr>
          <w:p>
            <w:pPr>
              <w:pStyle w:val="TableContents"/>
              <w:bidi w:val="0"/>
              <w:spacing w:before="0" w:after="1"/>
              <w:ind w:left="0" w:right="0" w:hanging="0"/>
              <w:jc w:val="right"/>
              <w:rPr/>
            </w:pPr>
            <w:r>
              <w:rPr/>
              <w:t>​</w:t>
            </w:r>
          </w:p>
        </w:tc>
      </w:tr>
      <w:tr>
        <w:trPr/>
        <w:tc>
          <w:tcPr>
            <w:tcW w:w="2875"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President of Research and Development</w:t>
            </w:r>
          </w:p>
        </w:tc>
        <w:tc>
          <w:tcPr>
            <w:tcW w:w="326"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476,867</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119,326</w:t>
            </w:r>
          </w:p>
        </w:tc>
        <w:tc>
          <w:tcPr>
            <w:tcW w:w="3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5"/>
              </w:rPr>
              <w:t>(6) </w:t>
            </w:r>
            <w:r>
              <w:rPr>
                <w:rFonts w:ascii="Times New Roman;Times;serif" w:hAnsi="Times New Roman;Times;serif"/>
                <w:sz w:val="20"/>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219,359</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13,200</w:t>
            </w:r>
          </w:p>
        </w:tc>
        <w:tc>
          <w:tcPr>
            <w:tcW w:w="326" w:type="dxa"/>
            <w:tcBorders/>
            <w:vAlign w:val="center"/>
          </w:tcPr>
          <w:p>
            <w:pPr>
              <w:pStyle w:val="TableContents"/>
              <w:bidi w:val="0"/>
              <w:spacing w:before="0" w:after="1"/>
              <w:ind w:left="0" w:right="0" w:hanging="0"/>
              <w:jc w:val="left"/>
              <w:rPr/>
            </w:pPr>
            <w:r>
              <w:rPr/>
              <w:t> </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828,752</w:t>
            </w:r>
          </w:p>
        </w:tc>
      </w:tr>
      <w:tr>
        <w:trPr/>
        <w:tc>
          <w:tcPr>
            <w:tcW w:w="287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456,666</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114,071</w:t>
            </w:r>
          </w:p>
        </w:tc>
        <w:tc>
          <w:tcPr>
            <w:tcW w:w="3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5"/>
              </w:rPr>
              <w:t>(6) </w:t>
            </w:r>
            <w:r>
              <w:rPr>
                <w:rFonts w:ascii="Times New Roman;Times;serif" w:hAnsi="Times New Roman;Times;serif"/>
                <w:sz w:val="20"/>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182,667</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w:t>
            </w:r>
          </w:p>
        </w:tc>
        <w:tc>
          <w:tcPr>
            <w:tcW w:w="326" w:type="dxa"/>
            <w:tcBorders/>
            <w:vAlign w:val="center"/>
          </w:tcPr>
          <w:p>
            <w:pPr>
              <w:pStyle w:val="TableContents"/>
              <w:bidi w:val="0"/>
              <w:spacing w:before="0" w:after="1"/>
              <w:ind w:left="0" w:right="0" w:hanging="0"/>
              <w:jc w:val="left"/>
              <w:rPr/>
            </w:pPr>
            <w:r>
              <w:rPr/>
              <w:t> </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754,804</w:t>
            </w:r>
          </w:p>
        </w:tc>
      </w:tr>
      <w:tr>
        <w:trPr/>
        <w:tc>
          <w:tcPr>
            <w:tcW w:w="28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Robin LaChapelle</w:t>
            </w:r>
            <w:r>
              <w:rPr>
                <w:rFonts w:ascii="Times New Roman;Times;serif" w:hAnsi="Times New Roman;Times;serif"/>
                <w:sz w:val="15"/>
              </w:rPr>
              <w:t>(10)</w:t>
            </w:r>
          </w:p>
        </w:tc>
        <w:tc>
          <w:tcPr>
            <w:tcW w:w="32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53"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77" w:type="dxa"/>
            <w:tcBorders/>
            <w:shd w:fill="CCEEFF" w:val="clear"/>
            <w:vAlign w:val="center"/>
          </w:tcPr>
          <w:p>
            <w:pPr>
              <w:pStyle w:val="TableContents"/>
              <w:bidi w:val="0"/>
              <w:spacing w:before="0" w:after="1"/>
              <w:ind w:left="0" w:right="0" w:hanging="0"/>
              <w:jc w:val="right"/>
              <w:rPr/>
            </w:pPr>
            <w:r>
              <w:rPr/>
              <w:t>​</w:t>
            </w:r>
          </w:p>
        </w:tc>
      </w:tr>
      <w:tr>
        <w:trPr/>
        <w:tc>
          <w:tcPr>
            <w:tcW w:w="2875"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Chief Operating Officer</w:t>
            </w:r>
          </w:p>
        </w:tc>
        <w:tc>
          <w:tcPr>
            <w:tcW w:w="32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392,639</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374,533</w:t>
            </w:r>
          </w:p>
        </w:tc>
        <w:tc>
          <w:tcPr>
            <w:tcW w:w="3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5"/>
              </w:rPr>
              <w:t>(8) </w:t>
            </w: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180,614</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13,200</w:t>
            </w:r>
          </w:p>
        </w:tc>
        <w:tc>
          <w:tcPr>
            <w:tcW w:w="326" w:type="dxa"/>
            <w:tcBorders/>
            <w:shd w:fill="CCEEFF" w:val="clear"/>
            <w:vAlign w:val="center"/>
          </w:tcPr>
          <w:p>
            <w:pPr>
              <w:pStyle w:val="TableContents"/>
              <w:bidi w:val="0"/>
              <w:spacing w:before="0" w:after="1"/>
              <w:ind w:left="0" w:right="0" w:hanging="0"/>
              <w:jc w:val="left"/>
              <w:rPr/>
            </w:pPr>
            <w:r>
              <w:rPr/>
              <w:t> </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960,986</w:t>
            </w:r>
          </w:p>
        </w:tc>
      </w:tr>
      <w:tr>
        <w:trPr/>
        <w:tc>
          <w:tcPr>
            <w:tcW w:w="287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5"/>
              </w:rPr>
              <w:t>(7) </w:t>
            </w: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319,164</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73,648</w:t>
            </w:r>
          </w:p>
        </w:tc>
        <w:tc>
          <w:tcPr>
            <w:tcW w:w="3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5"/>
              </w:rPr>
              <w:t>(8) </w:t>
            </w: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127,667</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10,858</w:t>
            </w:r>
          </w:p>
        </w:tc>
        <w:tc>
          <w:tcPr>
            <w:tcW w:w="326" w:type="dxa"/>
            <w:tcBorders/>
            <w:shd w:fill="CCEEFF" w:val="clear"/>
            <w:vAlign w:val="center"/>
          </w:tcPr>
          <w:p>
            <w:pPr>
              <w:pStyle w:val="TableContents"/>
              <w:bidi w:val="0"/>
              <w:spacing w:before="0" w:after="1"/>
              <w:ind w:left="0" w:right="0" w:hanging="0"/>
              <w:jc w:val="left"/>
              <w:rPr/>
            </w:pPr>
            <w:r>
              <w:rPr/>
              <w:t> </w:t>
            </w:r>
          </w:p>
        </w:tc>
        <w:tc>
          <w:tcPr>
            <w:tcW w:w="977"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531,337</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100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amounts reported in the column for 2022 represent the prorated amount of the annual base salary earned by each of our named executive officers to reflect the increase in their respective annual base salaries, effective as of February 1, 2022. The amounts reported in the column for 2023 represent the prorated amount of the annual base salary earned by each of our named executive officers to reflect the increase in their respective annual base salaries, effective as of February 1, 2023.</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10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respective amounts in this column represent the aggregate grant date fair value of option awards granted during the applicable fiscal year, computed in accordance with Financial Accounting Standards Board (FASB) Accounting Standards Codification (ASC) Topic 718. A discussion of the assumptions used in determining grant date fair value may be found in Note 9 to our annual financial statements.</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100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amounts reported in this column for 2022 represent cash bonuses earned by each of our named executive officers during 2022 and paid in 2023 in accordance with the terms of our executives’ offer letters based upon satisfaction of performance goals with respect to performance during our fiscal year ended December 31, 2022. The amounts reported in this column for 2023 represent cash bonuses earned by each of our named executive officers during 2023 and paid in February 2024 in accordance with the terms of our executives’ offer letters based upon satisfaction of performance goals with respect to performance during our fiscal year ended December 31, 2023.</w:t>
            </w:r>
          </w:p>
        </w:tc>
      </w:tr>
    </w:tbl>
    <w:tbl>
      <w:tblPr>
        <w:tblW w:w="8200" w:type="dxa"/>
        <w:jc w:val="left"/>
        <w:tblInd w:w="0" w:type="dxa"/>
        <w:tblLayout w:type="fixed"/>
        <w:tblCellMar>
          <w:top w:w="0" w:type="dxa"/>
          <w:left w:w="0" w:type="dxa"/>
          <w:bottom w:w="0" w:type="dxa"/>
          <w:right w:w="0" w:type="dxa"/>
        </w:tblCellMar>
      </w:tblPr>
      <w:tblGrid>
        <w:gridCol w:w="230"/>
        <w:gridCol w:w="7970"/>
      </w:tblGrid>
      <w:tr>
        <w:trPr/>
        <w:tc>
          <w:tcPr>
            <w:tcW w:w="2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w:t>
            </w:r>
          </w:p>
        </w:tc>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respective amounts in this column represent matching contributions to the 401(k) plan for the applicable year.</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(5)</w:t>
            </w:r>
          </w:p>
        </w:tc>
        <w:tc>
          <w:tcPr>
            <w:tcW w:w="10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 2022, the amount represents option awards granted to Dr. Yao to purchase up to an aggregate of 245,231 shares of our common stock at an exercise price of $2.28 under the 2021 Plan. For 2023, the amount represents option awards granted to Dr. Yao to purchase up to an aggregate of 141,353 shares of our common stock at an exercise price of $3.65 under the 2021 Plan.</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w:t>
            </w:r>
          </w:p>
        </w:tc>
        <w:tc>
          <w:tcPr>
            <w:tcW w:w="10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 2022, the amount represents option awards granted to Dr. Lutzker to purchase up to an aggregate of 67,718 shares of our common stock at an exercise price of $2.28 under the 2021 Plan. For 2023, the amount represents option awards granted to Dr. Lutzker to purchase up to an aggregate of 42,734 shares of our common stock at an exercise price of $3.65 under the 2021 Plan.</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w:t>
            </w:r>
          </w:p>
        </w:tc>
        <w:tc>
          <w:tcPr>
            <w:tcW w:w="100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During our fiscal year ended December 31, 2022, Ms. LaChapelle worked on a reduced-hours schedule and Ms. LaChapelle’s salary reported above reflects a pro rata adjustment of her 2022 base salary of $362,250. Beginning January 1, 2023, Ms. LaChapelle ceased working on a reduced schedule.</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(8)</w:t>
            </w:r>
          </w:p>
        </w:tc>
        <w:tc>
          <w:tcPr>
            <w:tcW w:w="100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 2022, the amount represents option awards granted to Ms. LaChapelle to purchase up to an aggregate of 43,720 shares of our common stock at an exercise price of $2.28 under the 2021 Plan. For 2023, the amount represents option awards granted to Ms. LaChapelle to purchase up to 31,229 shares of our common stock at an exercise price of $3.65 and option awards to purchase up to 59,171 shares of our common stock at an exercise price of $6.24 under the 2021 Plan.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151</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(9)</w:t>
            </w:r>
          </w:p>
        </w:tc>
        <w:tc>
          <w:tcPr>
            <w:tcW w:w="99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Dr. Lutzker has served as our President of Research and Development since January 25, 2022. Previously, Dr. Lutzker served as our Chief Medical Officer beginning June 1, 2021.</w:t>
            </w:r>
          </w:p>
        </w:tc>
      </w:tr>
    </w:tbl>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(10)</w:t>
            </w:r>
          </w:p>
        </w:tc>
        <w:tc>
          <w:tcPr>
            <w:tcW w:w="98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Ms. LaChapelle has served as our Chief Operating Officer since August 7, 2023. Previously, Ms. LaChapelle served as our Chief Administrative Officer beginning June 1, 2021.</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Narrative Disclosure to Summary Compensation Table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Base Salaries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Each named executive officer’s base salary is a fixed component of annual compensation for performing specific duties and functions, and has been established by our board of directors taking into account each individual’s role, responsibilities, skills and expertise. Base salaries are reviewed annually, typically in connection with our annual performance review process, approved by our board of directors and adjusted from time to time to realign salaries with market levels after taking into account individual responsibilities, performance and experience.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Annual Bonus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annual cash incentive program is designed to reward the achievement of corporate objectives and individual performance. Our named executive officers are eligible to receive annual cash incentive awards, with the target bonus opportunity determined as a percentage of their base salary. Bonus payments are based upon the assessments of individual and company performance measured against prospectively determined objectives, including pipeline development, financial and strategic goals, as determined by our board of directors.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our fiscal year ended December 31, 2022, the target annual bonuses for Dr. Yao, Dr. Lutzker and Ms. LaChapelle were 50%, 40% and 40% of their base salary, respectively. The annual bonus earned by each named executive officer with respect to our fiscal year ended December 31, 2022 is reported under the “Non-Equity Incentive Plan Compensation” column in the “Summary Compensation Table” above. During our fiscal year ended December 31, 2023, the target annual bonuses for Dr. Yao, Dr. Lutzker and Ms. LaChapelle remained at 50%, 40% and 40% of their base salary, respectively. The annual bonus earned by each named executive officer with respect to our fiscal year ended December 31, 2023 is reported under the “Non-Equity Incentive Plan Compensation” column in the “Summary Compensation Table” above.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Equity Compensation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Although we do not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promote executive retention because they incentivize our executive officers to remain in our employment during the vesting period. Accordingly, our board of directors periodically reviews the equity incentive compensation of our named executive officers and may grant equity incentive awards to them from time to time. Our named executive officers have been granted certain options to purchase shares of our common stock, as described in more detail in the “Outstanding Equity Awards at December 31, 2023” table below.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Offer Letters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entered into offer letters with each of our named executive officers in connection with their employment with us, the material terms of which are described below. These offer letters provide for “at will” employment.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Each of the named executive officers, as well as Winston Kung, MBA, our Chief Financial Officer and Treasurer, is a participant in our 2023 Executive Severance Plan (the Severance Plan), the terms of which are described below.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Zhengbin (Bing) Yao, Ph.D.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Zhengbin (Bing) Yao, Ph.D. has served as our Chief Executive Officer since June 1, 2021. We entered into an offer letter with Dr. Yao with respect to his service as Chief Executive Officer on May 5, 2021. Under the terms of the offer letter, Dr. Yao was initially entitled to an annual base salary of $500,000, and was initially eligible to receive a target bonus of 45% of his base salary, with the actual amount of such bonus based on achievement of individual and corporate goals in the discretion of our board of directors. In connection with Dr. Yao’s employment with us, on May 13, 2021, we entered into a Founder Share Restriction Agreement to purchase founder shares (Founder Shares) with Dr. Yao, pursuant to which 599,663 shares of our common stock were issued to Dr. Yao. On December 19, 2022, our board of directors approved an increase in the annual base salary of Dr. Yao to $538,200, effective as of February 1, 2023. Dr. Yao’s annual target bonus was increased to 50% of his annual base salary. On December 21, 2023, our board of directors approved an increase in the annual base salary of Dr. Yao to $560,000, effective as of February 1, 2024. Dr. Yao’s 2024 annual target bonus remains at 50% of his annual salary.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our fiscal year ended December 31, 2022, Dr. Yao was paid an annual bonus of $258,021. For our fiscal year ended December 31, 2023, Dr. Yao earned an annual bonus of $241,414, which was paid in February 2024. Dr. Yao was also granted option awards to purchase up to an aggregate of 245,231 shares of our common stock on February 1, 2022 and option awards to purchase up to an aggregate of 141,353 shares of our common stock on February 1, 2023. On January 1, 2024, Dr. Yao was granted option awards to purchase up to an aggregate of 264,574 shares of our common stock. The option awards granted to Dr. Yao are subject to a four-year vesting schedule, with 25% vesting one year after the grant date and the balance vesting monthly over the remaining three years, subject to Dr. Yao’s continued service through each vesting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By signing the offer letter, Dr. Yao agreed to honor his contractual obligations against disclosing proprietary or trade secret information acquired during prior employment and certified his ability to perform his duties and responsibilities to us without violating his post-employment obligations to former employers. In addition, Dr. Yao agreed not to engage in other employment or activities that conflict with our business during his employment or bring third-party confidential information to us and utilize such information in performing his duties for us.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Stuart Lutzker, M.D., Ph.D.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Stuart Lutzker, M.D., Ph.D. has served as our President of Research and Development since January 25, 2022. He previously served as our Chief Medical Officer beginning June 1, 2021. We entered into an offer letter, dated as of May 1, 2021, with Dr. Lutzker with respect to his service as Chief Medical Officer on May 7, 2021. Under the terms of the offer letter, Dr. Lutzker was initially entitled to an annual base salary of $420,000, and was initially eligible to receive a target bonus of 30% of his base salary, with the actual amount of such bonus based on achievement of individual and corporate goals in the discretion of our board of directors. In connection with Dr. Lutzker’s employment with us, on May 13, 2021, we entered into a Founder Share Restriction Agreement with Dr. Lutzker to purchase Founder Shares, pursuant to which 144,497 Founder Shares were issued to Dr. Lutzker. On December 19, 2022, our board of directors approved an increase in the annual base salary of Dr. Lutzker to $478,400, effective as of February 1, 2023. Dr. Lutzker’s annual target bonus was increased to 40% of his annual base salary. On December 21, 2023, our board of directors approved an increase in the annual base salary of Dr. Lutzker to $497,536, effective as of February 1, 2024. Dr. Lutzker’s 2024 annual target bonus remains at 40% of his annual salary.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our fiscal year ended December 31, 2022, Dr. Lutzker was paid an annual bonus of $182,667. For our fiscal year ended December 31, 2023, Dr. Lutzker earned an annual bonus of $219,359, which was paid in February 2024. Dr. Lutzker was also granted option awards to purchase up to an aggregate of 67,718 shares of our common stock on February 1, 2022 and option awards to purchase up to an aggregate of 42,734 shares of our common stock on February 1, 2023. On January 1, 2024, Dr. Lutzker was granted option awards to purchase up to an aggregate of 49,309 shares of our common stock. The option awards granted to Dr. Lutzker are subject to a four-year vesting schedule, with 25% vesting one year after the grant date and the balance vesting monthly over the remaining three years, subject to Dr. Lutzker’s continued service through each vesting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153</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By signing the offer letter, Dr. Lutzker agreed to honor his contractual obligations against disclosing proprietary or trade secret information acquired during prior employment and certified his ability to perform his duties and responsibilities to us without violating his post-employment obligations to former employers. In addition, Dr. Lutzker agreed not to engage in other employment or activities that conflict with our business during his employment or bring third-party confidential information to us and utilize such information in performing his duties for us.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Robin LaChapelle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Robin LaChapelle has served as our Chief Operating Officer since August 7, 2023. She previously served as our Chief Administrative Officer beginning June 1, 2021. We entered into an offer letter with Ms. LaChapelle with respect to her service as Chief Administrative Officer on May 21, 2021. Under the terms of the offer letter, Ms. LaChapelle was initially entitled to an annual base salary of $262,500 based on a reduced work schedule, and was initially eligible to receive a target bonus of 30% of her base salary, with the actual amount of such bonus based on achievement of individual and corporate goals in the discretion of our board of directors. In connection with Ms. LaChapelle’s employment with us, on May 13, 2021, we entered into a Founder Share Restriction Agreement with Ms. LaChapelle to purchase Founder Shares, pursuant to which 72,248 Founder Shares were issued to Ms. LaChapelle. On December 19, 2022, our board of directors approved an increase in the annual base salary of Ms. LaChapelle to $406,851, effective as of February 1, 2023. Effective February 1, 2023, Ms. LaChapelle’s annual target bonus was increased to 40% of her annual base salary. On December 21, 2023, our board of directors approved an increase in the annual base salary of Ms. LaChapelle to $423,125, effective as of February 1, 2024. Ms. LaChapelle’s 2024 annual target bonus remains at 40% of her annual salary.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our fiscal year ended December 31, 2022, Ms. LaChapelle was paid an annual bonus of $127,667. For our fiscal year ended December 31, 2023, Ms. LaChapelle earned an annual bonus of $180,614, which was paid in February 2024. Ms. LaChapelle was also granted option awards to purchase up to an aggregate of 43,720 shares of our common stock on February 1, 2022, option awards to purchase up to an aggregate of 31,229 shares of our common stock on February 1, 2023, and option awards to purchase up to an aggregate of 59,171 shares of our common stock on August 22, 2023. On January 1, 2024, Ms. LaChapelle was granted option awards to purchase up to an aggregate of 49,309 shares of our common stock. The option awards granted to Ms. LaChapelle are subject to a four-year vesting schedule, with 25% vesting one year after the grant date and the balance vesting monthly over the remaining three years, subject to Ms. LaChapelle’s continued service through each vesting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By signing the offer letter, Ms. LaChapelle agreed to honor her contractual obligations against disclosing proprietary or trade secret information acquired during prior employment and certified her ability to perform her duties and responsibilities to us without violating her post-employment obligations to former employers. In addition, Ms. LaChapelle agreed not to engage in other employment or activities that conflict with our business during her employment or bring third-party confidential information to us and utilize such information in performing her duties for 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154</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Outstanding Equity Awards at December 31,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shows grants of stock options outstanding on the last day of our fiscal year ended December 31, 2023, to each of the executive officers named in the Summary Compensation Table.</w:t>
      </w:r>
    </w:p>
    <w:tbl>
      <w:tblPr>
        <w:tblW w:w="8896" w:type="dxa"/>
        <w:jc w:val="center"/>
        <w:tblInd w:w="0" w:type="dxa"/>
        <w:tblLayout w:type="fixed"/>
        <w:tblCellMar>
          <w:top w:w="0" w:type="dxa"/>
          <w:left w:w="0" w:type="dxa"/>
          <w:bottom w:w="0" w:type="dxa"/>
          <w:right w:w="0" w:type="dxa"/>
        </w:tblCellMar>
      </w:tblPr>
      <w:tblGrid>
        <w:gridCol w:w="2386"/>
        <w:gridCol w:w="326"/>
        <w:gridCol w:w="961"/>
        <w:gridCol w:w="326"/>
        <w:gridCol w:w="976"/>
        <w:gridCol w:w="326"/>
        <w:gridCol w:w="1111"/>
        <w:gridCol w:w="326"/>
        <w:gridCol w:w="238"/>
        <w:gridCol w:w="528"/>
        <w:gridCol w:w="326"/>
        <w:gridCol w:w="1066"/>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515110" cy="175260"/>
                      <wp:effectExtent l="0" t="0" r="0" b="0"/>
                      <wp:wrapNone/>
                      <wp:docPr id="198" name="Frame171"/>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10235" cy="175260"/>
                      <wp:effectExtent l="0" t="0" r="0" b="0"/>
                      <wp:wrapNone/>
                      <wp:docPr id="200" name="Frame173"/>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201"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19760" cy="175260"/>
                      <wp:effectExtent l="0" t="0" r="0" b="0"/>
                      <wp:wrapNone/>
                      <wp:docPr id="202" name="Frame175"/>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203"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705485" cy="175260"/>
                      <wp:effectExtent l="0" t="0" r="0" b="0"/>
                      <wp:wrapNone/>
                      <wp:docPr id="204" name="Frame177"/>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51130" cy="175260"/>
                      <wp:effectExtent l="0" t="0" r="0" b="0"/>
                      <wp:wrapNone/>
                      <wp:docPr id="206" name="Frame179"/>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335280" cy="175260"/>
                      <wp:effectExtent l="0" t="0" r="0" b="0"/>
                      <wp:wrapNone/>
                      <wp:docPr id="207" name="Frame180"/>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8"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77545" cy="175260"/>
                      <wp:effectExtent l="0" t="0" r="0" b="0"/>
                      <wp:wrapNone/>
                      <wp:docPr id="209" name="Frame182"/>
                      <a:graphic xmlns:a="http://schemas.openxmlformats.org/drawingml/2006/main">
                        <a:graphicData uri="http://schemas.microsoft.com/office/word/2010/wordprocessingShape">
                          <wps:wsp>
                            <wps:cNvSpPr txBox="1"/>
                            <wps:spPr>
                              <a:xfrm>
                                <a:off x="0" y="0"/>
                                <a:ext cx="677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489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Option Awards</w:t>
            </w:r>
            <w:r>
              <w:rPr>
                <w:rFonts w:ascii="Times New Roman;Times;serif" w:hAnsi="Times New Roman;Times;serif"/>
                <w:b/>
                <w:sz w:val="12"/>
              </w:rPr>
              <w:t>(1)(2)</w:t>
            </w:r>
          </w:p>
        </w:tc>
      </w:tr>
      <w:tr>
        <w:trPr/>
        <w:tc>
          <w:tcPr>
            <w:tcW w:w="23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center"/>
              <w:rPr/>
            </w:pPr>
            <w:r>
              <w:rPr/>
              <w:t>​</w:t>
            </w:r>
          </w:p>
        </w:tc>
      </w:tr>
      <w:tr>
        <w:trPr/>
        <w:tc>
          <w:tcPr>
            <w:tcW w:w="23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32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32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center"/>
              <w:rPr/>
            </w:pPr>
            <w:r>
              <w:rPr/>
              <w:t>​</w:t>
            </w:r>
          </w:p>
        </w:tc>
      </w:tr>
      <w:tr>
        <w:trPr/>
        <w:tc>
          <w:tcPr>
            <w:tcW w:w="23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2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2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center"/>
              <w:rPr/>
            </w:pPr>
            <w:r>
              <w:rPr/>
              <w:t>​</w:t>
            </w:r>
          </w:p>
        </w:tc>
      </w:tr>
      <w:tr>
        <w:trPr/>
        <w:tc>
          <w:tcPr>
            <w:tcW w:w="23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Unexercised</w:t>
            </w:r>
          </w:p>
        </w:tc>
        <w:tc>
          <w:tcPr>
            <w:tcW w:w="32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Unexercised</w:t>
            </w:r>
          </w:p>
        </w:tc>
        <w:tc>
          <w:tcPr>
            <w:tcW w:w="32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2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w:t>
            </w:r>
          </w:p>
        </w:tc>
      </w:tr>
      <w:tr>
        <w:trPr/>
        <w:tc>
          <w:tcPr>
            <w:tcW w:w="23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 (#)</w:t>
            </w:r>
          </w:p>
        </w:tc>
        <w:tc>
          <w:tcPr>
            <w:tcW w:w="32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 (#)</w:t>
            </w:r>
          </w:p>
        </w:tc>
        <w:tc>
          <w:tcPr>
            <w:tcW w:w="32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Exercise</w:t>
            </w:r>
          </w:p>
        </w:tc>
        <w:tc>
          <w:tcPr>
            <w:tcW w:w="32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Expiration</w:t>
            </w:r>
          </w:p>
        </w:tc>
      </w:tr>
      <w:tr>
        <w:trPr/>
        <w:tc>
          <w:tcPr>
            <w:tcW w:w="23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26" w:type="dxa"/>
            <w:tcBorders/>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Exercisable</w:t>
            </w:r>
          </w:p>
        </w:tc>
        <w:tc>
          <w:tcPr>
            <w:tcW w:w="326" w:type="dxa"/>
            <w:tcBorders/>
            <w:vAlign w:val="center"/>
          </w:tcPr>
          <w:p>
            <w:pPr>
              <w:pStyle w:val="TableContents"/>
              <w:bidi w:val="0"/>
              <w:spacing w:before="0" w:after="1"/>
              <w:ind w:left="0" w:right="0" w:hanging="0"/>
              <w:jc w:val="left"/>
              <w:rPr/>
            </w:pPr>
            <w:r>
              <w:rPr/>
              <w:t>    </w:t>
            </w:r>
          </w:p>
        </w:tc>
        <w:tc>
          <w:tcPr>
            <w:tcW w:w="11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Unexercisable</w:t>
            </w:r>
          </w:p>
        </w:tc>
        <w:tc>
          <w:tcPr>
            <w:tcW w:w="326" w:type="dxa"/>
            <w:tcBorders/>
            <w:vAlign w:val="center"/>
          </w:tcPr>
          <w:p>
            <w:pPr>
              <w:pStyle w:val="TableContents"/>
              <w:bidi w:val="0"/>
              <w:spacing w:before="0" w:after="1"/>
              <w:ind w:left="0" w:right="0" w:hanging="0"/>
              <w:jc w:val="left"/>
              <w:rPr/>
            </w:pPr>
            <w:r>
              <w:rPr/>
              <w:t>    </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 ($)</w:t>
            </w:r>
          </w:p>
        </w:tc>
        <w:tc>
          <w:tcPr>
            <w:tcW w:w="326" w:type="dxa"/>
            <w:tcBorders/>
            <w:vAlign w:val="center"/>
          </w:tcPr>
          <w:p>
            <w:pPr>
              <w:pStyle w:val="TableContents"/>
              <w:bidi w:val="0"/>
              <w:spacing w:before="0" w:after="1"/>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Zhengbin (Bing) Yao, Ph.D.</w:t>
            </w:r>
          </w:p>
        </w:tc>
        <w:tc>
          <w:tcPr>
            <w:tcW w:w="32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9/8/2021</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59,171</w:t>
            </w:r>
          </w:p>
        </w:tc>
        <w:tc>
          <w:tcPr>
            <w:tcW w:w="326" w:type="dxa"/>
            <w:tcBorders/>
            <w:shd w:fill="CCEEFF" w:val="clear"/>
            <w:vAlign w:val="center"/>
          </w:tcPr>
          <w:p>
            <w:pPr>
              <w:pStyle w:val="TableContents"/>
              <w:bidi w:val="0"/>
              <w:spacing w:before="0" w:after="1"/>
              <w:ind w:left="0" w:right="0" w:hanging="0"/>
              <w:jc w:val="lef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46,022</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w:t>
            </w:r>
          </w:p>
        </w:tc>
        <w:tc>
          <w:tcPr>
            <w:tcW w:w="32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9/7/2031</w:t>
            </w:r>
          </w:p>
        </w:tc>
      </w:tr>
      <w:tr>
        <w:trPr/>
        <w:tc>
          <w:tcPr>
            <w:tcW w:w="23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2/1/2022</w:t>
            </w:r>
          </w:p>
        </w:tc>
        <w:tc>
          <w:tcPr>
            <w:tcW w:w="32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47,611</w:t>
            </w:r>
          </w:p>
        </w:tc>
        <w:tc>
          <w:tcPr>
            <w:tcW w:w="32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56,267</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w:t>
            </w:r>
          </w:p>
        </w:tc>
        <w:tc>
          <w:tcPr>
            <w:tcW w:w="32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1/31/2032</w:t>
            </w:r>
          </w:p>
        </w:tc>
      </w:tr>
      <w:tr>
        <w:trPr/>
        <w:tc>
          <w:tcPr>
            <w:tcW w:w="23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2/1/2022</w:t>
            </w:r>
          </w:p>
        </w:tc>
        <w:tc>
          <w:tcPr>
            <w:tcW w:w="32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64,787</w:t>
            </w:r>
          </w:p>
        </w:tc>
        <w:tc>
          <w:tcPr>
            <w:tcW w:w="32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76,566</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w:t>
            </w:r>
          </w:p>
        </w:tc>
        <w:tc>
          <w:tcPr>
            <w:tcW w:w="32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1/31/2032</w:t>
            </w:r>
          </w:p>
        </w:tc>
      </w:tr>
      <w:tr>
        <w:trPr/>
        <w:tc>
          <w:tcPr>
            <w:tcW w:w="23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2/1/2023</w:t>
            </w:r>
          </w:p>
        </w:tc>
        <w:tc>
          <w:tcPr>
            <w:tcW w:w="32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141,353</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w:t>
            </w:r>
          </w:p>
        </w:tc>
        <w:tc>
          <w:tcPr>
            <w:tcW w:w="32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1/31/2033</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Stuart Lutzker, M.D., Ph.D.</w:t>
            </w:r>
          </w:p>
        </w:tc>
        <w:tc>
          <w:tcPr>
            <w:tcW w:w="32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9/8/2021</w:t>
            </w:r>
          </w:p>
        </w:tc>
        <w:tc>
          <w:tcPr>
            <w:tcW w:w="32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36,982</w:t>
            </w:r>
          </w:p>
        </w:tc>
        <w:tc>
          <w:tcPr>
            <w:tcW w:w="32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28,763</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w:t>
            </w:r>
          </w:p>
        </w:tc>
        <w:tc>
          <w:tcPr>
            <w:tcW w:w="32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9/7/2031</w:t>
            </w:r>
          </w:p>
        </w:tc>
      </w:tr>
      <w:tr>
        <w:trPr/>
        <w:tc>
          <w:tcPr>
            <w:tcW w:w="23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2/1/2022</w:t>
            </w:r>
          </w:p>
        </w:tc>
        <w:tc>
          <w:tcPr>
            <w:tcW w:w="32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11,450</w:t>
            </w:r>
          </w:p>
        </w:tc>
        <w:tc>
          <w:tcPr>
            <w:tcW w:w="32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13,533</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w:t>
            </w:r>
          </w:p>
        </w:tc>
        <w:tc>
          <w:tcPr>
            <w:tcW w:w="32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1/31/2032</w:t>
            </w:r>
          </w:p>
        </w:tc>
      </w:tr>
      <w:tr>
        <w:trPr/>
        <w:tc>
          <w:tcPr>
            <w:tcW w:w="23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2/1/2022</w:t>
            </w:r>
          </w:p>
        </w:tc>
        <w:tc>
          <w:tcPr>
            <w:tcW w:w="32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19,586</w:t>
            </w:r>
          </w:p>
        </w:tc>
        <w:tc>
          <w:tcPr>
            <w:tcW w:w="32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23,149</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w:t>
            </w:r>
          </w:p>
        </w:tc>
        <w:tc>
          <w:tcPr>
            <w:tcW w:w="32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1/31/2032</w:t>
            </w:r>
          </w:p>
        </w:tc>
      </w:tr>
      <w:tr>
        <w:trPr/>
        <w:tc>
          <w:tcPr>
            <w:tcW w:w="23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2/1/2023</w:t>
            </w:r>
          </w:p>
        </w:tc>
        <w:tc>
          <w:tcPr>
            <w:tcW w:w="32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42,734</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w:t>
            </w:r>
          </w:p>
        </w:tc>
        <w:tc>
          <w:tcPr>
            <w:tcW w:w="32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1/31/2033</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Robin LaChapelle</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9/8/2021</w:t>
            </w:r>
          </w:p>
        </w:tc>
        <w:tc>
          <w:tcPr>
            <w:tcW w:w="32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616</w:t>
            </w:r>
          </w:p>
        </w:tc>
        <w:tc>
          <w:tcPr>
            <w:tcW w:w="32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4,314</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w:t>
            </w:r>
          </w:p>
        </w:tc>
        <w:tc>
          <w:tcPr>
            <w:tcW w:w="32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9/7/2031</w:t>
            </w:r>
          </w:p>
        </w:tc>
      </w:tr>
      <w:tr>
        <w:trPr/>
        <w:tc>
          <w:tcPr>
            <w:tcW w:w="23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2/1/2022</w:t>
            </w:r>
          </w:p>
        </w:tc>
        <w:tc>
          <w:tcPr>
            <w:tcW w:w="32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w:t>
            </w:r>
          </w:p>
        </w:tc>
        <w:tc>
          <w:tcPr>
            <w:tcW w:w="32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6,766</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w:t>
            </w:r>
          </w:p>
        </w:tc>
        <w:tc>
          <w:tcPr>
            <w:tcW w:w="32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1/31/2032</w:t>
            </w:r>
          </w:p>
        </w:tc>
      </w:tr>
      <w:tr>
        <w:trPr/>
        <w:tc>
          <w:tcPr>
            <w:tcW w:w="23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2/1/2022</w:t>
            </w:r>
          </w:p>
        </w:tc>
        <w:tc>
          <w:tcPr>
            <w:tcW w:w="32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1,301</w:t>
            </w:r>
          </w:p>
        </w:tc>
        <w:tc>
          <w:tcPr>
            <w:tcW w:w="32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16,915</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w:t>
            </w:r>
          </w:p>
        </w:tc>
        <w:tc>
          <w:tcPr>
            <w:tcW w:w="32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1/31/2032</w:t>
            </w:r>
          </w:p>
        </w:tc>
      </w:tr>
      <w:tr>
        <w:trPr/>
        <w:tc>
          <w:tcPr>
            <w:tcW w:w="23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2/1/2023</w:t>
            </w:r>
          </w:p>
        </w:tc>
        <w:tc>
          <w:tcPr>
            <w:tcW w:w="32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31,229</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w:t>
            </w:r>
          </w:p>
        </w:tc>
        <w:tc>
          <w:tcPr>
            <w:tcW w:w="32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1/31/2033</w:t>
            </w:r>
          </w:p>
        </w:tc>
      </w:tr>
      <w:tr>
        <w:trPr/>
        <w:tc>
          <w:tcPr>
            <w:tcW w:w="23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8/22/2023</w:t>
            </w:r>
          </w:p>
        </w:tc>
        <w:tc>
          <w:tcPr>
            <w:tcW w:w="32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59,171</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w:t>
            </w:r>
          </w:p>
        </w:tc>
        <w:tc>
          <w:tcPr>
            <w:tcW w:w="32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8/21/2033</w:t>
            </w:r>
          </w:p>
        </w:tc>
      </w:tr>
    </w:tbl>
    <w:p>
      <w:pPr>
        <w:pStyle w:val="HorizontalLine"/>
        <w:pBdr>
          <w:bottom w:val="single" w:sz="6" w:space="0" w:color="000000"/>
        </w:pBdr>
        <w:bidi w:val="0"/>
        <w:spacing w:before="0" w:after="0"/>
        <w:ind w:left="0" w:right="7654" w:hanging="0"/>
        <w:jc w:val="left"/>
        <w:rPr/>
      </w:pPr>
      <w:r>
        <w:rPr/>
      </w:r>
    </w:p>
    <w:tbl>
      <w:tblPr>
        <w:tblW w:w="6925" w:type="dxa"/>
        <w:jc w:val="left"/>
        <w:tblInd w:w="0" w:type="dxa"/>
        <w:tblLayout w:type="fixed"/>
        <w:tblCellMar>
          <w:top w:w="0" w:type="dxa"/>
          <w:left w:w="0" w:type="dxa"/>
          <w:bottom w:w="0" w:type="dxa"/>
          <w:right w:w="0" w:type="dxa"/>
        </w:tblCellMar>
      </w:tblPr>
      <w:tblGrid>
        <w:gridCol w:w="230"/>
        <w:gridCol w:w="6695"/>
      </w:tblGrid>
      <w:tr>
        <w:trPr/>
        <w:tc>
          <w:tcPr>
            <w:tcW w:w="2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6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Each of the outstanding equity awards in the table above was granted pursuant to the 2021 Plan.</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10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vesting of all options is as follows: 25% of the shares subject to the option will vest on the first anniversary of the grant date, with the remaining 75% of the shares vesting in equal monthly installments on the last day of each of the following 36 months; provided that the option holder remains employed by us on each vesting date (except as otherwise provided in the option agreement or the 2021 Plan).</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Compensation Risk Assessment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believe that although a portion of the compensation provided to our executive officers and other employees is performance-based, our executive compensation program does not encourage excessive or unnecessary risk taking. This is primarily due to the fact that our compensation programs are designed to encourage our executive officers and other employees to remain focused on both short-term and long-term strategic goals. As a result, we do not believe that our compensation programs are reasonably likely to have a material adverse effect on us.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Potential Payments upon Termination or Change-In-Control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Executive Severance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Each of our named executive officers, as well as Winston Kung, MBA, our Chief Financial Officer and Treasurer, is a participant in the Severance Plan.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155</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the Severance Plan, if we terminate a participant’s employment without “Cause” at any time other than during the “Change in Control Period”, then the participant is eligible to receive the following benefits: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Severance is payable in the form of salary continuation. For Dr. Yao, the severance amount is equal to 1.5 times Dr. Yao’s then-current base salary and pro-rated target bonus. For Dr. Lutzker, Ms. LaChapelle and Mr. Kung, the severance amount is equal to 1.25 times their respective then-current base salary and pro-rated target bonus.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participant a pro-rated bonus for the year in which the participant’s termination becomes effective equal to the participant’s then-current target bonus multiplied by a fraction, the numerator of which is the number of days the participant remained employed during that year and the denominator of which is 365.</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on the participant’s behalf or reimburse the participant the full monthly cost of the health benefits, including the continuation coverage under the Consolidated Omnibus Budget Reconciliation Act of 1985, as amended (COBRA) during the applicable 18 or 15 month severance period.</w:t>
            </w:r>
          </w:p>
        </w:tc>
      </w:tr>
    </w:tbl>
    <w:tbl>
      <w:tblPr>
        <w:tblW w:w="5748" w:type="dxa"/>
        <w:jc w:val="left"/>
        <w:tblInd w:w="0" w:type="dxa"/>
        <w:tblLayout w:type="fixed"/>
        <w:tblCellMar>
          <w:top w:w="0" w:type="dxa"/>
          <w:left w:w="0" w:type="dxa"/>
          <w:bottom w:w="0" w:type="dxa"/>
          <w:right w:w="0" w:type="dxa"/>
        </w:tblCellMar>
      </w:tblPr>
      <w:tblGrid>
        <w:gridCol w:w="23"/>
        <w:gridCol w:w="170"/>
        <w:gridCol w:w="55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for outplacement services, up to certain specified limits.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the Severance Plan, if we terminate a participant’s employment without “Cause” or a participant resigns for “Good Reason”, during the “Change in Control Period”, then the participant is eligible to receive the following benefits: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Severance is payable in a single lump sum. For Dr. Yao, the severance amount is equal to 2 times Dr. Yao’s then-current base salary and target bonus. For Dr. Lutzker, Ms. LaChapelle and Mr. Kung, the severance amount is equal to 1.5 times their respective then-current base salary and target bonus.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participant a bonus equal to the participant’s then-current target bonus for the year in which the participant’s termination becomes effective.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on the participant’s behalf or reimburse the participant the full monthly cost of the health benefits, including continuation coverage under COBRA during the applicable 24 or 18 month severance period.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outstanding unvested equity awards held by the participant under our then-current outstanding equity incentive plan(s) will become fully vested on the date the termination of such participant’s employment becomes effective and the period in which to exercise any outstanding stock options will be extended to the first anniversary of the date the termination of the participant’s employment became effective.</w:t>
            </w:r>
          </w:p>
        </w:tc>
      </w:tr>
    </w:tbl>
    <w:tbl>
      <w:tblPr>
        <w:tblW w:w="5748" w:type="dxa"/>
        <w:jc w:val="left"/>
        <w:tblInd w:w="0" w:type="dxa"/>
        <w:tblLayout w:type="fixed"/>
        <w:tblCellMar>
          <w:top w:w="0" w:type="dxa"/>
          <w:left w:w="0" w:type="dxa"/>
          <w:bottom w:w="0" w:type="dxa"/>
          <w:right w:w="0" w:type="dxa"/>
        </w:tblCellMar>
      </w:tblPr>
      <w:tblGrid>
        <w:gridCol w:w="23"/>
        <w:gridCol w:w="170"/>
        <w:gridCol w:w="55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for outplacement services, up to certain specified limits.</w:t>
            </w:r>
          </w:p>
        </w:tc>
      </w:tr>
    </w:tbl>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The following terms have the following meanings under the Severance Plan:</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Cause” means a participant’s: (i) act of gross negligence or insubordination or a material breach of our policies and procedures, which act or breach is not cured within fifteen (15) days after a written demand for cure is received by participant from us which specifically identifies the act or breach on which we predicates the participant’s termination of employment for Cause; (ii) material breach of our code of conduct, equal opportunity and anti-harassment policies, or compliance policies (which may include, but not be limited to, a code of business conduct, an anti-bribery policy, a competition policy, and a policy on healthcare business ethics); (iii) commission, indictment, conviction, or entry of a plea of guilty or nolo contendere to, a felony or any other crime involving fraud, dishonesty, theft, breach of trust or moral turpitude; (iv) engagement in misconduct which results in, or could reasonably be expected to result in, material injury to our financial condition, reputation, or ability to do business; (v) material breach of a written agreement with us, including any confidentiality, invention assignment or other employee restrictions agreement; (vi) violation of state or federal securities laws or regulations; or (vii) willful failure to cooperate with a bona fide internal investigation or an investigation by regulatory or law enforcement authorities, after being instructed by us to cooperate, willful destruction or failure to preserve documents or other materials relevant to such investigation, or willful inducement of others to fail to cooperate or to produce documents or other materials in connection with such investigation.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Good Reason” shall mean the occurrence of any of the following without participant’s prior consent: (i) a material decrease in participant’s base salary or bonus opportunity; (ii) a material diminution in participant’s title, reporting relationship, duties or responsibilities; (iii) a material diminution in the aggregate employee benefits and material perquisites provided to participant; (iv) a relocation of participant’s primary office by more than thirty-five (35) miles from participant’s then-current location (unless the new location is closer to the participant’s primary residence); and (v) the failure by any successor to us or any acquiring corporation to explicitly assume the Severance Plan and our obligations thereunder and maintain the Severance Plan in effect for a period of at least twenty-four (24) months.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Change in Control” is defined as a transaction or a series of related transactions in which: (i) all or substantially all of our assets are transferred to any “person” or “group” (as such terms are defined in the Exchange Act); (ii) any person or group, other than person or group who prior to such acquisition is a “beneficial owner” (as defined under the Exchange Act), directly or indirectly, of any of our equity, becomes the “beneficial owner”, directly or indirectly, of our outstanding equity representing more than 50% of the total voting power of our then-outstanding equity; (iii) we undergo a merger, reorganization or other consolidation in which the holders of our outstanding equity immediately prior to such merger, reorganization or consolidation directly or indirectly own less than 50% of the surviving entity’s voting power immediately after the transaction; or (iv) if within any rolling twelve month period, the persons who were our directors at the beginning of such twelve month period, or the incumbent directors, cease to constitute at least a majority of such board of directors; provided that any director who was not a director at the beginning of such twelve (12) month period will be deemed to be an incumbent director if that director was elected to the board of directors by, or on the recommendation of or with the approval of, a majority of the directors who then qualified as incumbent directors. Any of (i) through (iv) above may constitute a Change in Control, provided that the Change in Control meets all of the requirements of a “change in the ownership of a corporation,” a “change in the effective ownership of a corporation,” or “a change in the ownership of a substantial portion of the corporation’s assets,” each within the meaning of Treasury Regulation §1.409A-3(i)(5).</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Change in Control Period” means: (i) the twenty-four (24) month period beginning on the date of a Change in Control; (ii) any such time prior to a Change in Control where the successor or acquiring entity in the Change in Control requests for the termination of a participant’s employment without Cause; or (iii) any such time prior to a Change in Control where we terminate a participant’s employment without Cause in connection with or in anticipation of a Change in Control.</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Director Compensation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did not pay any compensation, make any equity awards or non-equity awards to or pay any other compensation to any of the non-employee members of our board of directors in our fiscal year ended December 31, 2023 for their services as members of the board of directors except for Bahija Jallal, Ph.D., who received an option award to purchase 6,574 shares of our common stock under the 2021 Plan in connection with her service as a member of the board of directors in February 2023, and Chris W. Nolet who received an option award to purchase 16,436 shares of our common stock under the 2021 Plan in connection with his service as a member of the board of directors in September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provides information concerning compensation earned by our non-employee directors during our fiscal year ended December 31, 2023:</w:t>
      </w:r>
    </w:p>
    <w:tbl>
      <w:tblPr>
        <w:tblW w:w="6997" w:type="dxa"/>
        <w:jc w:val="center"/>
        <w:tblInd w:w="0" w:type="dxa"/>
        <w:tblLayout w:type="fixed"/>
        <w:tblCellMar>
          <w:top w:w="0" w:type="dxa"/>
          <w:left w:w="0" w:type="dxa"/>
          <w:bottom w:w="0" w:type="dxa"/>
          <w:right w:w="0" w:type="dxa"/>
        </w:tblCellMar>
      </w:tblPr>
      <w:tblGrid>
        <w:gridCol w:w="2326"/>
        <w:gridCol w:w="326"/>
        <w:gridCol w:w="1276"/>
        <w:gridCol w:w="326"/>
        <w:gridCol w:w="1621"/>
        <w:gridCol w:w="326"/>
        <w:gridCol w:w="796"/>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477010" cy="175260"/>
                      <wp:effectExtent l="0" t="0" r="0" b="0"/>
                      <wp:wrapNone/>
                      <wp:docPr id="210" name="Frame183"/>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810260" cy="175260"/>
                      <wp:effectExtent l="0" t="0" r="0" b="0"/>
                      <wp:wrapNone/>
                      <wp:docPr id="212" name="Frame185"/>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3"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029335" cy="175260"/>
                      <wp:effectExtent l="0" t="0" r="0" b="0"/>
                      <wp:wrapNone/>
                      <wp:docPr id="214" name="Frame187"/>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5"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505460" cy="175260"/>
                      <wp:effectExtent l="0" t="0" r="0" b="0"/>
                      <wp:wrapNone/>
                      <wp:docPr id="216" name="Frame18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Fees Earned or</w:t>
            </w:r>
          </w:p>
        </w:tc>
        <w:tc>
          <w:tcPr>
            <w:tcW w:w="326" w:type="dxa"/>
            <w:tcBorders/>
            <w:vAlign w:val="center"/>
          </w:tcPr>
          <w:p>
            <w:pPr>
              <w:pStyle w:val="TableContents"/>
              <w:bidi w:val="0"/>
              <w:spacing w:before="0" w:after="1"/>
              <w:ind w:left="0" w:right="0" w:hanging="0"/>
              <w:jc w:val="left"/>
              <w:rPr/>
            </w:pPr>
            <w:r>
              <w:rPr/>
              <w:t>​</w:t>
            </w:r>
          </w:p>
        </w:tc>
        <w:tc>
          <w:tcPr>
            <w:tcW w:w="16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r>
      <w:tr>
        <w:trPr/>
        <w:tc>
          <w:tcPr>
            <w:tcW w:w="23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vAlign w:val="center"/>
          </w:tcPr>
          <w:p>
            <w:pPr>
              <w:pStyle w:val="TableContents"/>
              <w:bidi w:val="0"/>
              <w:spacing w:before="0" w:after="1"/>
              <w:ind w:left="0" w:right="0" w:hanging="0"/>
              <w:jc w:val="left"/>
              <w:rPr/>
            </w:pPr>
            <w:r>
              <w:rPr/>
              <w:t>    </w:t>
            </w:r>
          </w:p>
        </w:tc>
        <w:tc>
          <w:tcPr>
            <w:tcW w:w="12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 in Cash ($)</w:t>
            </w:r>
          </w:p>
        </w:tc>
        <w:tc>
          <w:tcPr>
            <w:tcW w:w="326" w:type="dxa"/>
            <w:tcBorders/>
            <w:vAlign w:val="center"/>
          </w:tcPr>
          <w:p>
            <w:pPr>
              <w:pStyle w:val="TableContents"/>
              <w:bidi w:val="0"/>
              <w:spacing w:before="0" w:after="1"/>
              <w:ind w:left="0" w:right="0" w:hanging="0"/>
              <w:jc w:val="left"/>
              <w:rPr/>
            </w:pPr>
            <w:r>
              <w:rPr/>
              <w:t>    </w:t>
            </w:r>
          </w:p>
        </w:tc>
        <w:tc>
          <w:tcPr>
            <w:tcW w:w="16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Option Awards ($)</w:t>
            </w:r>
            <w:r>
              <w:rPr>
                <w:rFonts w:ascii="Times New Roman;Times;serif" w:hAnsi="Times New Roman;Times;serif"/>
                <w:b/>
                <w:sz w:val="12"/>
              </w:rPr>
              <w:t>(1)</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w:t>
            </w:r>
          </w:p>
        </w:tc>
      </w:tr>
      <w:tr>
        <w:trPr/>
        <w:tc>
          <w:tcPr>
            <w:tcW w:w="2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Carl L. Gordon, Ph.D., CFA</w:t>
            </w:r>
          </w:p>
        </w:tc>
        <w:tc>
          <w:tcPr>
            <w:tcW w:w="326" w:type="dxa"/>
            <w:tcBorders/>
            <w:shd w:fill="CCEEFF" w:val="clear"/>
            <w:vAlign w:val="center"/>
          </w:tcPr>
          <w:p>
            <w:pPr>
              <w:pStyle w:val="TableContents"/>
              <w:bidi w:val="0"/>
              <w:spacing w:before="0" w:after="1"/>
              <w:ind w:left="0" w:right="0" w:hanging="0"/>
              <w:jc w:val="left"/>
              <w:rPr/>
            </w:pPr>
            <w:r>
              <w:rPr/>
              <w:t> </w:t>
            </w:r>
          </w:p>
        </w:tc>
        <w:tc>
          <w:tcPr>
            <w:tcW w:w="12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6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r>
      <w:tr>
        <w:trPr/>
        <w:tc>
          <w:tcPr>
            <w:tcW w:w="2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James Healy, M.D., Ph.D.</w:t>
            </w:r>
          </w:p>
        </w:tc>
        <w:tc>
          <w:tcPr>
            <w:tcW w:w="326" w:type="dxa"/>
            <w:tcBorders/>
            <w:vAlign w:val="center"/>
          </w:tcPr>
          <w:p>
            <w:pPr>
              <w:pStyle w:val="TableContents"/>
              <w:bidi w:val="0"/>
              <w:spacing w:before="0" w:after="1"/>
              <w:ind w:left="0" w:right="0" w:hanging="0"/>
              <w:jc w:val="left"/>
              <w:rPr/>
            </w:pPr>
            <w:r>
              <w:rPr/>
              <w:t> </w:t>
            </w:r>
          </w:p>
        </w:tc>
        <w:tc>
          <w:tcPr>
            <w:tcW w:w="12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6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r>
      <w:tr>
        <w:trPr/>
        <w:tc>
          <w:tcPr>
            <w:tcW w:w="2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Bahija Jallal, Ph.D.</w:t>
            </w:r>
          </w:p>
        </w:tc>
        <w:tc>
          <w:tcPr>
            <w:tcW w:w="326" w:type="dxa"/>
            <w:tcBorders/>
            <w:shd w:fill="CCEEFF" w:val="clear"/>
            <w:vAlign w:val="center"/>
          </w:tcPr>
          <w:p>
            <w:pPr>
              <w:pStyle w:val="TableContents"/>
              <w:bidi w:val="0"/>
              <w:spacing w:before="0" w:after="1"/>
              <w:ind w:left="0" w:right="0" w:hanging="0"/>
              <w:jc w:val="left"/>
              <w:rPr/>
            </w:pPr>
            <w:r>
              <w:rPr/>
              <w:t> </w:t>
            </w:r>
          </w:p>
        </w:tc>
        <w:tc>
          <w:tcPr>
            <w:tcW w:w="12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6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17,797</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17,797</w:t>
            </w:r>
          </w:p>
        </w:tc>
      </w:tr>
      <w:tr>
        <w:trPr/>
        <w:tc>
          <w:tcPr>
            <w:tcW w:w="2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Chris W. Nolet</w:t>
            </w:r>
          </w:p>
        </w:tc>
        <w:tc>
          <w:tcPr>
            <w:tcW w:w="326" w:type="dxa"/>
            <w:tcBorders/>
            <w:vAlign w:val="center"/>
          </w:tcPr>
          <w:p>
            <w:pPr>
              <w:pStyle w:val="TableContents"/>
              <w:bidi w:val="0"/>
              <w:spacing w:before="0" w:after="1"/>
              <w:ind w:left="0" w:right="0" w:hanging="0"/>
              <w:jc w:val="left"/>
              <w:rPr/>
            </w:pPr>
            <w:r>
              <w:rPr/>
              <w:t> </w:t>
            </w:r>
          </w:p>
        </w:tc>
        <w:tc>
          <w:tcPr>
            <w:tcW w:w="12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6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79,277</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79,277</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100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Represents the aggregate grant date fair value of option awards granted to Dr. Jallal and Mr. Nolet in 2023. The amount has been computed in accordance with FASB ASC Topic 718. A discussion of the assumptions used in determining grant date fair value may be found in Note 9 to our annual financial statements.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157</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Non-Employee Director Compensation Policy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adopted a policy with respect to the compensation payable to our non-employee directors, other than any director that is affiliated with an institutional investor that held shares of our Series A or Series B convertible preferred stock prior to closing of our initial public offering in January 2024, which became effective upon the completion of our initial public offering. Under this policy, each such non-employee director is eligible to receive compensation for his or her service consisting of annual cash retainers and equity awards. Dr. Yao and Dr. Lutzker will not receive separate compensation from us for serving as members of our board of directors. Our non-employee directors will receive the following annual retainers for their service:</w:t>
      </w:r>
    </w:p>
    <w:tbl>
      <w:tblPr>
        <w:tblW w:w="6074" w:type="dxa"/>
        <w:jc w:val="center"/>
        <w:tblInd w:w="0" w:type="dxa"/>
        <w:tblLayout w:type="fixed"/>
        <w:tblCellMar>
          <w:top w:w="0" w:type="dxa"/>
          <w:left w:w="0" w:type="dxa"/>
          <w:bottom w:w="0" w:type="dxa"/>
          <w:right w:w="0" w:type="dxa"/>
        </w:tblCellMar>
      </w:tblPr>
      <w:tblGrid>
        <w:gridCol w:w="4756"/>
        <w:gridCol w:w="326"/>
        <w:gridCol w:w="211"/>
        <w:gridCol w:w="781"/>
      </w:tblGrid>
      <w:tr>
        <w:trPr/>
        <w:tc>
          <w:tcPr>
            <w:tcW w:w="4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8" name="Frame1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96570" cy="175260"/>
                      <wp:effectExtent l="0" t="0" r="0" b="0"/>
                      <wp:wrapNone/>
                      <wp:docPr id="219" name="Frame192"/>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Position</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Retainer</w:t>
            </w:r>
          </w:p>
        </w:tc>
      </w:tr>
      <w:tr>
        <w:trPr/>
        <w:tc>
          <w:tcPr>
            <w:tcW w:w="4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Board Member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45,000</w:t>
            </w:r>
          </w:p>
        </w:tc>
      </w:tr>
      <w:tr>
        <w:trPr/>
        <w:tc>
          <w:tcPr>
            <w:tcW w:w="4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 Committee Chair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w:t>
            </w:r>
          </w:p>
        </w:tc>
      </w:tr>
      <w:tr>
        <w:trPr/>
        <w:tc>
          <w:tcPr>
            <w:tcW w:w="4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Committee Chair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r>
      <w:tr>
        <w:trPr/>
        <w:tc>
          <w:tcPr>
            <w:tcW w:w="4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Nominating and Corporate Governance Committee Chair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10,000</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Equity awards for non-employee directors will consist of (i) an initial equity award consisting of options to purchase shares of our common stock, with a grant date fair value of $235,000, upon first appointment to the board of directors, vesting on the first anniversary of the date of the grant and (ii) annual equity awards consisting of options to purchase shares of our common stock, with a grant date fair value of $235,000, vesting on the date of the next annual meeting of stockholders following the grant date. The term of each option will be ten years, subject to earlier termination as provided in the 2024 Plan.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Directors may be reimbursed for travel, food, lodging and other expenses directly related to their service as directors. Directors are also entitled to the protection provided by their indemnification agreements and the indemnification provisions in our amended and restated certificate of incorporation and amended and restated bylaws.</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Equity Compensation Plan and Other Benefit Plans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Equity Compensation Plans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equity compensation plans were established to attract, retain and motivate our employees, officers, directors, consultants, agents, advisors and independent contractors by providing them with the opportunity to acquire a proprietary interest in us and to align their interests and efforts with the long-term interests of our stockholders. On June 9, 2021, our board of directors adopted, and our stockholders approved the 2021 Plan. On October 12, 2023, our board of directors adopted the 2024 Equity Incentive Plan (the 2024 Plan, collectively with the 2021 Plan, the Plans). The Plans provide for, among other things, grants of stock options, restricted stock units, restricted stock and other stock-based awards to employees, directors, consultants who provide services to us and our affiliates. We have 3,952,835 shares of our common stock reserved for issuance under the 2024 Plan (plus any shares available for future grants under our 2021 Plan and any shares underlying outstanding stock awards granted under our 2021 Plan that expire or are repurchased, forfeited, cancelled or withheld). Since our 2024 Plan has been approved by our stockholders, we will not make any additional grants under the 2021 Plan.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Benefits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All of our current named executive officers are eligible to participate in our employee benefit plans, including our medical, dental, vision, life and disability insurance plans, in each case on the same basis as all of our other employees.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401(k) Plan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maintain a 401(k) plan for employees. The 401(k) plan is intended to qualify under Section 401(k) of the Internal Revenue Service Code of 1986, as amended, so that contributions to the 401(k) plan by employees or by us, and the investment earnings thereon, are not taxable to the employees until withdrawn from the 401(k) plan, and so that contributions by us, if any, will be deductible by us when made. Under the 401(k) plan, our employees may elect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158</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reduce their current compensation by up to the statutorily prescribed annual limit and to have the amount of such reduction contributed to the 401(k) plan, and we make a matching contribution of 100% of salary deferral contributions up to 4% of pay for each payroll period.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Rule 10b5-1 Sales Plans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 director or officer. The director or officer may amend or terminate the plan in limited circumstances. Our directors and executive officers may also buy or sell additional shares of our common stock outside of a Rule 10b5-1 plan when they are not in possession of material, nonpublic information.</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12. Security Ownership of Certain Beneficial Owners and Management and Related Stockholder Matters</w:t>
      </w:r>
      <w:bookmarkStart w:id="35" w:name="Item12SecurityOwnershipofCertainBenefici"/>
      <w:bookmarkEnd w:id="35"/>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certain information with respect to the beneficial ownership of our common stock as of March 22, 2024 for:</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or group of affiliated persons known by us to be the beneficial owner of more than five percent of our capital stock;</w:t>
            </w:r>
          </w:p>
        </w:tc>
      </w:tr>
    </w:tbl>
    <w:tbl>
      <w:tblPr>
        <w:tblW w:w="1923" w:type="dxa"/>
        <w:jc w:val="left"/>
        <w:tblInd w:w="0" w:type="dxa"/>
        <w:tblLayout w:type="fixed"/>
        <w:tblCellMar>
          <w:top w:w="0" w:type="dxa"/>
          <w:left w:w="0" w:type="dxa"/>
          <w:bottom w:w="0" w:type="dxa"/>
          <w:right w:w="0" w:type="dxa"/>
        </w:tblCellMar>
      </w:tblPr>
      <w:tblGrid>
        <w:gridCol w:w="23"/>
        <w:gridCol w:w="170"/>
        <w:gridCol w:w="17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w:t>
            </w:r>
          </w:p>
        </w:tc>
      </w:tr>
    </w:tbl>
    <w:tbl>
      <w:tblPr>
        <w:tblW w:w="3588" w:type="dxa"/>
        <w:jc w:val="left"/>
        <w:tblInd w:w="0" w:type="dxa"/>
        <w:tblLayout w:type="fixed"/>
        <w:tblCellMar>
          <w:top w:w="0" w:type="dxa"/>
          <w:left w:w="0" w:type="dxa"/>
          <w:bottom w:w="0" w:type="dxa"/>
          <w:right w:w="0" w:type="dxa"/>
        </w:tblCellMar>
      </w:tblPr>
      <w:tblGrid>
        <w:gridCol w:w="23"/>
        <w:gridCol w:w="170"/>
        <w:gridCol w:w="33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 and</w:t>
            </w:r>
          </w:p>
        </w:tc>
      </w:tr>
    </w:tbl>
    <w:tbl>
      <w:tblPr>
        <w:tblW w:w="5058" w:type="dxa"/>
        <w:jc w:val="left"/>
        <w:tblInd w:w="0" w:type="dxa"/>
        <w:tblLayout w:type="fixed"/>
        <w:tblCellMar>
          <w:top w:w="0" w:type="dxa"/>
          <w:left w:w="0" w:type="dxa"/>
          <w:bottom w:w="0" w:type="dxa"/>
          <w:right w:w="0" w:type="dxa"/>
        </w:tblCellMar>
      </w:tblPr>
      <w:tblGrid>
        <w:gridCol w:w="23"/>
        <w:gridCol w:w="170"/>
        <w:gridCol w:w="48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current directors and executive officers as a group.</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Beneficial ownership is determined in accordance with the rules of the SEC and generally includes voting or investment power with respect to securities. Under those rules, beneficial ownership includes any shares as to which the individual or entity has sole or shared voting power or investment power. Except as noted by footnote, and subject to community property laws where applicable, we believe, based on the information provided to us, that the persons and entities named in the table below have sole voting and investment power with respect to all common stock shown as beneficially owned by them.</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percentage of beneficial ownership in the table below is based on 33,493,750 shares of common stock outstanding as of March 22, 2024. Options to purchase shares of common stock that are exercisable within 60 days of March 22, 2024 are deemed to be beneficially owned by the persons holding these options for the purpose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159</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computing percentage ownership of that person, but are not treated as outstanding for the purpose of computing any other person’s ownership percentage.</w:t>
      </w:r>
    </w:p>
    <w:tbl>
      <w:tblPr>
        <w:tblW w:w="8890" w:type="dxa"/>
        <w:jc w:val="center"/>
        <w:tblInd w:w="0" w:type="dxa"/>
        <w:tblLayout w:type="fixed"/>
        <w:tblCellMar>
          <w:top w:w="0" w:type="dxa"/>
          <w:left w:w="0" w:type="dxa"/>
          <w:bottom w:w="0" w:type="dxa"/>
          <w:right w:w="0" w:type="dxa"/>
        </w:tblCellMar>
      </w:tblPr>
      <w:tblGrid>
        <w:gridCol w:w="5611"/>
        <w:gridCol w:w="326"/>
        <w:gridCol w:w="946"/>
        <w:gridCol w:w="326"/>
        <w:gridCol w:w="1001"/>
        <w:gridCol w:w="680"/>
      </w:tblGrid>
      <w:tr>
        <w:trPr/>
        <w:tc>
          <w:tcPr>
            <w:tcW w:w="5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3562985" cy="175260"/>
                      <wp:effectExtent l="0" t="0" r="0" b="0"/>
                      <wp:wrapNone/>
                      <wp:docPr id="220" name="Frame193"/>
                      <a:graphic xmlns:a="http://schemas.openxmlformats.org/drawingml/2006/main">
                        <a:graphicData uri="http://schemas.microsoft.com/office/word/2010/wordprocessingShape">
                          <wps:wsp>
                            <wps:cNvSpPr txBox="1"/>
                            <wps:spPr>
                              <a:xfrm>
                                <a:off x="0" y="0"/>
                                <a:ext cx="3562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21" name="Frame1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00710" cy="175260"/>
                      <wp:effectExtent l="0" t="0" r="0" b="0"/>
                      <wp:wrapNone/>
                      <wp:docPr id="222" name="Frame195"/>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23"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35635" cy="175260"/>
                      <wp:effectExtent l="0" t="0" r="0" b="0"/>
                      <wp:wrapNone/>
                      <wp:docPr id="224" name="Frame197"/>
                      <a:graphic xmlns:a="http://schemas.openxmlformats.org/drawingml/2006/main">
                        <a:graphicData uri="http://schemas.microsoft.com/office/word/2010/wordprocessingShape">
                          <wps:wsp>
                            <wps:cNvSpPr txBox="1"/>
                            <wps:spPr>
                              <a:xfrm>
                                <a:off x="0" y="0"/>
                                <a:ext cx="635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432435" cy="175260"/>
                      <wp:effectExtent l="0" t="0" r="0" b="0"/>
                      <wp:wrapNone/>
                      <wp:docPr id="225" name="Frame198"/>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6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01" w:type="dxa"/>
            <w:tcBorders/>
            <w:vAlign w:val="center"/>
          </w:tcPr>
          <w:p>
            <w:pPr>
              <w:pStyle w:val="TableContents"/>
              <w:bidi w:val="0"/>
              <w:spacing w:before="0" w:after="1"/>
              <w:ind w:left="0" w:right="0" w:hanging="0"/>
              <w:jc w:val="center"/>
              <w:rPr/>
            </w:pPr>
            <w:r>
              <w:rPr/>
              <w:t>​</w:t>
            </w:r>
          </w:p>
        </w:tc>
        <w:tc>
          <w:tcPr>
            <w:tcW w:w="680" w:type="dxa"/>
            <w:tcBorders/>
            <w:vAlign w:val="center"/>
          </w:tcPr>
          <w:p>
            <w:pPr>
              <w:pStyle w:val="TableContents"/>
              <w:bidi w:val="0"/>
              <w:spacing w:before="0" w:after="1"/>
              <w:ind w:left="0" w:right="0" w:hanging="0"/>
              <w:jc w:val="left"/>
              <w:rPr/>
            </w:pPr>
            <w:r>
              <w:rPr/>
              <w:t>​</w:t>
            </w:r>
          </w:p>
        </w:tc>
      </w:tr>
      <w:tr>
        <w:trPr/>
        <w:tc>
          <w:tcPr>
            <w:tcW w:w="56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01" w:type="dxa"/>
            <w:tcBorders/>
            <w:vAlign w:val="center"/>
          </w:tcPr>
          <w:p>
            <w:pPr>
              <w:pStyle w:val="TableContents"/>
              <w:bidi w:val="0"/>
              <w:spacing w:before="0" w:after="1"/>
              <w:ind w:left="0" w:right="0" w:hanging="0"/>
              <w:jc w:val="center"/>
              <w:rPr/>
            </w:pPr>
            <w:r>
              <w:rPr/>
              <w:t>​</w:t>
            </w:r>
          </w:p>
        </w:tc>
        <w:tc>
          <w:tcPr>
            <w:tcW w:w="680" w:type="dxa"/>
            <w:tcBorders/>
            <w:vAlign w:val="center"/>
          </w:tcPr>
          <w:p>
            <w:pPr>
              <w:pStyle w:val="TableContents"/>
              <w:bidi w:val="0"/>
              <w:spacing w:before="0" w:after="1"/>
              <w:ind w:left="0" w:right="0" w:hanging="0"/>
              <w:jc w:val="left"/>
              <w:rPr/>
            </w:pPr>
            <w:r>
              <w:rPr/>
              <w:t>​</w:t>
            </w:r>
          </w:p>
        </w:tc>
      </w:tr>
      <w:tr>
        <w:trPr/>
        <w:tc>
          <w:tcPr>
            <w:tcW w:w="56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w:t>
            </w:r>
          </w:p>
        </w:tc>
        <w:tc>
          <w:tcPr>
            <w:tcW w:w="1001" w:type="dxa"/>
            <w:tcBorders/>
            <w:vAlign w:val="center"/>
          </w:tcPr>
          <w:p>
            <w:pPr>
              <w:pStyle w:val="TableContents"/>
              <w:bidi w:val="0"/>
              <w:spacing w:before="0" w:after="1"/>
              <w:ind w:left="0" w:right="0" w:hanging="0"/>
              <w:jc w:val="center"/>
              <w:rPr/>
            </w:pPr>
            <w:r>
              <w:rPr/>
              <w:t>​</w:t>
            </w:r>
          </w:p>
        </w:tc>
        <w:tc>
          <w:tcPr>
            <w:tcW w:w="680" w:type="dxa"/>
            <w:tcBorders/>
            <w:vAlign w:val="center"/>
          </w:tcPr>
          <w:p>
            <w:pPr>
              <w:pStyle w:val="TableContents"/>
              <w:bidi w:val="0"/>
              <w:spacing w:before="0" w:after="1"/>
              <w:ind w:left="0" w:right="0" w:hanging="0"/>
              <w:jc w:val="left"/>
              <w:rPr/>
            </w:pPr>
            <w:r>
              <w:rPr/>
              <w:t>​</w:t>
            </w:r>
          </w:p>
        </w:tc>
      </w:tr>
      <w:tr>
        <w:trPr/>
        <w:tc>
          <w:tcPr>
            <w:tcW w:w="56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Beneficially</w:t>
            </w:r>
          </w:p>
        </w:tc>
        <w:tc>
          <w:tcPr>
            <w:tcW w:w="326" w:type="dxa"/>
            <w:tcBorders/>
            <w:vAlign w:val="center"/>
          </w:tcPr>
          <w:p>
            <w:pPr>
              <w:pStyle w:val="TableContents"/>
              <w:bidi w:val="0"/>
              <w:spacing w:before="0" w:after="1"/>
              <w:ind w:left="0" w:right="0" w:hanging="0"/>
              <w:jc w:val="left"/>
              <w:rPr/>
            </w:pPr>
            <w:r>
              <w:rPr/>
              <w:t>    </w:t>
            </w:r>
          </w:p>
        </w:tc>
        <w:tc>
          <w:tcPr>
            <w:tcW w:w="16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 of Shares</w:t>
            </w:r>
          </w:p>
        </w:tc>
      </w:tr>
      <w:tr>
        <w:trPr/>
        <w:tc>
          <w:tcPr>
            <w:tcW w:w="56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b/>
                <w:sz w:val="16"/>
              </w:rPr>
              <w:t>Name and Address of Beneficial Owner</w:t>
            </w:r>
            <w:r>
              <w:rPr>
                <w:rFonts w:ascii="Times New Roman;Times;serif" w:hAnsi="Times New Roman;Times;serif"/>
                <w:b/>
                <w:sz w:val="12"/>
              </w:rPr>
              <w:t>(1)</w:t>
            </w:r>
          </w:p>
        </w:tc>
        <w:tc>
          <w:tcPr>
            <w:tcW w:w="326" w:type="dxa"/>
            <w:tcBorders/>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Owned</w:t>
            </w:r>
          </w:p>
        </w:tc>
        <w:tc>
          <w:tcPr>
            <w:tcW w:w="326" w:type="dxa"/>
            <w:tcBorders/>
            <w:vAlign w:val="center"/>
          </w:tcPr>
          <w:p>
            <w:pPr>
              <w:pStyle w:val="TableContents"/>
              <w:bidi w:val="0"/>
              <w:spacing w:before="0" w:after="1"/>
              <w:ind w:left="0" w:right="0" w:hanging="0"/>
              <w:jc w:val="center"/>
              <w:rPr/>
            </w:pPr>
            <w:r>
              <w:rPr/>
              <w:t>​</w:t>
            </w:r>
          </w:p>
        </w:tc>
        <w:tc>
          <w:tcPr>
            <w:tcW w:w="16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Beneficially Owned</w:t>
            </w:r>
          </w:p>
        </w:tc>
      </w:tr>
      <w:tr>
        <w:trPr/>
        <w:tc>
          <w:tcPr>
            <w:tcW w:w="56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Greater than 5% Stockholders:</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001" w:type="dxa"/>
            <w:tcBorders/>
            <w:shd w:fill="CCEEFF" w:val="clear"/>
            <w:vAlign w:val="center"/>
          </w:tcPr>
          <w:p>
            <w:pPr>
              <w:pStyle w:val="TableContents"/>
              <w:bidi w:val="0"/>
              <w:spacing w:before="0" w:after="1"/>
              <w:ind w:left="0" w:right="0" w:hanging="0"/>
              <w:jc w:val="right"/>
              <w:rPr/>
            </w:pPr>
            <w:r>
              <w:rPr/>
              <w:t>  </w:t>
            </w:r>
          </w:p>
        </w:tc>
        <w:tc>
          <w:tcPr>
            <w:tcW w:w="680" w:type="dxa"/>
            <w:tcBorders/>
            <w:shd w:fill="CCEEFF" w:val="clear"/>
            <w:vAlign w:val="center"/>
          </w:tcPr>
          <w:p>
            <w:pPr>
              <w:pStyle w:val="TableContents"/>
              <w:bidi w:val="0"/>
              <w:spacing w:before="0" w:after="1"/>
              <w:ind w:left="0" w:right="0" w:hanging="0"/>
              <w:jc w:val="left"/>
              <w:rPr/>
            </w:pPr>
            <w:r>
              <w:rPr/>
              <w:t>​</w:t>
            </w:r>
          </w:p>
        </w:tc>
      </w:tr>
      <w:tr>
        <w:trPr/>
        <w:tc>
          <w:tcPr>
            <w:tcW w:w="5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LAV Fund VI, L.P.</w:t>
            </w:r>
            <w:r>
              <w:rPr>
                <w:rFonts w:ascii="Times New Roman;Times;serif" w:hAnsi="Times New Roman;Times;serif"/>
                <w:sz w:val="15"/>
              </w:rPr>
              <w:t>(2)</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1,966,123</w:t>
            </w:r>
          </w:p>
        </w:tc>
        <w:tc>
          <w:tcPr>
            <w:tcW w:w="326" w:type="dxa"/>
            <w:tcBorders/>
            <w:vAlign w:val="center"/>
          </w:tcPr>
          <w:p>
            <w:pPr>
              <w:pStyle w:val="TableContents"/>
              <w:bidi w:val="0"/>
              <w:spacing w:before="0" w:after="1"/>
              <w:ind w:left="0" w:right="0" w:hanging="0"/>
              <w:jc w:val="left"/>
              <w:rPr/>
            </w:pPr>
            <w:r>
              <w:rPr/>
              <w:t>​</w:t>
            </w:r>
          </w:p>
        </w:tc>
        <w:tc>
          <w:tcPr>
            <w:tcW w:w="10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6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Entities affiliated with Octagon Capital Advisors LP</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1,743,836</w:t>
            </w:r>
          </w:p>
        </w:tc>
        <w:tc>
          <w:tcPr>
            <w:tcW w:w="326" w:type="dxa"/>
            <w:tcBorders/>
            <w:shd w:fill="CCEEFF" w:val="clear"/>
            <w:vAlign w:val="center"/>
          </w:tcPr>
          <w:p>
            <w:pPr>
              <w:pStyle w:val="TableContents"/>
              <w:bidi w:val="0"/>
              <w:spacing w:before="0" w:after="1"/>
              <w:ind w:left="0" w:right="0" w:hanging="0"/>
              <w:jc w:val="left"/>
              <w:rPr/>
            </w:pPr>
            <w:r>
              <w:rPr/>
              <w:t>​</w:t>
            </w:r>
          </w:p>
        </w:tc>
        <w:tc>
          <w:tcPr>
            <w:tcW w:w="10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6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Entities affiliated with OrbiMed</w:t>
            </w:r>
            <w:r>
              <w:rPr>
                <w:rFonts w:ascii="Times New Roman;Times;serif" w:hAnsi="Times New Roman;Times;serif"/>
                <w:sz w:val="15"/>
              </w:rPr>
              <w:t>(4)</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3,027,328</w:t>
            </w:r>
          </w:p>
        </w:tc>
        <w:tc>
          <w:tcPr>
            <w:tcW w:w="326" w:type="dxa"/>
            <w:tcBorders/>
            <w:vAlign w:val="center"/>
          </w:tcPr>
          <w:p>
            <w:pPr>
              <w:pStyle w:val="TableContents"/>
              <w:bidi w:val="0"/>
              <w:spacing w:before="0" w:after="1"/>
              <w:ind w:left="0" w:right="0" w:hanging="0"/>
              <w:jc w:val="left"/>
              <w:rPr/>
            </w:pPr>
            <w:r>
              <w:rPr/>
              <w:t>​</w:t>
            </w:r>
          </w:p>
        </w:tc>
        <w:tc>
          <w:tcPr>
            <w:tcW w:w="10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6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Sofinnova Venture Partners XI, L.P.</w:t>
            </w:r>
            <w:r>
              <w:rPr>
                <w:rFonts w:ascii="Times New Roman;Times;serif" w:hAnsi="Times New Roman;Times;serif"/>
                <w:sz w:val="15"/>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1,696,752</w:t>
            </w:r>
          </w:p>
        </w:tc>
        <w:tc>
          <w:tcPr>
            <w:tcW w:w="326" w:type="dxa"/>
            <w:tcBorders/>
            <w:shd w:fill="CCEEFF" w:val="clear"/>
            <w:vAlign w:val="center"/>
          </w:tcPr>
          <w:p>
            <w:pPr>
              <w:pStyle w:val="TableContents"/>
              <w:bidi w:val="0"/>
              <w:spacing w:before="0" w:after="1"/>
              <w:ind w:left="0" w:right="0" w:hanging="0"/>
              <w:jc w:val="left"/>
              <w:rPr/>
            </w:pPr>
            <w:r>
              <w:rPr/>
              <w:t>​</w:t>
            </w:r>
          </w:p>
        </w:tc>
        <w:tc>
          <w:tcPr>
            <w:tcW w:w="10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6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Entities affiliated with Hillhouse Investment Management, Ltd.</w:t>
            </w:r>
            <w:r>
              <w:rPr>
                <w:rFonts w:ascii="Times New Roman;Times;serif" w:hAnsi="Times New Roman;Times;serif"/>
                <w:sz w:val="15"/>
              </w:rPr>
              <w:t>(6)</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4,484,672</w:t>
            </w:r>
          </w:p>
        </w:tc>
        <w:tc>
          <w:tcPr>
            <w:tcW w:w="326" w:type="dxa"/>
            <w:tcBorders/>
            <w:vAlign w:val="center"/>
          </w:tcPr>
          <w:p>
            <w:pPr>
              <w:pStyle w:val="TableContents"/>
              <w:bidi w:val="0"/>
              <w:spacing w:before="0" w:after="1"/>
              <w:ind w:left="0" w:right="0" w:hanging="0"/>
              <w:jc w:val="left"/>
              <w:rPr/>
            </w:pPr>
            <w:r>
              <w:rPr/>
              <w:t>​</w:t>
            </w:r>
          </w:p>
        </w:tc>
        <w:tc>
          <w:tcPr>
            <w:tcW w:w="10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w:t>
            </w:r>
          </w:p>
        </w:tc>
        <w:tc>
          <w:tcPr>
            <w:tcW w:w="6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Named Executive Officers and Directors:</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001" w:type="dxa"/>
            <w:tcBorders/>
            <w:shd w:fill="CCEEFF" w:val="clear"/>
            <w:vAlign w:val="center"/>
          </w:tcPr>
          <w:p>
            <w:pPr>
              <w:pStyle w:val="TableContents"/>
              <w:bidi w:val="0"/>
              <w:spacing w:before="0" w:after="1"/>
              <w:ind w:left="0" w:right="0" w:hanging="0"/>
              <w:jc w:val="right"/>
              <w:rPr/>
            </w:pPr>
            <w:r>
              <w:rPr/>
              <w:t>  </w:t>
            </w:r>
          </w:p>
        </w:tc>
        <w:tc>
          <w:tcPr>
            <w:tcW w:w="680" w:type="dxa"/>
            <w:tcBorders/>
            <w:shd w:fill="CCEEFF" w:val="clear"/>
            <w:vAlign w:val="center"/>
          </w:tcPr>
          <w:p>
            <w:pPr>
              <w:pStyle w:val="TableContents"/>
              <w:bidi w:val="0"/>
              <w:spacing w:before="0" w:after="1"/>
              <w:ind w:left="0" w:right="0" w:hanging="0"/>
              <w:jc w:val="left"/>
              <w:rPr/>
            </w:pPr>
            <w:r>
              <w:rPr/>
              <w:t>​</w:t>
            </w:r>
          </w:p>
        </w:tc>
      </w:tr>
      <w:tr>
        <w:trPr/>
        <w:tc>
          <w:tcPr>
            <w:tcW w:w="5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Zhengbin (Bing) Yao, Ph.D.</w:t>
            </w:r>
            <w:r>
              <w:rPr>
                <w:rFonts w:ascii="Times New Roman;Times;serif" w:hAnsi="Times New Roman;Times;serif"/>
                <w:sz w:val="15"/>
              </w:rPr>
              <w:t>(7)</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844,892</w:t>
            </w:r>
          </w:p>
        </w:tc>
        <w:tc>
          <w:tcPr>
            <w:tcW w:w="326" w:type="dxa"/>
            <w:tcBorders/>
            <w:vAlign w:val="center"/>
          </w:tcPr>
          <w:p>
            <w:pPr>
              <w:pStyle w:val="TableContents"/>
              <w:bidi w:val="0"/>
              <w:spacing w:before="0" w:after="1"/>
              <w:ind w:left="0" w:right="0" w:hanging="0"/>
              <w:jc w:val="left"/>
              <w:rPr/>
            </w:pPr>
            <w:r>
              <w:rPr/>
              <w:t>​</w:t>
            </w:r>
          </w:p>
        </w:tc>
        <w:tc>
          <w:tcPr>
            <w:tcW w:w="10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6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Stuart Lutzker, M.D., Ph.D.</w:t>
            </w:r>
            <w:r>
              <w:rPr>
                <w:rFonts w:ascii="Times New Roman;Times;serif" w:hAnsi="Times New Roman;Times;serif"/>
                <w:sz w:val="15"/>
              </w:rPr>
              <w:t>(8)</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235,678</w:t>
            </w:r>
          </w:p>
        </w:tc>
        <w:tc>
          <w:tcPr>
            <w:tcW w:w="326" w:type="dxa"/>
            <w:tcBorders/>
            <w:shd w:fill="CCEEFF" w:val="clear"/>
            <w:vAlign w:val="center"/>
          </w:tcPr>
          <w:p>
            <w:pPr>
              <w:pStyle w:val="TableContents"/>
              <w:bidi w:val="0"/>
              <w:spacing w:before="0" w:after="1"/>
              <w:ind w:left="0" w:right="0" w:hanging="0"/>
              <w:jc w:val="left"/>
              <w:rPr/>
            </w:pPr>
            <w:r>
              <w:rPr/>
              <w:t>​</w:t>
            </w:r>
          </w:p>
        </w:tc>
        <w:tc>
          <w:tcPr>
            <w:tcW w:w="10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1"/>
              <w:ind w:left="0" w:right="0" w:hanging="0"/>
              <w:jc w:val="left"/>
              <w:rPr/>
            </w:pPr>
            <w:r>
              <w:rPr/>
              <w:t>​</w:t>
            </w:r>
          </w:p>
        </w:tc>
      </w:tr>
      <w:tr>
        <w:trPr/>
        <w:tc>
          <w:tcPr>
            <w:tcW w:w="5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Robin LaChapelle</w:t>
            </w:r>
            <w:r>
              <w:rPr>
                <w:rFonts w:ascii="Times New Roman;Times;serif" w:hAnsi="Times New Roman;Times;serif"/>
                <w:sz w:val="15"/>
              </w:rPr>
              <w:t>(9)</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505,737</w:t>
            </w:r>
          </w:p>
        </w:tc>
        <w:tc>
          <w:tcPr>
            <w:tcW w:w="326" w:type="dxa"/>
            <w:tcBorders/>
            <w:vAlign w:val="center"/>
          </w:tcPr>
          <w:p>
            <w:pPr>
              <w:pStyle w:val="TableContents"/>
              <w:bidi w:val="0"/>
              <w:spacing w:before="0" w:after="1"/>
              <w:ind w:left="0" w:right="0" w:hanging="0"/>
              <w:jc w:val="left"/>
              <w:rPr/>
            </w:pPr>
            <w:r>
              <w:rPr/>
              <w:t>​</w:t>
            </w:r>
          </w:p>
        </w:tc>
        <w:tc>
          <w:tcPr>
            <w:tcW w:w="10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6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Carl L. Gordon, Ph.D., CFA</w:t>
            </w:r>
            <w:r>
              <w:rPr>
                <w:rFonts w:ascii="Times New Roman;Times;serif" w:hAnsi="Times New Roman;Times;serif"/>
                <w:sz w:val="15"/>
              </w:rPr>
              <w:t>(10)</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3,027,328</w:t>
            </w:r>
          </w:p>
        </w:tc>
        <w:tc>
          <w:tcPr>
            <w:tcW w:w="326" w:type="dxa"/>
            <w:tcBorders/>
            <w:shd w:fill="CCEEFF" w:val="clear"/>
            <w:vAlign w:val="center"/>
          </w:tcPr>
          <w:p>
            <w:pPr>
              <w:pStyle w:val="TableContents"/>
              <w:bidi w:val="0"/>
              <w:spacing w:before="0" w:after="1"/>
              <w:ind w:left="0" w:right="0" w:hanging="0"/>
              <w:jc w:val="left"/>
              <w:rPr/>
            </w:pPr>
            <w:r>
              <w:rPr/>
              <w:t>​</w:t>
            </w:r>
          </w:p>
        </w:tc>
        <w:tc>
          <w:tcPr>
            <w:tcW w:w="10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6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James Healy, M.D., Ph.D.</w:t>
            </w:r>
            <w:r>
              <w:rPr>
                <w:rFonts w:ascii="Times New Roman;Times;serif" w:hAnsi="Times New Roman;Times;serif"/>
                <w:sz w:val="15"/>
              </w:rPr>
              <w:t>(11)</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1,696,752</w:t>
            </w:r>
          </w:p>
        </w:tc>
        <w:tc>
          <w:tcPr>
            <w:tcW w:w="326" w:type="dxa"/>
            <w:tcBorders/>
            <w:vAlign w:val="center"/>
          </w:tcPr>
          <w:p>
            <w:pPr>
              <w:pStyle w:val="TableContents"/>
              <w:bidi w:val="0"/>
              <w:spacing w:before="0" w:after="1"/>
              <w:ind w:left="0" w:right="0" w:hanging="0"/>
              <w:jc w:val="left"/>
              <w:rPr/>
            </w:pPr>
            <w:r>
              <w:rPr/>
              <w:t>​</w:t>
            </w:r>
          </w:p>
        </w:tc>
        <w:tc>
          <w:tcPr>
            <w:tcW w:w="10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6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Bahija Jallal, Ph.D.</w:t>
            </w:r>
            <w:r>
              <w:rPr>
                <w:rFonts w:ascii="Times New Roman;Times;serif" w:hAnsi="Times New Roman;Times;serif"/>
                <w:sz w:val="15"/>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15,340</w:t>
            </w:r>
          </w:p>
        </w:tc>
        <w:tc>
          <w:tcPr>
            <w:tcW w:w="326" w:type="dxa"/>
            <w:tcBorders/>
            <w:shd w:fill="CCEEFF" w:val="clear"/>
            <w:vAlign w:val="center"/>
          </w:tcPr>
          <w:p>
            <w:pPr>
              <w:pStyle w:val="TableContents"/>
              <w:bidi w:val="0"/>
              <w:spacing w:before="0" w:after="1"/>
              <w:ind w:left="0" w:right="0" w:hanging="0"/>
              <w:jc w:val="left"/>
              <w:rPr/>
            </w:pPr>
            <w:r>
              <w:rPr/>
              <w:t>​</w:t>
            </w:r>
          </w:p>
        </w:tc>
        <w:tc>
          <w:tcPr>
            <w:tcW w:w="10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1"/>
              <w:ind w:left="0" w:right="0" w:hanging="0"/>
              <w:jc w:val="left"/>
              <w:rPr/>
            </w:pPr>
            <w:r>
              <w:rPr/>
              <w:t>​</w:t>
            </w:r>
          </w:p>
        </w:tc>
      </w:tr>
      <w:tr>
        <w:trPr/>
        <w:tc>
          <w:tcPr>
            <w:tcW w:w="5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Chris W. Nolet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80" w:type="dxa"/>
            <w:tcBorders/>
            <w:vAlign w:val="center"/>
          </w:tcPr>
          <w:p>
            <w:pPr>
              <w:pStyle w:val="TableContents"/>
              <w:bidi w:val="0"/>
              <w:spacing w:before="0" w:after="1"/>
              <w:ind w:left="0" w:right="0" w:hanging="0"/>
              <w:jc w:val="left"/>
              <w:rPr/>
            </w:pPr>
            <w:r>
              <w:rPr/>
              <w:t>​</w:t>
            </w:r>
          </w:p>
        </w:tc>
      </w:tr>
      <w:tr>
        <w:trPr/>
        <w:tc>
          <w:tcPr>
            <w:tcW w:w="5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 current executive officers and directors as a group (8 persons)</w:t>
            </w:r>
            <w:r>
              <w:rPr>
                <w:rFonts w:ascii="Times New Roman;Times;serif" w:hAnsi="Times New Roman;Times;serif"/>
                <w:sz w:val="15"/>
              </w:rPr>
              <w:t>(13)</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5,589,366</w:t>
            </w:r>
          </w:p>
        </w:tc>
        <w:tc>
          <w:tcPr>
            <w:tcW w:w="326" w:type="dxa"/>
            <w:tcBorders/>
            <w:shd w:fill="CCEEFF" w:val="clear"/>
            <w:vAlign w:val="center"/>
          </w:tcPr>
          <w:p>
            <w:pPr>
              <w:pStyle w:val="TableContents"/>
              <w:bidi w:val="0"/>
              <w:spacing w:before="0" w:after="1"/>
              <w:ind w:left="0" w:right="0" w:hanging="0"/>
              <w:jc w:val="left"/>
              <w:rPr/>
            </w:pPr>
            <w:r>
              <w:rPr/>
              <w:t>​</w:t>
            </w:r>
          </w:p>
        </w:tc>
        <w:tc>
          <w:tcPr>
            <w:tcW w:w="10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w:t>
            </w:r>
          </w:p>
        </w:tc>
        <w:tc>
          <w:tcPr>
            <w:tcW w:w="6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HorizontalLine"/>
        <w:pBdr>
          <w:bottom w:val="single" w:sz="6" w:space="0" w:color="000000"/>
        </w:pBdr>
        <w:bidi w:val="0"/>
        <w:spacing w:before="0" w:after="0"/>
        <w:ind w:left="0" w:right="7654" w:hanging="0"/>
        <w:jc w:val="left"/>
        <w:rPr/>
      </w:pPr>
      <w:r>
        <w:rPr/>
      </w:r>
    </w:p>
    <w:p>
      <w:pPr>
        <w:pStyle w:val="TextBody"/>
        <w:bidi w:val="0"/>
        <w:spacing w:before="0" w:after="120"/>
        <w:ind w:left="0" w:right="0" w:hanging="0"/>
        <w:jc w:val="left"/>
        <w:rPr>
          <w:rFonts w:ascii="Times New Roman;Times;serif" w:hAnsi="Times New Roman;Times;serif"/>
          <w:sz w:val="16"/>
        </w:rPr>
      </w:pPr>
      <w:r>
        <w:rPr>
          <w:rFonts w:ascii="Times New Roman;Times;serif" w:hAnsi="Times New Roman;Times;serif"/>
          <w:sz w:val="16"/>
        </w:rPr>
        <w:t>* Indicates beneficial ownership of less than 1%.</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Unless otherwise indicated, the address for each beneficial owner listed is c/o ArriVent BioPharma, Inc., 18 Campus Boulevard, Suite 100, Newtown Sq., PA 19073.</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Pursuant to a Schedule 13G filed on February 13, 2024, consists of 1,966,123 shares of common stock held by LAV Fund VI, L.P. LAV GP VI, L.P. is the general partner of LAV Fund VI, L.P. LAV Corporate VI GP, Ltd. is the general partner of LAV GP VI, L.P. Dr. Yi Shi is the managing partner of LAV Corporate VI GP, LTD. By virtue of these such relationships, LAV GP VI, L.P., LAV Corporate VI GP, Ltd. and Dr. Yi Shi may be deemed to have voting and investment power of the shares held by LAV Fund VI, L.P. Each of LAV GP VI, L.P., LAV Corporate VI GP, Ltd. and Dr. Yi Shi disclaims beneficial ownership of the shares held by LAV Fund VI, L.P., except to the extent of its or his pecuniary interest therein, if any. The address for each of LAV Fund VI, L.P., LAV GP VI, L.P., LAV Corporate VI GP, Ltd. and Dr. Yi Shi is Room 606-7, St. George’s Building, 2 Ice House Street, Central, Hong Kong.</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10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Consists of (i) 549,449 shares of common stock held by Octagon Investments Master Fund LP; (ii) 799,911 shares of common stock held by Octagon Private Opportunities Fund LP; and (iii) 394,476 shares of common stock held by Octagon Special Opportunities Fund LP. Octagon Capital Advisors LP is the Investment Manager of Octagon Investments Master Fund LP, Octagon Private Opportunities Fund LP and Octagon Special Opportunities Fund LP. Ting Jia, Ph.D. is the Founder, Managing Member and Chief Investment Officer of Octagon Capital Advisors LP. By virtue of such relationships, Dr. Jia and Octagon Capital Advisors LP may be deemed to have voting and investment power of the shares held by Octagon Investments Master Fund LP, Octagon Private Opportunities Fund LP and Octagon Special Opportunities Fund LP. Each of Dr. Jia and Octagon Capital Advisors LP disclaims beneficial ownership of the shares held by Octagon Investments Master Fund LP, Octagon Private Opportunities Fund LP and Octagon Special Opportunities Fund LP, except to the extent of his or its pecuniary interest therein, if any. The address for each of Dr. Jia, Octagon Capital Advisors, Octagon Investments Master Fund LP, Octagon Private Opportunities Fund LP, and Octagon Special Opportunities Fund LP is 654 Madison Avenue, 21st Floor, New York, NY 10065.</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w:t>
            </w:r>
          </w:p>
        </w:tc>
        <w:tc>
          <w:tcPr>
            <w:tcW w:w="100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Pursuant to a Schedule 13D filed on February 5, 2024, consists of (i) 1,513,664 shares of common stock held by OrbiMed Asia Partners IV, L.P. (OAP IV) and (ii) 1,513,664 shares of common stock held by OrbiMed Private Investments VIII, L.P. (OPI VIII). OrbiMed Asia GP IV, L.P. (Asia GP IV) is the general partner of OAP IV. OrbiMed Advisors IV Limited (Advisors IV) is the general partner of Asia GP VIII. OrbiMed Advisors LLC (OrbiMed Advisors) is the advisory company to OAP IV. OrbiMed Capital GP VIII LLC (GP VIII) is the general partner of OPI VIII. OrbiMed Advisors is the managing member of GP VIII. By virtue of such relationships, Asia GP IV and Advisors IV may be deemed to have voting and investment power over the shares held by OAP IV and as a result may be deemed to have beneficial ownership of such shares. By virtue of such relationships, GP VIII and OrbiMed Advisors may be deemed to have voting and investment power of the shares held by OPI VIII. OrbiMed Advisors exercises voting and investment power through a management committee comprised of Carl L. Gordon, Ph.D., CFA, Sven H. Borho, and W. Carter Neild, each of whom disclaims beneficial ownership of the shares held by OPI VIII and OAP IV. Carl L. Gordon, Ph.D., CFA, a member of OrbiMed Advisors LLC, is a member of our board of directors. Each of Asia GP IV, Advisors IV, and Dr. Gordon disclaims beneficial ownership of the shares held by OAP IV, except to the extent of its or his pecuniary interest therein, if any. Each of GP VIII, OrbiMed Advisors, and Dr. Gordon disclaims beneficial ownership of the shares held by OPI VIII, except to the extent of its or his pecuniary interest therein, if any. The address for each of these entities is c/o OrbiMed Advisors LLC, 601 Lexington Avenue, 54th Floor, New York, New York 10022.</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(5)</w:t>
            </w:r>
          </w:p>
        </w:tc>
        <w:tc>
          <w:tcPr>
            <w:tcW w:w="100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All 1,696,752 shares of common stock are held directly by Sofinnova Venture Partners XI, L.P. (SVP XI), except that Sofinnova Management XI, L.P. (SM XI LP), the general partner of SVP XI, may be deemed to have sole voting power, Sofinnova Management XI, L.L.C. (SM XI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160</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3"/>
        <w:gridCol w:w="10182"/>
      </w:tblGrid>
      <w:tr>
        <w:trPr/>
        <w:tc>
          <w:tcPr>
            <w:tcW w:w="23" w:type="dxa"/>
            <w:tcBorders/>
            <w:vAlign w:val="center"/>
          </w:tcPr>
          <w:p>
            <w:pPr>
              <w:pStyle w:val="TableContents"/>
              <w:bidi w:val="0"/>
              <w:spacing w:before="0" w:after="283"/>
              <w:jc w:val="left"/>
              <w:rPr>
                <w:sz w:val="4"/>
                <w:szCs w:val="4"/>
              </w:rPr>
            </w:pPr>
            <w:r>
              <w:rPr>
                <w:sz w:val="4"/>
                <w:szCs w:val="4"/>
              </w:rPr>
            </w:r>
          </w:p>
        </w:tc>
        <w:tc>
          <w:tcPr>
            <w:tcW w:w="10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LLC), the general partner of SM XI LP, may be deemed to have sole voting power, and Dr. James I. Healy (Healy) and Dr. Maha Katabi (Katabi), the managing members of SM XI LLC, may be deemed to have shared power to vote these shares. Each of SM XI LP, SM XI, LLC, Healy and Katabi disclaim beneficial ownership of the shares held by SVP XI, except to the extent of their respective pecuniary interest therein. The address for each of SVP XI, SM XI LP and SM XI LLC is 3000 Sand Hill Road, Building 4, Suite 250, Menlo Park, CA 94025.</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w:t>
            </w:r>
          </w:p>
        </w:tc>
        <w:tc>
          <w:tcPr>
            <w:tcW w:w="100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Consists of (i) 2,169,625 shares of common stock held by VSUM VI Holdings Limited (VSUM VI), (ii) 1,571,646 shares of common stock held by VSUM VIII Holdings Limited (VSUM VIII), (iii) 187,846 shares of common stock held by ARVT Holdings Limited (ARVT) and 555,555 shares of common stock held by HHLR Fund, L.P. (HHLR Fund). VSUM VI, VSUM VIII, ARVT and HHLR Fund are incorporated in the Cayman Islands. VSUM VI is wholly owned by Hillhouse Venture Fund V, L.P.; VSUM VIII is wholly owned by Hillhouse Healthcare Fund, L.P.; ARVT is wholly owned by Hillhouse Venture Fund VI, L.P. and HHLR Fund is solely managed by HHLR Advisors, Ltd. (HHLR). Hillhouse Investment Management, Ltd. (HIM) acts as the sole management company of each Hillhouse Venture Fund V, L.P., Hillhouse Healthcare Fund, L.P. and Hillhouse Venture Fund VI, L.P. HIM is deemed to be the beneficial owner of, and to control the voting power of, the shares held by VSUM VI, VSUM VIII and ARVT and HHLR is deemed to be the beneficial owner of, and to control the voting power of, the shares held by HHLR Fund. HIM and HHLR are under common control and share certain policies, personnel and resources. Mr. Lei Zhang may be deemed to have controlling power over HIM and HHLR. Mr. Lei Zhang disclaims beneficial ownership of all of the shares held by VSUM VI, VSUM VIII, ARVT, and HHLR Fund, except to the extent of his pecuniary interest therein, if any. The address for VSUM VI, VSUM VIII, ARVT, and HHLR Fund is Office #122. Windward 3 Building, Regatta Office Park, West Bay Road, Grand Cayman, E9, KY1-9006, Cayman Islands.</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w:t>
            </w:r>
          </w:p>
        </w:tc>
        <w:tc>
          <w:tcPr>
            <w:tcW w:w="100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Consists of (i) 218,661 shares of common stock held by ArriMed BioPharma, LLC, (ii) 394,477 shares of common stock held by The MAKS Yao Trust, and (iii) 231,754 shares of common stock underlying options that have vested and are exercisable as of March 22, 2024 or will vest and become exercisable within 60 days after such date held by Dr. Yao. Dr. Yao’s immediate family members are the beneficiaries of The MAKS Yao Trust. Dr. Yao has sole voting and investment control over the securities held by ArriMed BioPharma, LLC. Dr. Yao disclaims beneficial ownership of the shares held by The MAKS Yao Trust, except to the extent of his pecuniary interest therein, if any.</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(8)</w:t>
            </w:r>
          </w:p>
        </w:tc>
        <w:tc>
          <w:tcPr>
            <w:tcW w:w="100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Consists of 147,744 shares of common stock and 87,937 shares of common stock underlying options that have vested and are exercisable as of March 22, 2024 or will vest and become exercisable within 60 days after such date held by Dr. Lutzker.</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(9)</w:t>
            </w:r>
          </w:p>
        </w:tc>
        <w:tc>
          <w:tcPr>
            <w:tcW w:w="100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Consists of (i) 394,477 shares of common stock held by The MAKS Yao Trust, (ii) 97,017 shares of common stock held by Ms. LaChapelle and (iii) 14,243 shares of common stock underlying options that have vested and are exercisable as of March 22, 2024 or will vest and become exercisable within 60 days after such date held by Ms. LaChapelle. Ms. LaChapelle is the Trustee of The MAKS Yao Trust and may be deemed to have shared voting and investment power over the shares held by The MAKS Yao Trust. Ms. LaChapelle does not have a pecuniary interest in and disclaims beneficial ownership of the shares held by The MAKS Yao Trust.</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(10)</w:t>
            </w:r>
          </w:p>
        </w:tc>
        <w:tc>
          <w:tcPr>
            <w:tcW w:w="99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Consists of (i) 1,513,664 shares of common stock held by OAP IV and (ii) 1,513,664 shares of common stock held by OPI VIII. Dr. Gordon is a member of the management committee of OrbiMed Advisors and may be deemed to have shared voting and investment power over the shares held by OAP IV and OPI VIII. Dr. Gordon disclaims beneficial ownership of the shares held by OAP IV and OPI VIII, except to the extent of his pecuniary interest therein, if any.</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(11)</w:t>
            </w:r>
          </w:p>
        </w:tc>
        <w:tc>
          <w:tcPr>
            <w:tcW w:w="99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Consists of 1,696,752 shares of common stock held by Sofinnova Venture Partners XI, L.P. Dr. Healy is a managing member of Sofinnova Management XI, L.L.C. and may be deemed to have shared voting and investment power over the shares held by Sofinnova Venture Partners XI, L.P. Dr. Healy disclaims beneficial ownership of the shares held by Sofinnova Venture Partners XI, L.P., except to the extent of his pecuniary interest therein, if any.</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(12)</w:t>
            </w:r>
          </w:p>
        </w:tc>
        <w:tc>
          <w:tcPr>
            <w:tcW w:w="9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Consists of 15,430 shares of common stock underlying options that have vested and are exercisable as of March 22, 2024 or will vest and become exercisable within 60 days after such date held by Dr. Jallal.</w:t>
            </w:r>
          </w:p>
        </w:tc>
      </w:tr>
    </w:tbl>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(13)</w:t>
            </w:r>
          </w:p>
        </w:tc>
        <w:tc>
          <w:tcPr>
            <w:tcW w:w="9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See notes 9 to 14. Also includes 7,387 shares of common stock held by Mr. Kastenmayer, who is an executive officer but not a named executive officer.</w:t>
            </w:r>
          </w:p>
        </w:tc>
      </w:tr>
    </w:tbl>
    <w:p>
      <w:pPr>
        <w:pStyle w:val="TextBody"/>
        <w:bidi w:val="0"/>
        <w:spacing w:before="360" w:after="0"/>
        <w:ind w:left="0" w:right="0" w:hanging="0"/>
        <w:jc w:val="left"/>
        <w:rPr>
          <w:rFonts w:ascii="Times New Roman;Times;serif" w:hAnsi="Times New Roman;Times;serif"/>
          <w:b/>
          <w:sz w:val="20"/>
        </w:rPr>
      </w:pPr>
      <w:r>
        <w:rPr>
          <w:rFonts w:ascii="Times New Roman;Times;serif" w:hAnsi="Times New Roman;Times;serif"/>
          <w:b/>
          <w:sz w:val="20"/>
        </w:rPr>
        <w:t>Securities Authorized for Issuance under Equity Incentive Plans</w:t>
      </w:r>
    </w:p>
    <w:p>
      <w:pPr>
        <w:pStyle w:val="TextBody"/>
        <w:bidi w:val="0"/>
        <w:spacing w:before="240" w:after="0"/>
        <w:ind w:left="0" w:right="0" w:hanging="0"/>
        <w:jc w:val="left"/>
        <w:rPr>
          <w:rFonts w:ascii="Times New Roman;Times;serif" w:hAnsi="Times New Roman;Times;serif"/>
          <w:b/>
          <w:i/>
          <w:sz w:val="20"/>
        </w:rPr>
      </w:pPr>
      <w:r>
        <w:rPr>
          <w:rFonts w:ascii="Times New Roman;Times;serif" w:hAnsi="Times New Roman;Times;serif"/>
          <w:b/>
          <w:i/>
          <w:sz w:val="20"/>
        </w:rPr>
        <w:t>Equity Compensation Plan Information</w:t>
      </w:r>
    </w:p>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provides certain aggregate information with respect to all of the Company’s equity compensation plans in effect as of December 31, 2023.</w:t>
      </w:r>
    </w:p>
    <w:p>
      <w:pPr>
        <w:pStyle w:val="TextBody"/>
        <w:bidi w:val="0"/>
        <w:spacing w:before="12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161</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559" w:type="dxa"/>
        <w:jc w:val="center"/>
        <w:tblInd w:w="0" w:type="dxa"/>
        <w:tblLayout w:type="fixed"/>
        <w:tblCellMar>
          <w:top w:w="0" w:type="dxa"/>
          <w:left w:w="0" w:type="dxa"/>
          <w:bottom w:w="0" w:type="dxa"/>
          <w:right w:w="0" w:type="dxa"/>
        </w:tblCellMar>
      </w:tblPr>
      <w:tblGrid>
        <w:gridCol w:w="5056"/>
        <w:gridCol w:w="146"/>
        <w:gridCol w:w="158"/>
        <w:gridCol w:w="1012"/>
        <w:gridCol w:w="146"/>
        <w:gridCol w:w="406"/>
        <w:gridCol w:w="899"/>
        <w:gridCol w:w="146"/>
        <w:gridCol w:w="267"/>
        <w:gridCol w:w="1323"/>
      </w:tblGrid>
      <w:tr>
        <w:trPr/>
        <w:tc>
          <w:tcPr>
            <w:tcW w:w="505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92710" cy="29210"/>
                      <wp:effectExtent l="0" t="0" r="0" b="0"/>
                      <wp:wrapNone/>
                      <wp:docPr id="226" name="Frame199"/>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00330" cy="29210"/>
                      <wp:effectExtent l="0" t="0" r="0" b="0"/>
                      <wp:wrapNone/>
                      <wp:docPr id="227" name="Frame200"/>
                      <a:graphic xmlns:a="http://schemas.openxmlformats.org/drawingml/2006/main">
                        <a:graphicData uri="http://schemas.microsoft.com/office/word/2010/wordprocessingShape">
                          <wps:wsp>
                            <wps:cNvSpPr txBox="1"/>
                            <wps:spPr>
                              <a:xfrm>
                                <a:off x="0" y="0"/>
                                <a:ext cx="1003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2620" cy="29210"/>
                      <wp:effectExtent l="0" t="0" r="0" b="0"/>
                      <wp:wrapNone/>
                      <wp:docPr id="228" name="Frame201"/>
                      <a:graphic xmlns:a="http://schemas.openxmlformats.org/drawingml/2006/main">
                        <a:graphicData uri="http://schemas.microsoft.com/office/word/2010/wordprocessingShape">
                          <wps:wsp>
                            <wps:cNvSpPr txBox="1"/>
                            <wps:spPr>
                              <a:xfrm>
                                <a:off x="0" y="0"/>
                                <a:ext cx="6426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92710" cy="29210"/>
                      <wp:effectExtent l="0" t="0" r="0" b="0"/>
                      <wp:wrapNone/>
                      <wp:docPr id="229" name="Frame202"/>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57810" cy="29210"/>
                      <wp:effectExtent l="0" t="0" r="0" b="0"/>
                      <wp:wrapNone/>
                      <wp:docPr id="230" name="Frame203"/>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570865" cy="29210"/>
                      <wp:effectExtent l="0" t="0" r="0" b="0"/>
                      <wp:wrapNone/>
                      <wp:docPr id="231" name="Frame204"/>
                      <a:graphic xmlns:a="http://schemas.openxmlformats.org/drawingml/2006/main">
                        <a:graphicData uri="http://schemas.microsoft.com/office/word/2010/wordprocessingShape">
                          <wps:wsp>
                            <wps:cNvSpPr txBox="1"/>
                            <wps:spPr>
                              <a:xfrm>
                                <a:off x="0" y="0"/>
                                <a:ext cx="5708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92710" cy="29210"/>
                      <wp:effectExtent l="0" t="0" r="0" b="0"/>
                      <wp:wrapNone/>
                      <wp:docPr id="232" name="Frame205"/>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69545" cy="29210"/>
                      <wp:effectExtent l="0" t="0" r="0" b="0"/>
                      <wp:wrapNone/>
                      <wp:docPr id="233" name="Frame206"/>
                      <a:graphic xmlns:a="http://schemas.openxmlformats.org/drawingml/2006/main">
                        <a:graphicData uri="http://schemas.microsoft.com/office/word/2010/wordprocessingShape">
                          <wps:wsp>
                            <wps:cNvSpPr txBox="1"/>
                            <wps:spPr>
                              <a:xfrm>
                                <a:off x="0" y="0"/>
                                <a:ext cx="1695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840105" cy="29210"/>
                      <wp:effectExtent l="0" t="0" r="0" b="0"/>
                      <wp:wrapNone/>
                      <wp:docPr id="234" name="Frame207"/>
                      <a:graphic xmlns:a="http://schemas.openxmlformats.org/drawingml/2006/main">
                        <a:graphicData uri="http://schemas.microsoft.com/office/word/2010/wordprocessingShape">
                          <wps:wsp>
                            <wps:cNvSpPr txBox="1"/>
                            <wps:spPr>
                              <a:xfrm>
                                <a:off x="0" y="0"/>
                                <a:ext cx="8401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5056" w:type="dxa"/>
            <w:tcBorders/>
            <w:shd w:fill="FFFFFF" w:val="clear"/>
            <w:vAlign w:val="center"/>
          </w:tcPr>
          <w:p>
            <w:pPr>
              <w:pStyle w:val="TableContents"/>
              <w:bidi w:val="0"/>
              <w:spacing w:before="0" w:after="0"/>
              <w:ind w:left="0" w:right="0" w:hanging="0"/>
              <w:jc w:val="center"/>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11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t>
            </w:r>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w:t>
            </w:r>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5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w:t>
            </w:r>
          </w:p>
        </w:tc>
      </w:tr>
      <w:tr>
        <w:trPr/>
        <w:tc>
          <w:tcPr>
            <w:tcW w:w="505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Plan category</w:t>
            </w:r>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70" w:type="dxa"/>
            <w:gridSpan w:val="2"/>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to be</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issued upon</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of</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warrants</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rights(1)</w:t>
            </w:r>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05" w:type="dxa"/>
            <w:gridSpan w:val="2"/>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exercise</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of</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warrants</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rights</w:t>
            </w:r>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590" w:type="dxa"/>
            <w:gridSpan w:val="2"/>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 available</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future issuance</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 equity</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 plans</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(excluding</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reflected</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column (a))(2)</w:t>
            </w:r>
          </w:p>
        </w:tc>
      </w:tr>
      <w:tr>
        <w:trPr/>
        <w:tc>
          <w:tcPr>
            <w:tcW w:w="5056" w:type="dxa"/>
            <w:tcBorders>
              <w:top w:val="single" w:sz="2" w:space="0" w:color="000000"/>
            </w:tcBorders>
            <w:shd w:fill="CFF0FC" w:val="clear"/>
            <w:tcMar>
              <w:top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20"/>
              </w:rPr>
              <w:t>Equity compensation plans approved by security holders</w:t>
            </w:r>
            <w:r>
              <w:rPr>
                <w:rFonts w:ascii="Times New Roman;Times;serif" w:hAnsi="Times New Roman;Times;serif"/>
                <w:sz w:val="13"/>
              </w:rPr>
              <w:t>(1)</w:t>
            </w:r>
          </w:p>
        </w:tc>
        <w:tc>
          <w:tcPr>
            <w:tcW w:w="146" w:type="dxa"/>
            <w:tcBorders/>
            <w:shd w:fill="CFF0FC" w:val="clear"/>
            <w:vAlign w:val="center"/>
          </w:tcPr>
          <w:p>
            <w:pPr>
              <w:pStyle w:val="TableContents"/>
              <w:bidi w:val="0"/>
              <w:spacing w:before="0" w:after="0"/>
              <w:ind w:left="0" w:right="0" w:hanging="0"/>
              <w:jc w:val="left"/>
              <w:rPr/>
            </w:pPr>
            <w:r>
              <w:rPr/>
              <w:t> </w:t>
            </w:r>
          </w:p>
        </w:tc>
        <w:tc>
          <w:tcPr>
            <w:tcW w:w="158" w:type="dxa"/>
            <w:tcBorders>
              <w:top w:val="single" w:sz="2" w:space="0" w:color="000000"/>
            </w:tcBorders>
            <w:shd w:fill="CFF0FC" w:val="clear"/>
            <w:tcMar>
              <w:top w:w="28" w:type="dxa"/>
            </w:tcMar>
            <w:vAlign w:val="center"/>
          </w:tcPr>
          <w:p>
            <w:pPr>
              <w:pStyle w:val="TableContents"/>
              <w:bidi w:val="0"/>
              <w:spacing w:before="0" w:after="0"/>
              <w:ind w:left="0" w:right="0" w:hanging="0"/>
              <w:jc w:val="left"/>
              <w:rPr/>
            </w:pPr>
            <w:r>
              <w:rPr/>
              <w:t> </w:t>
            </w:r>
          </w:p>
        </w:tc>
        <w:tc>
          <w:tcPr>
            <w:tcW w:w="1012" w:type="dxa"/>
            <w:tcBorders>
              <w:top w:val="single" w:sz="2" w:space="0" w:color="000000"/>
            </w:tcBorders>
            <w:shd w:fill="CFF0FC"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1,693,156</w:t>
            </w:r>
          </w:p>
        </w:tc>
        <w:tc>
          <w:tcPr>
            <w:tcW w:w="146" w:type="dxa"/>
            <w:tcBorders/>
            <w:shd w:fill="CFF0FC" w:val="clear"/>
            <w:vAlign w:val="center"/>
          </w:tcPr>
          <w:p>
            <w:pPr>
              <w:pStyle w:val="TableContents"/>
              <w:bidi w:val="0"/>
              <w:spacing w:before="0" w:after="0"/>
              <w:ind w:left="0" w:right="0" w:hanging="0"/>
              <w:jc w:val="left"/>
              <w:rPr/>
            </w:pPr>
            <w:r>
              <w:rPr/>
              <w:t> </w:t>
            </w:r>
          </w:p>
        </w:tc>
        <w:tc>
          <w:tcPr>
            <w:tcW w:w="406" w:type="dxa"/>
            <w:tcBorders>
              <w:top w:val="single" w:sz="2" w:space="0" w:color="000000"/>
            </w:tcBorders>
            <w:shd w:fill="CFF0FC"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top w:val="single" w:sz="2" w:space="0" w:color="000000"/>
            </w:tcBorders>
            <w:shd w:fill="CFF0FC"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w:t>
            </w:r>
          </w:p>
        </w:tc>
        <w:tc>
          <w:tcPr>
            <w:tcW w:w="146" w:type="dxa"/>
            <w:tcBorders/>
            <w:shd w:fill="CFF0FC" w:val="clear"/>
            <w:vAlign w:val="center"/>
          </w:tcPr>
          <w:p>
            <w:pPr>
              <w:pStyle w:val="TableContents"/>
              <w:bidi w:val="0"/>
              <w:spacing w:before="0" w:after="0"/>
              <w:ind w:left="0" w:right="0" w:hanging="0"/>
              <w:jc w:val="left"/>
              <w:rPr/>
            </w:pPr>
            <w:r>
              <w:rPr/>
              <w:t> </w:t>
            </w:r>
          </w:p>
        </w:tc>
        <w:tc>
          <w:tcPr>
            <w:tcW w:w="267" w:type="dxa"/>
            <w:tcBorders>
              <w:top w:val="single" w:sz="2" w:space="0" w:color="000000"/>
            </w:tcBorders>
            <w:shd w:fill="CFF0FC" w:val="clear"/>
            <w:tcMar>
              <w:top w:w="28" w:type="dxa"/>
            </w:tcMar>
            <w:vAlign w:val="center"/>
          </w:tcPr>
          <w:p>
            <w:pPr>
              <w:pStyle w:val="TableContents"/>
              <w:bidi w:val="0"/>
              <w:spacing w:before="0" w:after="0"/>
              <w:ind w:left="0" w:right="0" w:hanging="0"/>
              <w:jc w:val="left"/>
              <w:rPr/>
            </w:pPr>
            <w:r>
              <w:rPr/>
              <w:t> </w:t>
            </w:r>
          </w:p>
        </w:tc>
        <w:tc>
          <w:tcPr>
            <w:tcW w:w="1323" w:type="dxa"/>
            <w:tcBorders>
              <w:top w:val="single" w:sz="2" w:space="0" w:color="000000"/>
            </w:tcBorders>
            <w:shd w:fill="CFF0FC"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28,250</w:t>
            </w:r>
          </w:p>
        </w:tc>
      </w:tr>
      <w:tr>
        <w:trPr/>
        <w:tc>
          <w:tcPr>
            <w:tcW w:w="50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compensation plans not approved by security holders</w:t>
            </w:r>
          </w:p>
        </w:tc>
        <w:tc>
          <w:tcPr>
            <w:tcW w:w="146"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1012" w:type="dxa"/>
            <w:tcBorders/>
            <w:shd w:fill="FFFFFF" w:val="clear"/>
            <w:vAlign w:val="center"/>
          </w:tcPr>
          <w:p>
            <w:pPr>
              <w:pStyle w:val="TableContents"/>
              <w:bidi w:val="0"/>
              <w:spacing w:before="0" w:after="0"/>
              <w:ind w:left="0" w:right="0" w:hanging="0"/>
              <w:jc w:val="right"/>
              <w:rPr/>
            </w:pPr>
            <w:r>
              <w:rPr/>
              <w:t>—</w:t>
            </w:r>
          </w:p>
        </w:tc>
        <w:tc>
          <w:tcPr>
            <w:tcW w:w="146" w:type="dxa"/>
            <w:tcBorders/>
            <w:shd w:fill="FFFFFF" w:val="clear"/>
            <w:vAlign w:val="center"/>
          </w:tcPr>
          <w:p>
            <w:pPr>
              <w:pStyle w:val="TableContents"/>
              <w:bidi w:val="0"/>
              <w:spacing w:before="0" w:after="0"/>
              <w:ind w:left="0" w:right="0" w:hanging="0"/>
              <w:jc w:val="left"/>
              <w:rPr/>
            </w:pPr>
            <w:r>
              <w:rPr/>
              <w:t> </w:t>
            </w:r>
          </w:p>
        </w:tc>
        <w:tc>
          <w:tcPr>
            <w:tcW w:w="406" w:type="dxa"/>
            <w:tcBorders/>
            <w:shd w:fill="FFFFFF" w:val="clear"/>
            <w:vAlign w:val="center"/>
          </w:tcPr>
          <w:p>
            <w:pPr>
              <w:pStyle w:val="TableContents"/>
              <w:bidi w:val="0"/>
              <w:spacing w:before="0" w:after="0"/>
              <w:ind w:left="0" w:right="0" w:hanging="0"/>
              <w:jc w:val="left"/>
              <w:rPr/>
            </w:pPr>
            <w:r>
              <w:rPr/>
              <w:t> </w:t>
            </w:r>
          </w:p>
        </w:tc>
        <w:tc>
          <w:tcPr>
            <w:tcW w:w="899" w:type="dxa"/>
            <w:tcBorders/>
            <w:shd w:fill="FFFFFF" w:val="clear"/>
            <w:vAlign w:val="center"/>
          </w:tcPr>
          <w:p>
            <w:pPr>
              <w:pStyle w:val="TableContents"/>
              <w:bidi w:val="0"/>
              <w:spacing w:before="0" w:after="0"/>
              <w:ind w:left="0" w:right="0" w:hanging="0"/>
              <w:jc w:val="right"/>
              <w:rPr/>
            </w:pPr>
            <w:r>
              <w:rPr/>
              <w:t>—</w:t>
            </w:r>
          </w:p>
        </w:tc>
        <w:tc>
          <w:tcPr>
            <w:tcW w:w="146" w:type="dxa"/>
            <w:tcBorders/>
            <w:shd w:fill="FFFFFF" w:val="clear"/>
            <w:vAlign w:val="center"/>
          </w:tcPr>
          <w:p>
            <w:pPr>
              <w:pStyle w:val="TableContents"/>
              <w:bidi w:val="0"/>
              <w:spacing w:before="0" w:after="0"/>
              <w:ind w:left="0" w:right="0" w:hanging="0"/>
              <w:jc w:val="left"/>
              <w:rPr/>
            </w:pPr>
            <w:r>
              <w:rPr/>
              <w:t> </w:t>
            </w:r>
          </w:p>
        </w:tc>
        <w:tc>
          <w:tcPr>
            <w:tcW w:w="267" w:type="dxa"/>
            <w:tcBorders/>
            <w:shd w:fill="FFFFFF" w:val="clear"/>
            <w:vAlign w:val="center"/>
          </w:tcPr>
          <w:p>
            <w:pPr>
              <w:pStyle w:val="TableContents"/>
              <w:bidi w:val="0"/>
              <w:spacing w:before="0" w:after="0"/>
              <w:ind w:left="0" w:right="0" w:hanging="0"/>
              <w:jc w:val="left"/>
              <w:rPr/>
            </w:pPr>
            <w:r>
              <w:rPr/>
              <w:t> </w:t>
            </w:r>
          </w:p>
        </w:tc>
        <w:tc>
          <w:tcPr>
            <w:tcW w:w="1323" w:type="dxa"/>
            <w:tcBorders/>
            <w:shd w:fill="FFFFFF" w:val="clear"/>
            <w:vAlign w:val="center"/>
          </w:tcPr>
          <w:p>
            <w:pPr>
              <w:pStyle w:val="TableContents"/>
              <w:bidi w:val="0"/>
              <w:spacing w:before="0" w:after="0"/>
              <w:ind w:left="0" w:right="0" w:hanging="0"/>
              <w:jc w:val="right"/>
              <w:rPr/>
            </w:pPr>
            <w:r>
              <w:rPr/>
              <w:t>—</w:t>
            </w:r>
          </w:p>
        </w:tc>
      </w:tr>
      <w:tr>
        <w:trPr/>
        <w:tc>
          <w:tcPr>
            <w:tcW w:w="5056" w:type="dxa"/>
            <w:tcBorders/>
            <w:shd w:fill="CFF0FC"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46" w:type="dxa"/>
            <w:tcBorders/>
            <w:shd w:fill="CFF0FC" w:val="clear"/>
            <w:vAlign w:val="center"/>
          </w:tcPr>
          <w:p>
            <w:pPr>
              <w:pStyle w:val="TableContents"/>
              <w:bidi w:val="0"/>
              <w:spacing w:before="0" w:after="0"/>
              <w:ind w:left="0" w:right="0" w:hanging="0"/>
              <w:jc w:val="left"/>
              <w:rPr/>
            </w:pPr>
            <w:r>
              <w:rPr/>
              <w:t> </w:t>
            </w:r>
          </w:p>
        </w:tc>
        <w:tc>
          <w:tcPr>
            <w:tcW w:w="158" w:type="dxa"/>
            <w:tcBorders/>
            <w:shd w:fill="CFF0FC" w:val="clear"/>
            <w:vAlign w:val="center"/>
          </w:tcPr>
          <w:p>
            <w:pPr>
              <w:pStyle w:val="TableContents"/>
              <w:bidi w:val="0"/>
              <w:spacing w:before="0" w:after="0"/>
              <w:ind w:left="0" w:right="0" w:hanging="0"/>
              <w:jc w:val="left"/>
              <w:rPr/>
            </w:pPr>
            <w:r>
              <w:rPr/>
              <w:t> </w:t>
            </w:r>
          </w:p>
        </w:tc>
        <w:tc>
          <w:tcPr>
            <w:tcW w:w="1012" w:type="dxa"/>
            <w:tcBorders/>
            <w:shd w:fill="CFF0FC"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1,683,156</w:t>
            </w:r>
          </w:p>
        </w:tc>
        <w:tc>
          <w:tcPr>
            <w:tcW w:w="146" w:type="dxa"/>
            <w:tcBorders/>
            <w:shd w:fill="CFF0FC" w:val="clear"/>
            <w:vAlign w:val="center"/>
          </w:tcPr>
          <w:p>
            <w:pPr>
              <w:pStyle w:val="TableContents"/>
              <w:bidi w:val="0"/>
              <w:spacing w:before="0" w:after="0"/>
              <w:ind w:left="0" w:right="0" w:hanging="0"/>
              <w:jc w:val="left"/>
              <w:rPr/>
            </w:pPr>
            <w:r>
              <w:rPr/>
              <w:t> </w:t>
            </w:r>
          </w:p>
        </w:tc>
        <w:tc>
          <w:tcPr>
            <w:tcW w:w="406" w:type="dxa"/>
            <w:tcBorders/>
            <w:shd w:fill="CFF0FC"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FF0FC"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w:t>
            </w:r>
          </w:p>
        </w:tc>
        <w:tc>
          <w:tcPr>
            <w:tcW w:w="146" w:type="dxa"/>
            <w:tcBorders/>
            <w:shd w:fill="CFF0FC" w:val="clear"/>
            <w:vAlign w:val="center"/>
          </w:tcPr>
          <w:p>
            <w:pPr>
              <w:pStyle w:val="TableContents"/>
              <w:bidi w:val="0"/>
              <w:spacing w:before="0" w:after="0"/>
              <w:ind w:left="0" w:right="0" w:hanging="0"/>
              <w:jc w:val="left"/>
              <w:rPr/>
            </w:pPr>
            <w:r>
              <w:rPr/>
              <w:t> </w:t>
            </w:r>
          </w:p>
        </w:tc>
        <w:tc>
          <w:tcPr>
            <w:tcW w:w="267" w:type="dxa"/>
            <w:tcBorders/>
            <w:shd w:fill="CFF0FC" w:val="clear"/>
            <w:vAlign w:val="center"/>
          </w:tcPr>
          <w:p>
            <w:pPr>
              <w:pStyle w:val="TableContents"/>
              <w:bidi w:val="0"/>
              <w:spacing w:before="0" w:after="0"/>
              <w:ind w:left="0" w:right="0" w:hanging="0"/>
              <w:jc w:val="left"/>
              <w:rPr/>
            </w:pPr>
            <w:r>
              <w:rPr/>
              <w:t> </w:t>
            </w:r>
          </w:p>
        </w:tc>
        <w:tc>
          <w:tcPr>
            <w:tcW w:w="1323" w:type="dxa"/>
            <w:tcBorders/>
            <w:shd w:fill="CFF0FC"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28,250</w:t>
            </w:r>
          </w:p>
        </w:tc>
      </w:tr>
    </w:tbl>
    <w:p>
      <w:pPr>
        <w:pStyle w:val="TextBody"/>
        <w:bidi w:val="0"/>
        <w:spacing w:before="0" w:after="0"/>
        <w:ind w:left="0" w:right="0" w:hanging="0"/>
        <w:jc w:val="left"/>
        <w:rPr/>
      </w:pPr>
      <w:r>
        <w:rPr/>
        <w:t>​</w:t>
      </w:r>
    </w:p>
    <w:p>
      <w:pPr>
        <w:pStyle w:val="TextBody"/>
        <w:bidi w:val="0"/>
        <w:spacing w:before="40" w:after="0"/>
        <w:ind w:left="0" w:right="0" w:hanging="0"/>
        <w:jc w:val="left"/>
        <w:rPr>
          <w:rFonts w:ascii="Times New Roman;Times;serif" w:hAnsi="Times New Roman;Times;serif"/>
          <w:sz w:val="14"/>
        </w:rPr>
      </w:pPr>
      <w:r>
        <w:rPr>
          <w:rFonts w:ascii="Times New Roman;Times;serif" w:hAnsi="Times New Roman;Times;serif"/>
          <w:sz w:val="11"/>
        </w:rPr>
        <w:t>___________________________________</w:t>
      </w:r>
      <w:r>
        <w:rPr>
          <w:rFonts w:ascii="Times New Roman;Times;serif" w:hAnsi="Times New Roman;Times;serif"/>
          <w:sz w:val="14"/>
        </w:rPr>
        <w:t>​</w:t>
      </w:r>
    </w:p>
    <w:tbl>
      <w:tblPr>
        <w:tblW w:w="9808" w:type="dxa"/>
        <w:jc w:val="left"/>
        <w:tblInd w:w="0" w:type="dxa"/>
        <w:tblLayout w:type="fixed"/>
        <w:tblCellMar>
          <w:top w:w="0" w:type="dxa"/>
          <w:left w:w="0" w:type="dxa"/>
          <w:bottom w:w="0" w:type="dxa"/>
          <w:right w:w="0" w:type="dxa"/>
        </w:tblCellMar>
      </w:tblPr>
      <w:tblGrid>
        <w:gridCol w:w="161"/>
        <w:gridCol w:w="226"/>
        <w:gridCol w:w="9421"/>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before="0" w:after="283"/>
              <w:ind w:left="0" w:right="0" w:hanging="0"/>
              <w:jc w:val="left"/>
              <w:rPr>
                <w:sz w:val="4"/>
                <w:szCs w:val="4"/>
              </w:rPr>
            </w:pPr>
            <w:r>
              <w:rPr>
                <w:sz w:val="4"/>
                <w:szCs w:val="4"/>
              </w:rPr>
            </w:r>
          </w:p>
        </w:tc>
        <w:tc>
          <w:tcPr>
            <w:tcW w:w="942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40" w:after="0"/>
              <w:ind w:left="0" w:right="0" w:hanging="0"/>
              <w:jc w:val="left"/>
              <w:rPr/>
            </w:pPr>
            <w:r>
              <w:rPr/>
              <w:t> </w:t>
            </w:r>
          </w:p>
        </w:tc>
        <w:tc>
          <w:tcPr>
            <w:tcW w:w="226" w:type="dxa"/>
            <w:tcBorders/>
            <w:vAlign w:val="center"/>
          </w:tcPr>
          <w:p>
            <w:pPr>
              <w:pStyle w:val="TableContents"/>
              <w:bidi w:val="0"/>
              <w:spacing w:before="40" w:after="0"/>
              <w:ind w:left="0" w:right="0" w:hanging="0"/>
              <w:jc w:val="left"/>
              <w:rPr>
                <w:rFonts w:ascii="Times New Roman;Times;serif" w:hAnsi="Times New Roman;Times;serif"/>
                <w:sz w:val="14"/>
              </w:rPr>
            </w:pPr>
            <w:r>
              <w:rPr>
                <w:rFonts w:ascii="Times New Roman;Times;serif" w:hAnsi="Times New Roman;Times;serif"/>
                <w:sz w:val="11"/>
              </w:rPr>
              <w:t>(1)</w:t>
            </w:r>
            <w:r>
              <w:rPr>
                <w:rFonts w:ascii="Times New Roman;Times;serif" w:hAnsi="Times New Roman;Times;serif"/>
                <w:sz w:val="14"/>
              </w:rPr>
              <w:t>​</w:t>
            </w:r>
          </w:p>
        </w:tc>
        <w:tc>
          <w:tcPr>
            <w:tcW w:w="9421" w:type="dxa"/>
            <w:tcBorders/>
            <w:vAlign w:val="center"/>
          </w:tcPr>
          <w:p>
            <w:pPr>
              <w:pStyle w:val="TableContents"/>
              <w:bidi w:val="0"/>
              <w:spacing w:before="40" w:after="0"/>
              <w:ind w:left="0" w:right="0" w:hanging="0"/>
              <w:jc w:val="left"/>
              <w:rPr>
                <w:rFonts w:ascii="Times New Roman;Times;serif" w:hAnsi="Times New Roman;Times;serif"/>
                <w:sz w:val="18"/>
              </w:rPr>
            </w:pPr>
            <w:r>
              <w:rPr>
                <w:rFonts w:ascii="Times New Roman;Times;serif" w:hAnsi="Times New Roman;Times;serif"/>
                <w:sz w:val="18"/>
              </w:rPr>
              <w:t>Consists of options to purchase 1,683,156 shares of our common stock outstanding under the 2021 Plan as of December 31, 2023.</w:t>
            </w:r>
          </w:p>
        </w:tc>
      </w:tr>
      <w:tr>
        <w:trPr/>
        <w:tc>
          <w:tcPr>
            <w:tcW w:w="161" w:type="dxa"/>
            <w:tcBorders/>
            <w:vAlign w:val="center"/>
          </w:tcPr>
          <w:p>
            <w:pPr>
              <w:pStyle w:val="TableContents"/>
              <w:bidi w:val="0"/>
              <w:spacing w:before="60" w:after="0"/>
              <w:ind w:left="0" w:right="0" w:hanging="0"/>
              <w:jc w:val="left"/>
              <w:rPr/>
            </w:pPr>
            <w:r>
              <w:rPr/>
              <w:t> </w:t>
            </w:r>
          </w:p>
        </w:tc>
        <w:tc>
          <w:tcPr>
            <w:tcW w:w="226" w:type="dxa"/>
            <w:tcBorders/>
            <w:vAlign w:val="center"/>
          </w:tcPr>
          <w:p>
            <w:pPr>
              <w:pStyle w:val="TableContents"/>
              <w:bidi w:val="0"/>
              <w:spacing w:before="60" w:after="0"/>
              <w:ind w:left="0" w:right="0" w:hanging="0"/>
              <w:jc w:val="left"/>
              <w:rPr>
                <w:rFonts w:ascii="Times New Roman;Times;serif" w:hAnsi="Times New Roman;Times;serif"/>
                <w:sz w:val="14"/>
              </w:rPr>
            </w:pPr>
            <w:r>
              <w:rPr>
                <w:rFonts w:ascii="Times New Roman;Times;serif" w:hAnsi="Times New Roman;Times;serif"/>
                <w:sz w:val="11"/>
              </w:rPr>
              <w:t>(2)</w:t>
            </w:r>
            <w:r>
              <w:rPr>
                <w:rFonts w:ascii="Times New Roman;Times;serif" w:hAnsi="Times New Roman;Times;serif"/>
                <w:sz w:val="14"/>
              </w:rPr>
              <w:t>​</w:t>
            </w:r>
          </w:p>
        </w:tc>
        <w:tc>
          <w:tcPr>
            <w:tcW w:w="9421" w:type="dxa"/>
            <w:tcBorders/>
            <w:vAlign w:val="center"/>
          </w:tcPr>
          <w:p>
            <w:pPr>
              <w:pStyle w:val="TableContents"/>
              <w:bidi w:val="0"/>
              <w:spacing w:before="60" w:after="0"/>
              <w:ind w:left="0" w:right="0" w:hanging="0"/>
              <w:jc w:val="left"/>
              <w:rPr>
                <w:rFonts w:ascii="Times New Roman;Times;serif" w:hAnsi="Times New Roman;Times;serif"/>
                <w:sz w:val="18"/>
              </w:rPr>
            </w:pPr>
            <w:r>
              <w:rPr>
                <w:rFonts w:ascii="Times New Roman;Times;serif" w:hAnsi="Times New Roman;Times;serif"/>
                <w:sz w:val="18"/>
              </w:rPr>
              <w:t>Consists of 967,658 shares reserved for future issuance under the 2021 Plan.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13. Certain Relationships and Related Transactions, and Director Independence</w:t>
      </w:r>
      <w:bookmarkStart w:id="36" w:name="Item13CertainRelationshipsandRelatedTran"/>
      <w:bookmarkEnd w:id="36"/>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audit committee reviews and approves in advance all related-party transactions. In addition to the director and executive officer compensation arrangements discussed above in “Executive Compensation,” during the fiscal year ended December 31, 2023, we have engaged in the following transactions in which the amount involved exceeded, or will exceed, $120,000 and in which any director, executive officer, holder of five percent or more of any class of our capital stock or any member of the immediate family of, or entities affiliated with, any of the foregoing persons, had, or will have, a direct or indirect material interest. We believe that all of these transactions were on terms as favorable as could have been obtained from unrelated third parties.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Sales and Purchases of Securities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Series A Financing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multiple closings held between June 2021 and January 2022, we issued and sold an aggregate of 150,000,000 shares of Series A convertible preferred stock to the below related persons at a purchase price of $1.00 per share for aggregate gross cash consideration of $150.0 million. We refer to this transaction as our Series A Preferred Stock Financing.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table below sets forth the aggregate number and purchase price of shares of Series A convertible preferred stock issued to our directors, executive officers or holders of more than 5% of our capital stock, or an affiliate or immediate family member thereof:</w:t>
      </w:r>
    </w:p>
    <w:tbl>
      <w:tblPr>
        <w:tblW w:w="8456" w:type="dxa"/>
        <w:jc w:val="center"/>
        <w:tblInd w:w="0" w:type="dxa"/>
        <w:tblLayout w:type="fixed"/>
        <w:tblCellMar>
          <w:top w:w="0" w:type="dxa"/>
          <w:left w:w="0" w:type="dxa"/>
          <w:bottom w:w="0" w:type="dxa"/>
          <w:right w:w="0" w:type="dxa"/>
        </w:tblCellMar>
      </w:tblPr>
      <w:tblGrid>
        <w:gridCol w:w="5416"/>
        <w:gridCol w:w="326"/>
        <w:gridCol w:w="1036"/>
        <w:gridCol w:w="326"/>
        <w:gridCol w:w="211"/>
        <w:gridCol w:w="1141"/>
      </w:tblGrid>
      <w:tr>
        <w:trPr/>
        <w:tc>
          <w:tcPr>
            <w:tcW w:w="5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3439160" cy="175260"/>
                      <wp:effectExtent l="0" t="0" r="0" b="0"/>
                      <wp:wrapNone/>
                      <wp:docPr id="235" name="Frame208"/>
                      <a:graphic xmlns:a="http://schemas.openxmlformats.org/drawingml/2006/main">
                        <a:graphicData uri="http://schemas.microsoft.com/office/word/2010/wordprocessingShape">
                          <wps:wsp>
                            <wps:cNvSpPr txBox="1"/>
                            <wps:spPr>
                              <a:xfrm>
                                <a:off x="0" y="0"/>
                                <a:ext cx="3439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6" name="Frame2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57860" cy="175260"/>
                      <wp:effectExtent l="0" t="0" r="0" b="0"/>
                      <wp:wrapNone/>
                      <wp:docPr id="237" name="Frame21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07010" cy="175260"/>
                      <wp:effectExtent l="0" t="0" r="0" b="0"/>
                      <wp:wrapNone/>
                      <wp:docPr id="238" name="Frame2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3985" cy="175260"/>
                      <wp:effectExtent l="0" t="0" r="0" b="0"/>
                      <wp:wrapNone/>
                      <wp:docPr id="239" name="Frame2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725170" cy="175260"/>
                      <wp:effectExtent l="0" t="0" r="0" b="0"/>
                      <wp:wrapNone/>
                      <wp:docPr id="240" name="Frame213"/>
                      <a:graphic xmlns:a="http://schemas.openxmlformats.org/drawingml/2006/main">
                        <a:graphicData uri="http://schemas.microsoft.com/office/word/2010/wordprocessingShape">
                          <wps:wsp>
                            <wps:cNvSpPr txBox="1"/>
                            <wps:spPr>
                              <a:xfrm>
                                <a:off x="0" y="0"/>
                                <a:ext cx="725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 of</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pPr>
            <w:r>
              <w:rPr/>
              <w:t>​</w:t>
            </w:r>
          </w:p>
        </w:tc>
      </w:tr>
      <w:tr>
        <w:trPr/>
        <w:tc>
          <w:tcPr>
            <w:tcW w:w="54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Series A</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pPr>
            <w:r>
              <w:rPr/>
              <w:t>​</w:t>
            </w:r>
          </w:p>
        </w:tc>
      </w:tr>
      <w:tr>
        <w:trPr/>
        <w:tc>
          <w:tcPr>
            <w:tcW w:w="54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Convertible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pPr>
            <w:r>
              <w:rPr/>
              <w:t>​</w:t>
            </w:r>
          </w:p>
        </w:tc>
      </w:tr>
      <w:tr>
        <w:trPr/>
        <w:tc>
          <w:tcPr>
            <w:tcW w:w="54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Preferred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pPr>
            <w:r>
              <w:rPr/>
              <w:t>​</w:t>
            </w:r>
          </w:p>
        </w:tc>
      </w:tr>
      <w:tr>
        <w:trPr/>
        <w:tc>
          <w:tcPr>
            <w:tcW w:w="54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1"/>
              <w:ind w:left="0" w:right="0" w:hanging="0"/>
              <w:jc w:val="left"/>
              <w:rPr/>
            </w:pPr>
            <w:r>
              <w:rPr/>
              <w:t>​</w:t>
            </w:r>
          </w:p>
        </w:tc>
        <w:tc>
          <w:tcPr>
            <w:tcW w:w="13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54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Purchased</w:t>
            </w:r>
          </w:p>
        </w:tc>
        <w:tc>
          <w:tcPr>
            <w:tcW w:w="326" w:type="dxa"/>
            <w:tcBorders/>
            <w:vAlign w:val="center"/>
          </w:tcPr>
          <w:p>
            <w:pPr>
              <w:pStyle w:val="TableContents"/>
              <w:bidi w:val="0"/>
              <w:spacing w:before="0" w:after="1"/>
              <w:ind w:left="0" w:right="0" w:hanging="0"/>
              <w:jc w:val="left"/>
              <w:rPr/>
            </w:pPr>
            <w:r>
              <w:rPr/>
              <w:t>​</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Purchase Price</w:t>
            </w:r>
          </w:p>
        </w:tc>
      </w:tr>
      <w:tr>
        <w:trPr/>
        <w:tc>
          <w:tcPr>
            <w:tcW w:w="54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LAV Fund VI, L.P.</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28,000,000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28,000,000</w:t>
            </w:r>
          </w:p>
        </w:tc>
      </w:tr>
      <w:tr>
        <w:trPr/>
        <w:tc>
          <w:tcPr>
            <w:tcW w:w="54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Entities affiliated with Octagon Capital Advisors LP</w:t>
            </w:r>
            <w:r>
              <w:rPr>
                <w:rFonts w:ascii="Times New Roman;Times;serif" w:hAnsi="Times New Roman;Times;serif"/>
                <w:sz w:val="15"/>
              </w:rPr>
              <w:t>(2)</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17,000,000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17,000,000</w:t>
            </w:r>
          </w:p>
        </w:tc>
      </w:tr>
      <w:tr>
        <w:trPr/>
        <w:tc>
          <w:tcPr>
            <w:tcW w:w="54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Entities affiliated with OrbiMed</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25,000,000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25,000,000</w:t>
            </w:r>
          </w:p>
        </w:tc>
      </w:tr>
      <w:tr>
        <w:trPr/>
        <w:tc>
          <w:tcPr>
            <w:tcW w:w="54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Entities affiliated with Hillhouse Investment Management, Ltd.</w:t>
            </w:r>
            <w:r>
              <w:rPr>
                <w:rFonts w:ascii="Times New Roman;Times;serif" w:hAnsi="Times New Roman;Times;serif"/>
                <w:sz w:val="15"/>
              </w:rPr>
              <w:t>(4)</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55,000,000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55,000,000</w:t>
            </w:r>
          </w:p>
        </w:tc>
      </w:tr>
      <w:tr>
        <w:trPr/>
        <w:tc>
          <w:tcPr>
            <w:tcW w:w="54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Zoo Capital (Cayman) Limited I</w:t>
            </w:r>
            <w:r>
              <w:rPr>
                <w:rFonts w:ascii="Times New Roman;Times;serif" w:hAnsi="Times New Roman;Times;serif"/>
                <w:sz w:val="15"/>
              </w:rPr>
              <w:t>(5)</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15,000,000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15,000,000</w:t>
            </w:r>
          </w:p>
        </w:tc>
      </w:tr>
      <w:tr>
        <w:trPr/>
        <w:tc>
          <w:tcPr>
            <w:tcW w:w="54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Entities affiliated with Sirona Capital Partners Ltd.</w:t>
            </w:r>
            <w:r>
              <w:rPr>
                <w:rFonts w:ascii="Times New Roman;Times;serif" w:hAnsi="Times New Roman;Times;serif"/>
                <w:sz w:val="15"/>
              </w:rPr>
              <w:t>(6)</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10,000,000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10,000,000</w:t>
            </w:r>
          </w:p>
        </w:tc>
      </w:tr>
    </w:tbl>
    <w:p>
      <w:pPr>
        <w:pStyle w:val="HorizontalLine"/>
        <w:pBdr>
          <w:bottom w:val="single" w:sz="6" w:space="0" w:color="000000"/>
        </w:pBdr>
        <w:bidi w:val="0"/>
        <w:spacing w:before="0" w:after="0"/>
        <w:ind w:left="0" w:right="7654" w:hanging="0"/>
        <w:jc w:val="left"/>
        <w:rPr/>
      </w:pPr>
      <w:r>
        <w:rPr/>
      </w:r>
    </w:p>
    <w:tbl>
      <w:tblPr>
        <w:tblW w:w="6265" w:type="dxa"/>
        <w:jc w:val="left"/>
        <w:tblInd w:w="0" w:type="dxa"/>
        <w:tblLayout w:type="fixed"/>
        <w:tblCellMar>
          <w:top w:w="0" w:type="dxa"/>
          <w:left w:w="0" w:type="dxa"/>
          <w:bottom w:w="0" w:type="dxa"/>
          <w:right w:w="0" w:type="dxa"/>
        </w:tblCellMar>
      </w:tblPr>
      <w:tblGrid>
        <w:gridCol w:w="230"/>
        <w:gridCol w:w="6035"/>
      </w:tblGrid>
      <w:tr>
        <w:trPr/>
        <w:tc>
          <w:tcPr>
            <w:tcW w:w="2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6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LAV Fund VI, L.P. beneficially owned more than 5% of our outstanding capital stock.</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100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Consists of (i) 5,500,000 shares of Series A convertible preferred stock issued to Octagon Investments Master Fund LP, (ii) 5,500,000 shares of Series convertible A preferred stock issued to Octagon Private Opportunities Fund LP, and (iii) 6,000,000 shares of Series A convertible preferred stock issued to Octagon Special Opportunities Fund LP, all of which are affiliated with Octagon Capital Advisors LP, which beneficially owned more than 5% of our outstanding capital stock.</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100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Consists of (i) 12,500,000 shares of Series A convertible preferred stock issued to OrbiMed Asia Partners IV, L.P. and (ii) 12,500,000 shares of Series A convertible preferred stock issued to OrbiMed Private Investments VIII, L.P., both of which are affiliated with OrbiMed Advisors LLC, which beneficially owned more than 5% of our outstanding capital stock. Carl L. Gordon, Ph.D., CFA, a member of our board of directors, is a member of OrbiMed Advisors LLC.</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w:t>
            </w:r>
          </w:p>
        </w:tc>
        <w:tc>
          <w:tcPr>
            <w:tcW w:w="10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Consists of (i) 33,000,000 shares of Series A convertible preferred stock issued to VSUM VI Holdings Limited, and (ii) 22,000,000 shares of Series A convertible preferred stock issued to VSUM VIII Holdings Limited, both of which are affiliated with Hillhouse Investment Management, Ltd. which, beneficially owned more than 5% of our outstanding capital stock.</w:t>
            </w:r>
          </w:p>
        </w:tc>
      </w:tr>
    </w:tbl>
    <w:tbl>
      <w:tblPr>
        <w:tblW w:w="7150" w:type="dxa"/>
        <w:jc w:val="left"/>
        <w:tblInd w:w="0" w:type="dxa"/>
        <w:tblLayout w:type="fixed"/>
        <w:tblCellMar>
          <w:top w:w="0" w:type="dxa"/>
          <w:left w:w="0" w:type="dxa"/>
          <w:bottom w:w="0" w:type="dxa"/>
          <w:right w:w="0" w:type="dxa"/>
        </w:tblCellMar>
      </w:tblPr>
      <w:tblGrid>
        <w:gridCol w:w="230"/>
        <w:gridCol w:w="6920"/>
      </w:tblGrid>
      <w:tr>
        <w:trPr/>
        <w:tc>
          <w:tcPr>
            <w:tcW w:w="2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(5)</w:t>
            </w:r>
          </w:p>
        </w:tc>
        <w:tc>
          <w:tcPr>
            <w:tcW w:w="6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Zoo Capital (Cayman) Limited I beneficially owned more than 5% of our outstanding capital stock.</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w:t>
            </w:r>
          </w:p>
        </w:tc>
        <w:tc>
          <w:tcPr>
            <w:tcW w:w="100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Consists of 10,000,000 shares of Series A convertible preferred stock issued to Lyra Capital Management Limited, which is affiliated with Sirona Capital Partners Ltd., which beneficially owned more than 5% of our outstanding capital stock.</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Series B Financing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multiple closings held between December 2022 and March 2023, we issued and sold an aggregate of 147,619,034 shares of Series B convertible preferred stock to the below related persons at a purchase price of $1.05 per share for aggregate gross cash consideration of $155.0 million. We refer to this transaction as our Series B Preferred Stock Financing.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table below sets forth the aggregate number and purchase price of shares of Series B convertible preferred stock issued to our directors, executive officers or holders of more than 5% of our capital stock, or an affiliate or immediate family member thereof:</w:t>
      </w:r>
    </w:p>
    <w:tbl>
      <w:tblPr>
        <w:tblW w:w="8651" w:type="dxa"/>
        <w:jc w:val="center"/>
        <w:tblInd w:w="0" w:type="dxa"/>
        <w:tblLayout w:type="fixed"/>
        <w:tblCellMar>
          <w:top w:w="0" w:type="dxa"/>
          <w:left w:w="0" w:type="dxa"/>
          <w:bottom w:w="0" w:type="dxa"/>
          <w:right w:w="0" w:type="dxa"/>
        </w:tblCellMar>
      </w:tblPr>
      <w:tblGrid>
        <w:gridCol w:w="5416"/>
        <w:gridCol w:w="326"/>
        <w:gridCol w:w="1036"/>
        <w:gridCol w:w="326"/>
        <w:gridCol w:w="211"/>
        <w:gridCol w:w="1336"/>
      </w:tblGrid>
      <w:tr>
        <w:trPr/>
        <w:tc>
          <w:tcPr>
            <w:tcW w:w="5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3439160" cy="175260"/>
                      <wp:effectExtent l="0" t="0" r="0" b="0"/>
                      <wp:wrapNone/>
                      <wp:docPr id="241" name="Frame214"/>
                      <a:graphic xmlns:a="http://schemas.openxmlformats.org/drawingml/2006/main">
                        <a:graphicData uri="http://schemas.microsoft.com/office/word/2010/wordprocessingShape">
                          <wps:wsp>
                            <wps:cNvSpPr txBox="1"/>
                            <wps:spPr>
                              <a:xfrm>
                                <a:off x="0" y="0"/>
                                <a:ext cx="3439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42" name="Frame2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57860" cy="175260"/>
                      <wp:effectExtent l="0" t="0" r="0" b="0"/>
                      <wp:wrapNone/>
                      <wp:docPr id="243" name="Frame21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7010" cy="175260"/>
                      <wp:effectExtent l="0" t="0" r="0" b="0"/>
                      <wp:wrapNone/>
                      <wp:docPr id="244"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3985" cy="175260"/>
                      <wp:effectExtent l="0" t="0" r="0" b="0"/>
                      <wp:wrapNone/>
                      <wp:docPr id="245" name="Frame2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848360" cy="175260"/>
                      <wp:effectExtent l="0" t="0" r="0" b="0"/>
                      <wp:wrapNone/>
                      <wp:docPr id="246" name="Frame219"/>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 of </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336" w:type="dxa"/>
            <w:tcBorders/>
            <w:vAlign w:val="center"/>
          </w:tcPr>
          <w:p>
            <w:pPr>
              <w:pStyle w:val="TableContents"/>
              <w:bidi w:val="0"/>
              <w:spacing w:before="0" w:after="1"/>
              <w:ind w:left="0" w:right="0" w:hanging="0"/>
              <w:jc w:val="center"/>
              <w:rPr/>
            </w:pPr>
            <w:r>
              <w:rPr/>
              <w:t>​</w:t>
            </w:r>
          </w:p>
        </w:tc>
      </w:tr>
      <w:tr>
        <w:trPr/>
        <w:tc>
          <w:tcPr>
            <w:tcW w:w="54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Series B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336" w:type="dxa"/>
            <w:tcBorders/>
            <w:vAlign w:val="center"/>
          </w:tcPr>
          <w:p>
            <w:pPr>
              <w:pStyle w:val="TableContents"/>
              <w:bidi w:val="0"/>
              <w:spacing w:before="0" w:after="1"/>
              <w:ind w:left="0" w:right="0" w:hanging="0"/>
              <w:jc w:val="center"/>
              <w:rPr/>
            </w:pPr>
            <w:r>
              <w:rPr/>
              <w:t>​</w:t>
            </w:r>
          </w:p>
        </w:tc>
      </w:tr>
      <w:tr>
        <w:trPr/>
        <w:tc>
          <w:tcPr>
            <w:tcW w:w="54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Convertible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336" w:type="dxa"/>
            <w:tcBorders/>
            <w:vAlign w:val="center"/>
          </w:tcPr>
          <w:p>
            <w:pPr>
              <w:pStyle w:val="TableContents"/>
              <w:bidi w:val="0"/>
              <w:spacing w:before="0" w:after="1"/>
              <w:ind w:left="0" w:right="0" w:hanging="0"/>
              <w:jc w:val="center"/>
              <w:rPr/>
            </w:pPr>
            <w:r>
              <w:rPr/>
              <w:t>​</w:t>
            </w:r>
          </w:p>
        </w:tc>
      </w:tr>
      <w:tr>
        <w:trPr/>
        <w:tc>
          <w:tcPr>
            <w:tcW w:w="54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Preferred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336" w:type="dxa"/>
            <w:tcBorders/>
            <w:vAlign w:val="center"/>
          </w:tcPr>
          <w:p>
            <w:pPr>
              <w:pStyle w:val="TableContents"/>
              <w:bidi w:val="0"/>
              <w:spacing w:before="0" w:after="1"/>
              <w:ind w:left="0" w:right="0" w:hanging="0"/>
              <w:jc w:val="center"/>
              <w:rPr/>
            </w:pPr>
            <w:r>
              <w:rPr/>
              <w:t>​</w:t>
            </w:r>
          </w:p>
        </w:tc>
      </w:tr>
      <w:tr>
        <w:trPr/>
        <w:tc>
          <w:tcPr>
            <w:tcW w:w="54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 </w:t>
            </w:r>
          </w:p>
        </w:tc>
        <w:tc>
          <w:tcPr>
            <w:tcW w:w="326" w:type="dxa"/>
            <w:tcBorders/>
            <w:vAlign w:val="center"/>
          </w:tcPr>
          <w:p>
            <w:pPr>
              <w:pStyle w:val="TableContents"/>
              <w:bidi w:val="0"/>
              <w:spacing w:before="0" w:after="1"/>
              <w:ind w:left="0" w:right="0" w:hanging="0"/>
              <w:jc w:val="left"/>
              <w:rPr/>
            </w:pPr>
            <w:r>
              <w:rPr/>
              <w:t>​</w:t>
            </w:r>
          </w:p>
        </w:tc>
        <w:tc>
          <w:tcPr>
            <w:tcW w:w="15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 </w:t>
            </w:r>
          </w:p>
        </w:tc>
      </w:tr>
      <w:tr>
        <w:trPr/>
        <w:tc>
          <w:tcPr>
            <w:tcW w:w="54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Purchased</w:t>
            </w:r>
          </w:p>
        </w:tc>
        <w:tc>
          <w:tcPr>
            <w:tcW w:w="326" w:type="dxa"/>
            <w:tcBorders/>
            <w:vAlign w:val="center"/>
          </w:tcPr>
          <w:p>
            <w:pPr>
              <w:pStyle w:val="TableContents"/>
              <w:bidi w:val="0"/>
              <w:spacing w:before="0" w:after="1"/>
              <w:ind w:left="0" w:right="0" w:hanging="0"/>
              <w:jc w:val="left"/>
              <w:rPr/>
            </w:pPr>
            <w:r>
              <w:rPr/>
              <w:t>​</w:t>
            </w:r>
          </w:p>
        </w:tc>
        <w:tc>
          <w:tcPr>
            <w:tcW w:w="15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Purchase Price</w:t>
            </w:r>
          </w:p>
        </w:tc>
      </w:tr>
      <w:tr>
        <w:trPr/>
        <w:tc>
          <w:tcPr>
            <w:tcW w:w="54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Entities affiliated with Hillhouse Investment Management, Ltd.</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4,761,903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4,999,998.15</w:t>
            </w:r>
          </w:p>
        </w:tc>
      </w:tr>
      <w:tr>
        <w:trPr/>
        <w:tc>
          <w:tcPr>
            <w:tcW w:w="54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LAV Fund VI, L.P.</w:t>
            </w:r>
            <w:r>
              <w:rPr>
                <w:rFonts w:ascii="Times New Roman;Times;serif" w:hAnsi="Times New Roman;Times;serif"/>
                <w:sz w:val="15"/>
              </w:rPr>
              <w:t>(2)</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1,904,761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1,999,999.05</w:t>
            </w:r>
          </w:p>
        </w:tc>
      </w:tr>
      <w:tr>
        <w:trPr/>
        <w:tc>
          <w:tcPr>
            <w:tcW w:w="54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Entities affiliated with Octagon Capital Advisors LP</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9,523,808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9,999,998.40</w:t>
            </w:r>
          </w:p>
        </w:tc>
      </w:tr>
      <w:tr>
        <w:trPr/>
        <w:tc>
          <w:tcPr>
            <w:tcW w:w="54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Entities affiliated with OrbiMed</w:t>
            </w:r>
            <w:r>
              <w:rPr>
                <w:rFonts w:ascii="Times New Roman;Times;serif" w:hAnsi="Times New Roman;Times;serif"/>
                <w:sz w:val="15"/>
              </w:rPr>
              <w:t>(4)</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14,285,714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14,999,999.70</w:t>
            </w:r>
          </w:p>
        </w:tc>
      </w:tr>
      <w:tr>
        <w:trPr/>
        <w:tc>
          <w:tcPr>
            <w:tcW w:w="54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Sofinnova Venture Partners XI, L.P.</w:t>
            </w:r>
            <w:r>
              <w:rPr>
                <w:rFonts w:ascii="Times New Roman;Times;serif" w:hAnsi="Times New Roman;Times;serif"/>
                <w:sz w:val="15"/>
              </w:rPr>
              <w:t>(5)</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19,047,619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19,999,999.95</w:t>
            </w:r>
          </w:p>
        </w:tc>
      </w:tr>
      <w:tr>
        <w:trPr/>
        <w:tc>
          <w:tcPr>
            <w:tcW w:w="54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Entities affiliated with Sirona Capital Partners Ltd.</w:t>
            </w:r>
            <w:r>
              <w:rPr>
                <w:rFonts w:ascii="Times New Roman;Times;serif" w:hAnsi="Times New Roman;Times;serif"/>
                <w:sz w:val="15"/>
              </w:rPr>
              <w:t>(6)</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9,523,808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3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9,999,998.40</w:t>
            </w:r>
          </w:p>
        </w:tc>
      </w:tr>
    </w:tbl>
    <w:p>
      <w:pPr>
        <w:pStyle w:val="HorizontalLine"/>
        <w:pBdr>
          <w:bottom w:val="single" w:sz="6" w:space="0" w:color="000000"/>
        </w:pBdr>
        <w:bidi w:val="0"/>
        <w:spacing w:before="0" w:after="0"/>
        <w:ind w:left="0" w:right="7654" w:hanging="0"/>
        <w:jc w:val="left"/>
        <w:rPr/>
      </w:pPr>
      <w:r>
        <w:rPr/>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163</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10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Consists of (i) 2,857,142 shares of Series B convertible preferred stock issued to ARVT Holdings Limited, and (ii) 1,904,761 shares of Series B convertible preferred stock issued to VSUM VIII Holdings Limited, both of which are affiliated with Hillhouse Investment Management, Ltd. which beneficially owned more than 5% of our outstanding capital stock.</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Consists of 1,904,761 shares of Series B convertible preferred stock issued to LAV Fund VI, L.P., which beneficially owned more than 5% of our outstanding capital stock.</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10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Consists of (i) 2,857,142 shares of Series B convertible preferred stock issued to Octagon Investments Master Fund LP, and (ii) 6,666,666 shares of Series B convertible preferred stock issued to Octagon Private Opportunities Fund LP, both of which are affiliated with Octagon Capital Advisors LP, which beneficially owned more than 5% of our outstanding capital stock.</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w:t>
            </w:r>
          </w:p>
        </w:tc>
        <w:tc>
          <w:tcPr>
            <w:tcW w:w="100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Consists of (i) 7,142,857 shares of Series B convertible preferred stock issued to OrbiMed Asia Partners IV, L.P. and (ii) 7,142,857 shares of Series B convertible preferred stock issued to OrbiMed Private Investments VIII, L.P., both of which are affiliated with OrbiMed Advisors LLC, which beneficially owned more than 5% of our outstanding capital stock. Carl L. Gordon, Ph.D., CFA, a member of our board of directors, is a member of OrbiMed Advisors LLC.</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(5)</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Sofinnova Venture Partners XI, L.P. beneficially owned more than 5% of our outstanding capital stock. James I. Healy, a member of our board of directors, is a managing member of Sofinnova Management XI, L.L.C., the general partner of Sofinnova Management XI, L.P. which is the general partner of Sofinnova Venture Partners XI, L.P.</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w:t>
            </w:r>
          </w:p>
        </w:tc>
        <w:tc>
          <w:tcPr>
            <w:tcW w:w="100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Consists of (i) 4,761,904 shares of Series B convertible preferred stock issued to Lyra Capital Management Limited and (ii) 4,761,904 shares of Series B convertible preferred stock issued to Sirona Holdings Investments Ltd, both of which are affiliated with Sirona Capital Partners Ltd., which beneficially owned more than 5% of our outstanding capital stock.</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Agreements with Stockholders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Amended and Restated Investors’ Rights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December 16, 2022, in connection with the Series B Preferred Stock Financing, we entered into an Amended and Restated Investors’ Rights Agreement (the Investors’ Rights Agreement) with certain holders of more than 5% of our outstanding capital stock, including LAV Fund VI, L.P. (together with its affiliates, LAV Funds), and VSUM VIII Holdings Limited (together with its affiliates, VSUM), as well as OrbiMed Asia Partners IV, L.P. and OrbiMed Private Investments VIII, L.P. (together with its affiliates, OrbiMed) and Sofinnova Venture Partners XI, L.P. (Sofinnova), each of which, besides VSUM and LAV Funds, is affiliated with certain of our directors and officers. Pursuant to the Investors’ Rights Agreement, these stockholders have registration rights with respect to certain issuances of our capital stock. The registration rights include the right to demand that we file a registration statement or request that their shares be covered by a registration statement that we have otherwise filed, subject, in each case, to certain exceptions.</w:t>
      </w:r>
    </w:p>
    <w:p>
      <w:pPr>
        <w:pStyle w:val="TextBody"/>
        <w:bidi w:val="0"/>
        <w:spacing w:before="0" w:after="240"/>
        <w:ind w:left="0" w:right="0" w:hanging="0"/>
        <w:jc w:val="left"/>
        <w:rPr>
          <w:rFonts w:ascii="Times New Roman;Times;serif" w:hAnsi="Times New Roman;Times;serif"/>
          <w:b/>
          <w:i/>
          <w:spacing w:val="-2"/>
          <w:sz w:val="20"/>
        </w:rPr>
      </w:pPr>
      <w:r>
        <w:rPr>
          <w:rFonts w:ascii="Times New Roman;Times;serif" w:hAnsi="Times New Roman;Times;serif"/>
          <w:b/>
          <w:i/>
          <w:spacing w:val="-2"/>
          <w:sz w:val="20"/>
        </w:rPr>
        <w:t>Demand Registration Rights</w:t>
      </w:r>
    </w:p>
    <w:p>
      <w:pPr>
        <w:pStyle w:val="TextBody"/>
        <w:bidi w:val="0"/>
        <w:spacing w:before="0" w:after="240"/>
        <w:ind w:left="0" w:right="0" w:firstLine="400"/>
        <w:jc w:val="left"/>
        <w:rPr>
          <w:rFonts w:ascii="Times New Roman;Times;serif" w:hAnsi="Times New Roman;Times;serif"/>
          <w:spacing w:val="-2"/>
          <w:sz w:val="20"/>
        </w:rPr>
      </w:pPr>
      <w:r>
        <w:rPr>
          <w:rFonts w:ascii="Times New Roman;Times;serif" w:hAnsi="Times New Roman;Times;serif"/>
          <w:spacing w:val="-2"/>
          <w:sz w:val="20"/>
        </w:rPr>
        <w:t>Beginning on July‎ ‎24‎, ‎2024, the holders of a majority of registrable securities then outstanding under the Investors’ Rights Agreement may require us to file a registration statement under the Securities Act on a Form S-1 at our expense, subject to certain exceptions, with an anticipated aggregate offering price, net of the offering expenses, of more than $20.0 million, in which case we will be required to effect the registration as soon as practicable, and in any event within 60 days. We are required to effect only two demand registrations pursuant to this provision of the Investors’ Rights Agreement. Any time after we are eligible to use a registration statement on Form S-3, the holders of at least 10% of our registrable securities under the Investors’ Rights Agreement may require us to file a registration statement on Form S-3 at our expense, subject to certain exceptions, with respect to the then outstanding registrable securities of such holders having an anticipated aggregate offering price, net of the offering expenses, of at least $5.0 million, in which case we will be required to effect the registration as soon as practicable, and in any event within 45 days. If we determine that it would be detrimental to us and our stockholders to effect a requested registration, we may postpone each such registration for a period of up to 60 days; provided that we may neither invoke this right more than once in any 12-month period nor effect a registration for our own account or any other stockholder during such 60 day period.</w:t>
      </w:r>
    </w:p>
    <w:p>
      <w:pPr>
        <w:pStyle w:val="TextBody"/>
        <w:bidi w:val="0"/>
        <w:spacing w:before="0" w:after="240"/>
        <w:ind w:left="0" w:right="0" w:firstLine="400"/>
        <w:jc w:val="left"/>
        <w:rPr>
          <w:rFonts w:ascii="Times New Roman;Times;serif" w:hAnsi="Times New Roman;Times;serif"/>
          <w:spacing w:val="-2"/>
          <w:sz w:val="20"/>
        </w:rPr>
      </w:pPr>
      <w:r>
        <w:rPr>
          <w:rFonts w:ascii="Times New Roman;Times;serif" w:hAnsi="Times New Roman;Times;serif"/>
          <w:spacing w:val="-2"/>
          <w:sz w:val="20"/>
        </w:rPr>
        <w:t>The foregoing demand registration rights are subject to a number of additional exceptions and limitations.</w:t>
      </w:r>
    </w:p>
    <w:p>
      <w:pPr>
        <w:pStyle w:val="TextBody"/>
        <w:bidi w:val="0"/>
        <w:spacing w:before="0" w:after="240"/>
        <w:ind w:left="0" w:right="0" w:hanging="0"/>
        <w:jc w:val="left"/>
        <w:rPr>
          <w:rFonts w:ascii="Times New Roman;Times;serif" w:hAnsi="Times New Roman;Times;serif"/>
          <w:b/>
          <w:i/>
          <w:spacing w:val="-2"/>
          <w:sz w:val="20"/>
        </w:rPr>
      </w:pPr>
      <w:r>
        <w:rPr>
          <w:rFonts w:ascii="Times New Roman;Times;serif" w:hAnsi="Times New Roman;Times;serif"/>
          <w:b/>
          <w:i/>
          <w:spacing w:val="-2"/>
          <w:sz w:val="20"/>
        </w:rPr>
        <w:t>Piggyback Registration Rights</w:t>
      </w:r>
    </w:p>
    <w:p>
      <w:pPr>
        <w:pStyle w:val="TextBody"/>
        <w:bidi w:val="0"/>
        <w:spacing w:before="0" w:after="0"/>
        <w:ind w:left="0" w:right="0" w:firstLine="400"/>
        <w:jc w:val="left"/>
        <w:rPr>
          <w:rFonts w:ascii="Times New Roman;Times;serif" w:hAnsi="Times New Roman;Times;serif"/>
          <w:spacing w:val="-2"/>
          <w:sz w:val="20"/>
        </w:rPr>
      </w:pPr>
      <w:r>
        <w:rPr>
          <w:rFonts w:ascii="Times New Roman;Times;serif" w:hAnsi="Times New Roman;Times;serif"/>
          <w:spacing w:val="-2"/>
          <w:sz w:val="20"/>
        </w:rPr>
        <w:t xml:space="preserve">If we propose to file a registration statement under the Securities Act for the purposes of a public offering of our securities, including, but not limited to, registration statements relating to a secondary offering of our securities but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164</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pacing w:val="-2"/>
          <w:sz w:val="20"/>
        </w:rPr>
      </w:pPr>
      <w:r>
        <w:rPr>
          <w:rFonts w:ascii="Times New Roman;Times;serif" w:hAnsi="Times New Roman;Times;serif"/>
          <w:spacing w:val="-2"/>
          <w:sz w:val="20"/>
        </w:rPr>
        <w:t>excluding (i) a registration statement relating to the sale or grant of securities to employees pursuant to a stock option, stock purchase, equity incentive or similar plan; (ii) with respect to any corporate reorganization or transaction under Rule 145 of the Securities Act;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 the holders of registrable securities are entitled to receive notice of such registration and to request that we include their registrable securities for resale in the registration statement. The underwriters of the offering will have the right to limit the number of shares to be included in such registration.</w:t>
      </w:r>
    </w:p>
    <w:p>
      <w:pPr>
        <w:pStyle w:val="TextBody"/>
        <w:bidi w:val="0"/>
        <w:spacing w:before="0" w:after="240"/>
        <w:ind w:left="0" w:right="0" w:firstLine="400"/>
        <w:jc w:val="left"/>
        <w:rPr>
          <w:rFonts w:ascii="Times New Roman;Times;serif" w:hAnsi="Times New Roman;Times;serif"/>
          <w:spacing w:val="-2"/>
          <w:sz w:val="20"/>
        </w:rPr>
      </w:pPr>
      <w:r>
        <w:rPr>
          <w:rFonts w:ascii="Times New Roman;Times;serif" w:hAnsi="Times New Roman;Times;serif"/>
          <w:spacing w:val="-2"/>
          <w:sz w:val="20"/>
        </w:rPr>
        <w:t>The foregoing piggyback registration rights are subject to a number of additional exceptions and limitations.</w:t>
      </w:r>
    </w:p>
    <w:p>
      <w:pPr>
        <w:pStyle w:val="TextBody"/>
        <w:bidi w:val="0"/>
        <w:spacing w:before="0" w:after="240"/>
        <w:ind w:left="0" w:right="0" w:hanging="0"/>
        <w:jc w:val="left"/>
        <w:rPr>
          <w:rFonts w:ascii="Times New Roman;Times;serif" w:hAnsi="Times New Roman;Times;serif"/>
          <w:b/>
          <w:i/>
          <w:spacing w:val="-2"/>
          <w:sz w:val="20"/>
        </w:rPr>
      </w:pPr>
      <w:r>
        <w:rPr>
          <w:rFonts w:ascii="Times New Roman;Times;serif" w:hAnsi="Times New Roman;Times;serif"/>
          <w:b/>
          <w:i/>
          <w:spacing w:val="-2"/>
          <w:sz w:val="20"/>
        </w:rPr>
        <w:t>Expenses of Registration</w:t>
      </w:r>
    </w:p>
    <w:p>
      <w:pPr>
        <w:pStyle w:val="TextBody"/>
        <w:bidi w:val="0"/>
        <w:spacing w:before="0" w:after="240"/>
        <w:ind w:left="0" w:right="0" w:firstLine="400"/>
        <w:jc w:val="left"/>
        <w:rPr>
          <w:rFonts w:ascii="Times New Roman;Times;serif" w:hAnsi="Times New Roman;Times;serif"/>
          <w:spacing w:val="-2"/>
          <w:sz w:val="20"/>
        </w:rPr>
      </w:pPr>
      <w:r>
        <w:rPr>
          <w:rFonts w:ascii="Times New Roman;Times;serif" w:hAnsi="Times New Roman;Times;serif"/>
          <w:spacing w:val="-2"/>
          <w:sz w:val="20"/>
        </w:rPr>
        <w:t>We will pay all registration expenses along with reasonable fees and disbursements, not to exceed $50,000 of one counsel for the selling stockholders selected by the holders of a majority of the registrable securities to be registered, other than underwriting discounts and commissions, related to any demand or piggyback registration.</w:t>
      </w:r>
    </w:p>
    <w:p>
      <w:pPr>
        <w:pStyle w:val="TextBody"/>
        <w:bidi w:val="0"/>
        <w:spacing w:before="0" w:after="240"/>
        <w:ind w:left="0" w:right="0" w:hanging="0"/>
        <w:jc w:val="left"/>
        <w:rPr>
          <w:rFonts w:ascii="Times New Roman;Times;serif" w:hAnsi="Times New Roman;Times;serif"/>
          <w:b/>
          <w:i/>
          <w:spacing w:val="-2"/>
          <w:sz w:val="20"/>
        </w:rPr>
      </w:pPr>
      <w:r>
        <w:rPr>
          <w:rFonts w:ascii="Times New Roman;Times;serif" w:hAnsi="Times New Roman;Times;serif"/>
          <w:b/>
          <w:i/>
          <w:spacing w:val="-2"/>
          <w:sz w:val="20"/>
        </w:rPr>
        <w:t>Indemnification</w:t>
      </w:r>
    </w:p>
    <w:p>
      <w:pPr>
        <w:pStyle w:val="TextBody"/>
        <w:bidi w:val="0"/>
        <w:spacing w:before="0" w:after="240"/>
        <w:ind w:left="0" w:right="0" w:firstLine="400"/>
        <w:jc w:val="left"/>
        <w:rPr>
          <w:rFonts w:ascii="Times New Roman;Times;serif" w:hAnsi="Times New Roman;Times;serif"/>
          <w:spacing w:val="-2"/>
          <w:sz w:val="20"/>
        </w:rPr>
      </w:pPr>
      <w:r>
        <w:rPr>
          <w:rFonts w:ascii="Times New Roman;Times;serif" w:hAnsi="Times New Roman;Times;serif"/>
          <w:spacing w:val="-2"/>
          <w:sz w:val="20"/>
        </w:rPr>
        <w:t>The Investors’ Rights Agreement contains customary cross-indemnification provisions pursuant to which we are obligated to indemnify the selling stockholders, in the event of misstatements or omissions in the registration statement attributable to us, and they are obligated to indemnify us for misstatements or omissions attributable to them.</w:t>
      </w:r>
    </w:p>
    <w:p>
      <w:pPr>
        <w:pStyle w:val="TextBody"/>
        <w:bidi w:val="0"/>
        <w:spacing w:before="0" w:after="240"/>
        <w:ind w:left="0" w:right="0" w:hanging="0"/>
        <w:jc w:val="left"/>
        <w:rPr>
          <w:rFonts w:ascii="Times New Roman;Times;serif" w:hAnsi="Times New Roman;Times;serif"/>
          <w:b/>
          <w:i/>
          <w:spacing w:val="-2"/>
          <w:sz w:val="20"/>
        </w:rPr>
      </w:pPr>
      <w:r>
        <w:rPr>
          <w:rFonts w:ascii="Times New Roman;Times;serif" w:hAnsi="Times New Roman;Times;serif"/>
          <w:b/>
          <w:i/>
          <w:spacing w:val="-2"/>
          <w:sz w:val="20"/>
        </w:rPr>
        <w:t>Expiration of Registration Rights</w:t>
      </w:r>
    </w:p>
    <w:p>
      <w:pPr>
        <w:pStyle w:val="TextBody"/>
        <w:bidi w:val="0"/>
        <w:spacing w:before="0" w:after="240"/>
        <w:ind w:left="0" w:right="0" w:firstLine="400"/>
        <w:jc w:val="left"/>
        <w:rPr>
          <w:rFonts w:ascii="Times New Roman;Times;serif" w:hAnsi="Times New Roman;Times;serif"/>
          <w:spacing w:val="-2"/>
          <w:sz w:val="20"/>
        </w:rPr>
      </w:pPr>
      <w:r>
        <w:rPr>
          <w:rFonts w:ascii="Times New Roman;Times;serif" w:hAnsi="Times New Roman;Times;serif"/>
          <w:spacing w:val="-2"/>
          <w:sz w:val="20"/>
        </w:rPr>
        <w:t>The registration rights will terminate upon the earliest to occur of (i) the closing of certain liquidation events and (ii) such time after closing of our initial public offering in January 2024 as Rule 144 or another similar exemption under the Securities Act is available for the sale of all such holders’ registrable securities without limitation, during a three-month period without registration.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Shanghai Allist Agreements</w:t>
      </w:r>
    </w:p>
    <w:p>
      <w:pPr>
        <w:pStyle w:val="TextBody"/>
        <w:pBd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June 30, 2021, we entered into the Allist License Agreement with Allist, a holder of more than 5% of our outstanding capital stock. On December 24, 2021, we entered into the Allist Collaboration Agreement to facilitate the conduct of any global clinical trials to be conducted with the Licensed Products as specified in the License Agreement. See the “Business — Licenses, Partnerships and Collaborations — Allist Agreements” section of this Annual Report for a further description of these agreements and relationships.</w:t>
      </w:r>
    </w:p>
    <w:p>
      <w:pPr>
        <w:pStyle w:val="TextBody"/>
        <w:shd w:fill="FFFFFF" w:val="clear"/>
        <w:bidi w:val="0"/>
        <w:spacing w:before="120" w:after="0"/>
        <w:ind w:left="0" w:right="0" w:hanging="0"/>
        <w:jc w:val="left"/>
        <w:rPr>
          <w:rFonts w:ascii="Times New Roman;Times;serif" w:hAnsi="Times New Roman;Times;serif"/>
          <w:b/>
          <w:sz w:val="20"/>
        </w:rPr>
      </w:pPr>
      <w:r>
        <w:rPr>
          <w:rFonts w:ascii="Times New Roman;Times;serif" w:hAnsi="Times New Roman;Times;serif"/>
          <w:b/>
          <w:sz w:val="20"/>
        </w:rPr>
        <w:t>Participation in Our Initial Public Offering</w:t>
      </w:r>
    </w:p>
    <w:p>
      <w:pPr>
        <w:pStyle w:val="TextBody"/>
        <w:pBdr/>
        <w:shd w:fill="FFFFFF" w:val="clear"/>
        <w:bidi w:val="0"/>
        <w:spacing w:before="0" w:after="0"/>
        <w:ind w:left="0" w:right="0" w:firstLine="694"/>
        <w:jc w:val="left"/>
        <w:rPr>
          <w:rFonts w:ascii="Times New Roman;Times;serif" w:hAnsi="Times New Roman;Times;serif"/>
          <w:sz w:val="20"/>
        </w:rPr>
      </w:pPr>
      <w:r>
        <w:rPr>
          <w:rFonts w:ascii="Times New Roman;Times;serif" w:hAnsi="Times New Roman;Times;serif"/>
          <w:sz w:val="20"/>
        </w:rPr>
        <w:t>In January 2024, we issued and sold in aggregate 11,180,555 shares of common stock, which included 1,458,333 shares of our common stock issued pursuant to the underwriters’ option to purchase additional shares, at a public offering price of $18.00 per share, for net proceeds of $183.4 million after deducting underwriting discounts and commissions and other offering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165</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The table below sets forth the aggregate number of shares of common stock issued to our directors, executive officers or holders of more than 5% of our capital stock, or an affiliate or immediate family member thereof, at the time of the transaction:</w:t>
      </w:r>
    </w:p>
    <w:tbl>
      <w:tblPr>
        <w:tblW w:w="8142" w:type="dxa"/>
        <w:jc w:val="center"/>
        <w:tblInd w:w="0" w:type="dxa"/>
        <w:tblLayout w:type="fixed"/>
        <w:tblCellMar>
          <w:top w:w="0" w:type="dxa"/>
          <w:left w:w="0" w:type="dxa"/>
          <w:bottom w:w="0" w:type="dxa"/>
          <w:right w:w="0" w:type="dxa"/>
        </w:tblCellMar>
      </w:tblPr>
      <w:tblGrid>
        <w:gridCol w:w="5206"/>
        <w:gridCol w:w="146"/>
        <w:gridCol w:w="146"/>
        <w:gridCol w:w="781"/>
        <w:gridCol w:w="146"/>
        <w:gridCol w:w="146"/>
        <w:gridCol w:w="255"/>
        <w:gridCol w:w="1125"/>
        <w:gridCol w:w="191"/>
      </w:tblGrid>
      <w:tr>
        <w:trPr/>
        <w:tc>
          <w:tcPr>
            <w:tcW w:w="520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92710" cy="29210"/>
                      <wp:effectExtent l="0" t="0" r="0" b="0"/>
                      <wp:wrapNone/>
                      <wp:docPr id="247" name="Frame220"/>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92710" cy="29210"/>
                      <wp:effectExtent l="0" t="0" r="0" b="0"/>
                      <wp:wrapNone/>
                      <wp:docPr id="248" name="Frame221"/>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92710" cy="29210"/>
                      <wp:effectExtent l="0" t="0" r="0" b="0"/>
                      <wp:wrapNone/>
                      <wp:docPr id="249" name="Frame222"/>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92710" cy="29210"/>
                      <wp:effectExtent l="0" t="0" r="0" b="0"/>
                      <wp:wrapNone/>
                      <wp:docPr id="250" name="Frame223"/>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61925" cy="29210"/>
                      <wp:effectExtent l="0" t="0" r="0" b="0"/>
                      <wp:wrapNone/>
                      <wp:docPr id="251" name="Frame224"/>
                      <a:graphic xmlns:a="http://schemas.openxmlformats.org/drawingml/2006/main">
                        <a:graphicData uri="http://schemas.microsoft.com/office/word/2010/wordprocessingShape">
                          <wps:wsp>
                            <wps:cNvSpPr txBox="1"/>
                            <wps:spPr>
                              <a:xfrm>
                                <a:off x="0" y="0"/>
                                <a:ext cx="1619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125" w:type="dxa"/>
            <w:tcBorders/>
            <w:vAlign w:val="center"/>
          </w:tcPr>
          <w:p>
            <w:pPr>
              <w:pStyle w:val="TableContents"/>
              <w:bidi w:val="0"/>
              <w:spacing w:before="0" w:after="283"/>
              <w:ind w:left="0" w:right="0" w:hanging="0"/>
              <w:jc w:val="left"/>
              <w:rPr>
                <w:sz w:val="4"/>
                <w:szCs w:val="4"/>
              </w:rPr>
            </w:pPr>
            <w:r>
              <w:rPr>
                <w:sz w:val="4"/>
                <w:szCs w:val="4"/>
              </w:rPr>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21920" cy="29210"/>
                      <wp:effectExtent l="0" t="0" r="0" b="0"/>
                      <wp:wrapNone/>
                      <wp:docPr id="252" name="Frame225"/>
                      <a:graphic xmlns:a="http://schemas.openxmlformats.org/drawingml/2006/main">
                        <a:graphicData uri="http://schemas.microsoft.com/office/word/2010/wordprocessingShape">
                          <wps:wsp>
                            <wps:cNvSpPr txBox="1"/>
                            <wps:spPr>
                              <a:xfrm>
                                <a:off x="0" y="0"/>
                                <a:ext cx="1219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5206" w:type="dxa"/>
            <w:tcBorders/>
            <w:shd w:fill="FFFFFF" w:val="clear"/>
            <w:vAlign w:val="center"/>
          </w:tcPr>
          <w:p>
            <w:pPr>
              <w:pStyle w:val="TableContents"/>
              <w:bidi w:val="0"/>
              <w:spacing w:before="0" w:after="0"/>
              <w:ind w:left="0" w:right="0" w:hanging="0"/>
              <w:jc w:val="left"/>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927"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Shares</w:t>
            </w:r>
          </w:p>
        </w:tc>
        <w:tc>
          <w:tcPr>
            <w:tcW w:w="146" w:type="dxa"/>
            <w:tcBorders/>
            <w:shd w:fill="FFFFFF" w:val="clear"/>
            <w:vAlign w:val="center"/>
          </w:tcPr>
          <w:p>
            <w:pPr>
              <w:pStyle w:val="TableContents"/>
              <w:bidi w:val="0"/>
              <w:spacing w:before="0" w:after="0"/>
              <w:ind w:left="0" w:right="0" w:hanging="0"/>
              <w:jc w:val="left"/>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13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Aggregate</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Purchase Price</w:t>
            </w:r>
          </w:p>
        </w:tc>
        <w:tc>
          <w:tcPr>
            <w:tcW w:w="191" w:type="dxa"/>
            <w:tcBorders/>
            <w:shd w:fill="FFFFFF" w:val="clear"/>
            <w:vAlign w:val="center"/>
          </w:tcPr>
          <w:p>
            <w:pPr>
              <w:pStyle w:val="TableContents"/>
              <w:bidi w:val="0"/>
              <w:spacing w:before="0" w:after="0"/>
              <w:ind w:left="0" w:right="0" w:hanging="0"/>
              <w:jc w:val="left"/>
              <w:rPr/>
            </w:pPr>
            <w:r>
              <w:rPr/>
              <w:t> </w:t>
            </w:r>
          </w:p>
        </w:tc>
      </w:tr>
      <w:tr>
        <w:trPr/>
        <w:tc>
          <w:tcPr>
            <w:tcW w:w="5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LAV Fund VI, L.P.</w:t>
            </w:r>
          </w:p>
        </w:tc>
        <w:tc>
          <w:tcPr>
            <w:tcW w:w="146"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146"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1,800,000</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5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Entities affiliated with Octagon Capital Advisors LP</w:t>
            </w:r>
          </w:p>
        </w:tc>
        <w:tc>
          <w:tcPr>
            <w:tcW w:w="1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200,000</w:t>
            </w:r>
          </w:p>
        </w:tc>
        <w:tc>
          <w:tcPr>
            <w:tcW w:w="1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3,600,000</w:t>
            </w:r>
          </w:p>
        </w:tc>
        <w:tc>
          <w:tcPr>
            <w:tcW w:w="191" w:type="dxa"/>
            <w:tcBorders/>
            <w:vAlign w:val="center"/>
          </w:tcPr>
          <w:p>
            <w:pPr>
              <w:pStyle w:val="TableContents"/>
              <w:bidi w:val="0"/>
              <w:spacing w:before="0" w:after="0"/>
              <w:ind w:left="0" w:right="0" w:hanging="0"/>
              <w:jc w:val="left"/>
              <w:rPr/>
            </w:pPr>
            <w:r>
              <w:rPr/>
              <w:t>​</w:t>
            </w:r>
          </w:p>
        </w:tc>
      </w:tr>
      <w:tr>
        <w:trPr/>
        <w:tc>
          <w:tcPr>
            <w:tcW w:w="5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Entities affiliated with OrbiMed</w:t>
            </w:r>
          </w:p>
        </w:tc>
        <w:tc>
          <w:tcPr>
            <w:tcW w:w="1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444,444</w:t>
            </w:r>
          </w:p>
        </w:tc>
        <w:tc>
          <w:tcPr>
            <w:tcW w:w="1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7,999,992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Sofinnova Venture Partners XI, L.P.</w:t>
            </w:r>
          </w:p>
        </w:tc>
        <w:tc>
          <w:tcPr>
            <w:tcW w:w="1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444,444</w:t>
            </w:r>
          </w:p>
        </w:tc>
        <w:tc>
          <w:tcPr>
            <w:tcW w:w="1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7,999,992</w:t>
            </w:r>
          </w:p>
        </w:tc>
        <w:tc>
          <w:tcPr>
            <w:tcW w:w="191" w:type="dxa"/>
            <w:tcBorders/>
            <w:vAlign w:val="center"/>
          </w:tcPr>
          <w:p>
            <w:pPr>
              <w:pStyle w:val="TableContents"/>
              <w:bidi w:val="0"/>
              <w:spacing w:before="0" w:after="0"/>
              <w:ind w:left="0" w:right="0" w:hanging="0"/>
              <w:jc w:val="left"/>
              <w:rPr/>
            </w:pPr>
            <w:r>
              <w:rPr/>
              <w:t>​</w:t>
            </w:r>
          </w:p>
        </w:tc>
      </w:tr>
      <w:tr>
        <w:trPr/>
        <w:tc>
          <w:tcPr>
            <w:tcW w:w="5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Entities affiliated with Hillhouse Investment Management, Ltd</w:t>
            </w:r>
          </w:p>
        </w:tc>
        <w:tc>
          <w:tcPr>
            <w:tcW w:w="146"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555,555</w:t>
            </w:r>
          </w:p>
        </w:tc>
        <w:tc>
          <w:tcPr>
            <w:tcW w:w="146"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9,999,990</w:t>
            </w:r>
          </w:p>
        </w:tc>
        <w:tc>
          <w:tcPr>
            <w:tcW w:w="191"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Indemnification Agreements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connection with our initial public offering, we entered into agreements to indemnify our directors and executive officers. These agreements, our amended and restated certificate of incorporation and our amended and restated bylaws,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behalf of our company or that person’s status as a member of our board of directors to the maximum extent allowed under Delaware law. Subject to certain limitations, our amended and restated bylaws require us to advance expenses incurred by our directors and officers. We also maintain a general liability insurance policy, which covers certain liabilities of our directors and officers arising out of claims based on acts or omissions in their capacities as directors or officers.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Policies and Procedures for Related Party Transactions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connection with our initial public offering, we adopted a written policy that requires all future transactions between us and any director, executive officer, holder of 5% or more of any class of our capital stock or any member of the immediate family of, or entities affiliated with, any of them, or any other related persons, as defined in Item 404 of Regulation S-K, or their affiliates, in which the amount involved is equal to or greater than $120,000, be approved in advance by our audit committee. Any request for such a transaction must first be presented to our audit committee for review, consideration and approval. In approving or rejecting any such proposal, our audit committee will consider the relevant facts and circumstances available and deemed relevant to the audit committee, including, but not limited to, the extent of the related party’s interest in the transaction, and whether the transaction is on terms no less favorable to us than terms we could have generally obtained from an unaffiliated third party under the same or similar circumstances.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14. Principal Accountant Fees and Services</w:t>
      </w:r>
      <w:bookmarkStart w:id="37" w:name="Item14PrincipalAccountantFeesandServices"/>
      <w:bookmarkEnd w:id="37"/>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presents fees for professional audit services rendered by KPMG LLP (KPMG) for the audit of our annual financial statements for the year ended December 31, 2023, and fees billed for other services rendered by KPMG.</w:t>
      </w:r>
    </w:p>
    <w:tbl>
      <w:tblPr>
        <w:tblW w:w="3550" w:type="dxa"/>
        <w:jc w:val="left"/>
        <w:tblInd w:w="0" w:type="dxa"/>
        <w:tblLayout w:type="fixed"/>
        <w:tblCellMar>
          <w:top w:w="0" w:type="dxa"/>
          <w:left w:w="0" w:type="dxa"/>
          <w:bottom w:w="0" w:type="dxa"/>
          <w:right w:w="0" w:type="dxa"/>
        </w:tblCellMar>
      </w:tblPr>
      <w:tblGrid>
        <w:gridCol w:w="1891"/>
        <w:gridCol w:w="326"/>
        <w:gridCol w:w="211"/>
        <w:gridCol w:w="931"/>
        <w:gridCol w:w="191"/>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200785" cy="175260"/>
                      <wp:effectExtent l="0" t="0" r="0" b="0"/>
                      <wp:wrapNone/>
                      <wp:docPr id="253" name="Frame226"/>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07010" cy="175260"/>
                      <wp:effectExtent l="0" t="0" r="0" b="0"/>
                      <wp:wrapNone/>
                      <wp:docPr id="254" name="Frame2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3985" cy="175260"/>
                      <wp:effectExtent l="0" t="0" r="0" b="0"/>
                      <wp:wrapNone/>
                      <wp:docPr id="255" name="Frame2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591185" cy="175260"/>
                      <wp:effectExtent l="0" t="0" r="0" b="0"/>
                      <wp:wrapNone/>
                      <wp:docPr id="256" name="Frame22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21285" cy="175260"/>
                      <wp:effectExtent l="0" t="0" r="0" b="0"/>
                      <wp:wrapNone/>
                      <wp:docPr id="257" name="Frame23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9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KPMG LLP</w:t>
            </w:r>
          </w:p>
        </w:tc>
        <w:tc>
          <w:tcPr>
            <w:tcW w:w="326" w:type="dxa"/>
            <w:tcBorders/>
            <w:vAlign w:val="center"/>
          </w:tcPr>
          <w:p>
            <w:pPr>
              <w:pStyle w:val="TableContents"/>
              <w:bidi w:val="0"/>
              <w:spacing w:before="0" w:after="1"/>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vAlign w:val="center"/>
          </w:tcPr>
          <w:p>
            <w:pPr>
              <w:pStyle w:val="TableContents"/>
              <w:bidi w:val="0"/>
              <w:spacing w:before="0" w:after="1"/>
              <w:ind w:left="0" w:right="0" w:hanging="0"/>
              <w:jc w:val="center"/>
              <w:rPr/>
            </w:pPr>
            <w:r>
              <w:rPr/>
              <w:t> </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Audit Fees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1,120,000</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18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Audit-Related Fees </w:t>
            </w:r>
            <w:r>
              <w:rPr>
                <w:rFonts w:ascii="Times New Roman;Times;serif" w:hAnsi="Times New Roman;Times;serif"/>
                <w:sz w:val="15"/>
              </w:rPr>
              <w:t>(2)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191" w:type="dxa"/>
            <w:tcBorders/>
            <w:vAlign w:val="center"/>
          </w:tcPr>
          <w:p>
            <w:pPr>
              <w:pStyle w:val="TableContents"/>
              <w:bidi w:val="0"/>
              <w:spacing w:before="0" w:after="1"/>
              <w:ind w:left="0" w:right="0" w:hanging="0"/>
              <w:jc w:val="left"/>
              <w:rPr/>
            </w:pPr>
            <w:r>
              <w:rPr/>
              <w:t>​</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Tax Fees </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18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All other Fees </w:t>
            </w:r>
            <w:r>
              <w:rPr>
                <w:rFonts w:ascii="Times New Roman;Times;serif" w:hAnsi="Times New Roman;Times;serif"/>
                <w:sz w:val="15"/>
              </w:rPr>
              <w:t>(4)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91" w:type="dxa"/>
            <w:tcBorders/>
            <w:vAlign w:val="center"/>
          </w:tcPr>
          <w:p>
            <w:pPr>
              <w:pStyle w:val="TableContents"/>
              <w:bidi w:val="0"/>
              <w:spacing w:before="0" w:after="1"/>
              <w:ind w:left="0" w:right="0" w:hanging="0"/>
              <w:jc w:val="left"/>
              <w:rPr/>
            </w:pPr>
            <w:r>
              <w:rPr/>
              <w:t>​</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1,120,000</w:t>
            </w:r>
          </w:p>
        </w:tc>
        <w:tc>
          <w:tcPr>
            <w:tcW w:w="1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120" w:after="240"/>
        <w:ind w:left="0" w:right="0" w:firstLine="360"/>
        <w:jc w:val="left"/>
        <w:rPr>
          <w:rFonts w:ascii="Times New Roman;Times;serif" w:hAnsi="Times New Roman;Times;serif"/>
          <w:sz w:val="20"/>
        </w:rPr>
      </w:pPr>
      <w:r>
        <w:rPr>
          <w:rFonts w:ascii="Times New Roman;Times;serif" w:hAnsi="Times New Roman;Times;serif"/>
          <w:sz w:val="20"/>
        </w:rPr>
        <w:t>All fees described above were pre-approved by our audit committee. We have furnished the foregoing disclosure to KPMG.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Policy on Audit Committee Pre-Approval of Audit and Permissible Non-Audit Services of Independent Public Accountant</w:t>
      </w:r>
    </w:p>
    <w:p>
      <w:pPr>
        <w:pStyle w:val="TextBody"/>
        <w:bidi w:val="0"/>
        <w:spacing w:before="120" w:after="0"/>
        <w:ind w:left="0" w:right="0" w:firstLine="360"/>
        <w:jc w:val="left"/>
        <w:rPr>
          <w:rFonts w:ascii="Times New Roman;Times;serif" w:hAnsi="Times New Roman;Times;serif"/>
          <w:sz w:val="20"/>
        </w:rPr>
      </w:pPr>
      <w:r>
        <w:rPr>
          <w:rFonts w:ascii="Times New Roman;Times;serif" w:hAnsi="Times New Roman;Times;serif"/>
          <w:sz w:val="20"/>
        </w:rPr>
        <w:t>Consistent with SEC policies regarding auditor independence, our audit committee has responsibility for appointing, setting compensation and overseeing the work of our independent registered public accounting firm. In recognition of this responsibility, our audit committee has established a policy to pre-approve all audit and permissible non-audit services provided by our independent registered public accounting firm.</w:t>
      </w:r>
    </w:p>
    <w:p>
      <w:pPr>
        <w:pStyle w:val="TextBody"/>
        <w:bidi w:val="0"/>
        <w:spacing w:before="120" w:after="0"/>
        <w:ind w:left="0" w:right="0" w:firstLine="360"/>
        <w:jc w:val="left"/>
        <w:rPr>
          <w:rFonts w:ascii="Times New Roman;Times;serif" w:hAnsi="Times New Roman;Times;serif"/>
          <w:sz w:val="20"/>
        </w:rPr>
      </w:pPr>
      <w:r>
        <w:rPr>
          <w:rFonts w:ascii="Times New Roman;Times;serif" w:hAnsi="Times New Roman;Times;serif"/>
          <w:sz w:val="20"/>
        </w:rPr>
        <w:t xml:space="preserve">Prior to engagement of an independent registered public accounting firm for the next year’s audit, management will submit an aggregate of services expected to be rendered during that year for each of four categories of services to our audit committee for approval. </w:t>
      </w:r>
    </w:p>
    <w:tbl>
      <w:tblPr>
        <w:tblW w:w="10205" w:type="dxa"/>
        <w:jc w:val="left"/>
        <w:tblInd w:w="0" w:type="dxa"/>
        <w:tblLayout w:type="fixed"/>
        <w:tblCellMar>
          <w:top w:w="0" w:type="dxa"/>
          <w:left w:w="0" w:type="dxa"/>
          <w:bottom w:w="0" w:type="dxa"/>
          <w:right w:w="0" w:type="dxa"/>
        </w:tblCellMar>
      </w:tblPr>
      <w:tblGrid>
        <w:gridCol w:w="23"/>
        <w:gridCol w:w="152"/>
        <w:gridCol w:w="10030"/>
      </w:tblGrid>
      <w:tr>
        <w:trPr/>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120" w:after="0"/>
              <w:jc w:val="left"/>
              <w:rPr>
                <w:rFonts w:ascii="Times New Roman;Times;serif" w:hAnsi="Times New Roman;Times;serif"/>
                <w:sz w:val="15"/>
              </w:rPr>
            </w:pPr>
            <w:r>
              <w:rPr>
                <w:rFonts w:ascii="Times New Roman;Times;serif" w:hAnsi="Times New Roman;Times;serif"/>
                <w:sz w:val="15"/>
              </w:rPr>
              <w:t>(1)</w:t>
            </w:r>
          </w:p>
        </w:tc>
        <w:tc>
          <w:tcPr>
            <w:tcW w:w="10030" w:type="dxa"/>
            <w:tcBorders/>
            <w:vAlign w:val="center"/>
          </w:tcPr>
          <w:p>
            <w:pPr>
              <w:pStyle w:val="TableContents"/>
              <w:bidi w:val="0"/>
              <w:spacing w:before="120" w:after="0"/>
              <w:jc w:val="left"/>
              <w:rPr>
                <w:rFonts w:ascii="Times New Roman;Times;serif" w:hAnsi="Times New Roman;Times;serif"/>
                <w:sz w:val="20"/>
              </w:rPr>
            </w:pPr>
            <w:r>
              <w:rPr>
                <w:rFonts w:ascii="Times New Roman;Times;serif" w:hAnsi="Times New Roman;Times;serif"/>
                <w:b/>
                <w:i/>
                <w:sz w:val="20"/>
              </w:rPr>
              <w:t>Audit Fees</w:t>
            </w:r>
            <w:r>
              <w:rPr>
                <w:rFonts w:ascii="Times New Roman;Times;serif" w:hAnsi="Times New Roman;Times;serif"/>
                <w:sz w:val="20"/>
              </w:rPr>
              <w:t xml:space="preserve"> include professional services in connection with the audit of our financial statements, reviews of our interim financial statements, as well as work that generally only an independent registered public accounting firm can reasonably be expected to provide, including comfort letters, statutory audits, and attest services and consultation regarding financial accounting and/or reporting standards.</w:t>
            </w:r>
          </w:p>
        </w:tc>
      </w:tr>
    </w:tbl>
    <w:tbl>
      <w:tblPr>
        <w:tblW w:w="4113" w:type="dxa"/>
        <w:jc w:val="left"/>
        <w:tblInd w:w="0" w:type="dxa"/>
        <w:tblLayout w:type="fixed"/>
        <w:tblCellMar>
          <w:top w:w="0" w:type="dxa"/>
          <w:left w:w="0" w:type="dxa"/>
          <w:bottom w:w="0" w:type="dxa"/>
          <w:right w:w="0" w:type="dxa"/>
        </w:tblCellMar>
      </w:tblPr>
      <w:tblGrid>
        <w:gridCol w:w="23"/>
        <w:gridCol w:w="185"/>
        <w:gridCol w:w="390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120" w:after="0"/>
              <w:jc w:val="left"/>
              <w:rPr>
                <w:rFonts w:ascii="Times New Roman;Times;serif" w:hAnsi="Times New Roman;Times;serif"/>
                <w:sz w:val="15"/>
              </w:rPr>
            </w:pPr>
            <w:r>
              <w:rPr>
                <w:rFonts w:ascii="Times New Roman;Times;serif" w:hAnsi="Times New Roman;Times;serif"/>
                <w:sz w:val="15"/>
              </w:rPr>
              <w:t>(2)</w:t>
            </w:r>
          </w:p>
        </w:tc>
        <w:tc>
          <w:tcPr>
            <w:tcW w:w="3905" w:type="dxa"/>
            <w:tcBorders/>
            <w:vAlign w:val="center"/>
          </w:tcPr>
          <w:p>
            <w:pPr>
              <w:pStyle w:val="TableContents"/>
              <w:bidi w:val="0"/>
              <w:spacing w:before="120" w:after="0"/>
              <w:jc w:val="left"/>
              <w:rPr>
                <w:rFonts w:ascii="Times New Roman;Times;serif" w:hAnsi="Times New Roman;Times;serif"/>
                <w:sz w:val="20"/>
              </w:rPr>
            </w:pPr>
            <w:r>
              <w:rPr>
                <w:rFonts w:ascii="Times New Roman;Times;serif" w:hAnsi="Times New Roman;Times;serif"/>
                <w:sz w:val="20"/>
              </w:rPr>
              <w:t xml:space="preserve">There were no </w:t>
            </w:r>
            <w:r>
              <w:rPr>
                <w:rFonts w:ascii="Times New Roman;Times;serif" w:hAnsi="Times New Roman;Times;serif"/>
                <w:b/>
                <w:i/>
                <w:sz w:val="20"/>
              </w:rPr>
              <w:t>Audit-Related</w:t>
            </w:r>
            <w:r>
              <w:rPr>
                <w:rFonts w:ascii="Times New Roman;Times;serif" w:hAnsi="Times New Roman;Times;serif"/>
                <w:sz w:val="20"/>
              </w:rPr>
              <w:t xml:space="preserve"> </w:t>
            </w:r>
            <w:r>
              <w:rPr>
                <w:rFonts w:ascii="Times New Roman;Times;serif" w:hAnsi="Times New Roman;Times;serif"/>
                <w:b/>
                <w:i/>
                <w:sz w:val="20"/>
              </w:rPr>
              <w:t xml:space="preserve">Fees </w:t>
            </w:r>
            <w:r>
              <w:rPr>
                <w:rFonts w:ascii="Times New Roman;Times;serif" w:hAnsi="Times New Roman;Times;serif"/>
                <w:sz w:val="20"/>
              </w:rPr>
              <w:t>during 2023.</w:t>
            </w:r>
          </w:p>
        </w:tc>
      </w:tr>
    </w:tbl>
    <w:tbl>
      <w:tblPr>
        <w:tblW w:w="3273" w:type="dxa"/>
        <w:jc w:val="left"/>
        <w:tblInd w:w="0" w:type="dxa"/>
        <w:tblLayout w:type="fixed"/>
        <w:tblCellMar>
          <w:top w:w="0" w:type="dxa"/>
          <w:left w:w="0" w:type="dxa"/>
          <w:bottom w:w="0" w:type="dxa"/>
          <w:right w:w="0" w:type="dxa"/>
        </w:tblCellMar>
      </w:tblPr>
      <w:tblGrid>
        <w:gridCol w:w="23"/>
        <w:gridCol w:w="185"/>
        <w:gridCol w:w="306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120" w:after="0"/>
              <w:jc w:val="left"/>
              <w:rPr>
                <w:rFonts w:ascii="Times New Roman;Times;serif" w:hAnsi="Times New Roman;Times;serif"/>
                <w:sz w:val="15"/>
              </w:rPr>
            </w:pPr>
            <w:r>
              <w:rPr>
                <w:rFonts w:ascii="Times New Roman;Times;serif" w:hAnsi="Times New Roman;Times;serif"/>
                <w:sz w:val="15"/>
              </w:rPr>
              <w:t>(3)</w:t>
            </w:r>
          </w:p>
        </w:tc>
        <w:tc>
          <w:tcPr>
            <w:tcW w:w="3065" w:type="dxa"/>
            <w:tcBorders/>
            <w:vAlign w:val="center"/>
          </w:tcPr>
          <w:p>
            <w:pPr>
              <w:pStyle w:val="TableContents"/>
              <w:bidi w:val="0"/>
              <w:spacing w:before="120" w:after="0"/>
              <w:jc w:val="left"/>
              <w:rPr>
                <w:rFonts w:ascii="Times New Roman;Times;serif" w:hAnsi="Times New Roman;Times;serif"/>
                <w:sz w:val="20"/>
              </w:rPr>
            </w:pPr>
            <w:r>
              <w:rPr>
                <w:rFonts w:ascii="Times New Roman;Times;serif" w:hAnsi="Times New Roman;Times;serif"/>
                <w:sz w:val="20"/>
              </w:rPr>
              <w:t xml:space="preserve">There were no </w:t>
            </w:r>
            <w:r>
              <w:rPr>
                <w:rFonts w:ascii="Times New Roman;Times;serif" w:hAnsi="Times New Roman;Times;serif"/>
                <w:b/>
                <w:i/>
                <w:sz w:val="20"/>
              </w:rPr>
              <w:t>Tax</w:t>
            </w:r>
            <w:r>
              <w:rPr>
                <w:rFonts w:ascii="Times New Roman;Times;serif" w:hAnsi="Times New Roman;Times;serif"/>
                <w:sz w:val="20"/>
              </w:rPr>
              <w:t xml:space="preserve"> </w:t>
            </w:r>
            <w:r>
              <w:rPr>
                <w:rFonts w:ascii="Times New Roman;Times;serif" w:hAnsi="Times New Roman;Times;serif"/>
                <w:b/>
                <w:i/>
                <w:sz w:val="20"/>
              </w:rPr>
              <w:t xml:space="preserve">Fees </w:t>
            </w:r>
            <w:r>
              <w:rPr>
                <w:rFonts w:ascii="Times New Roman;Times;serif" w:hAnsi="Times New Roman;Times;serif"/>
                <w:sz w:val="20"/>
              </w:rPr>
              <w:t>during 2023.</w:t>
            </w:r>
          </w:p>
        </w:tc>
      </w:tr>
    </w:tbl>
    <w:tbl>
      <w:tblPr>
        <w:tblW w:w="3408" w:type="dxa"/>
        <w:jc w:val="left"/>
        <w:tblInd w:w="0" w:type="dxa"/>
        <w:tblLayout w:type="fixed"/>
        <w:tblCellMar>
          <w:top w:w="0" w:type="dxa"/>
          <w:left w:w="0" w:type="dxa"/>
          <w:bottom w:w="0" w:type="dxa"/>
          <w:right w:w="0" w:type="dxa"/>
        </w:tblCellMar>
      </w:tblPr>
      <w:tblGrid>
        <w:gridCol w:w="23"/>
        <w:gridCol w:w="185"/>
        <w:gridCol w:w="320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120" w:after="0"/>
              <w:jc w:val="left"/>
              <w:rPr>
                <w:rFonts w:ascii="Times New Roman;Times;serif" w:hAnsi="Times New Roman;Times;serif"/>
                <w:sz w:val="15"/>
              </w:rPr>
            </w:pPr>
            <w:r>
              <w:rPr>
                <w:rFonts w:ascii="Times New Roman;Times;serif" w:hAnsi="Times New Roman;Times;serif"/>
                <w:sz w:val="15"/>
              </w:rPr>
              <w:t>(4)</w:t>
            </w:r>
          </w:p>
        </w:tc>
        <w:tc>
          <w:tcPr>
            <w:tcW w:w="3200" w:type="dxa"/>
            <w:tcBorders/>
            <w:vAlign w:val="center"/>
          </w:tcPr>
          <w:p>
            <w:pPr>
              <w:pStyle w:val="TableContents"/>
              <w:bidi w:val="0"/>
              <w:spacing w:before="120" w:after="0"/>
              <w:jc w:val="left"/>
              <w:rPr>
                <w:rFonts w:ascii="Times New Roman;Times;serif" w:hAnsi="Times New Roman;Times;serif"/>
                <w:sz w:val="20"/>
              </w:rPr>
            </w:pPr>
            <w:r>
              <w:rPr>
                <w:rFonts w:ascii="Times New Roman;Times;serif" w:hAnsi="Times New Roman;Times;serif"/>
                <w:sz w:val="20"/>
              </w:rPr>
              <w:t xml:space="preserve">There were no </w:t>
            </w:r>
            <w:r>
              <w:rPr>
                <w:rFonts w:ascii="Times New Roman;Times;serif" w:hAnsi="Times New Roman;Times;serif"/>
                <w:b/>
                <w:i/>
                <w:sz w:val="20"/>
              </w:rPr>
              <w:t>Other Fees</w:t>
            </w:r>
            <w:r>
              <w:rPr>
                <w:rFonts w:ascii="Times New Roman;Times;serif" w:hAnsi="Times New Roman;Times;serif"/>
                <w:sz w:val="20"/>
              </w:rPr>
              <w:t xml:space="preserve"> during 2023.</w:t>
            </w:r>
          </w:p>
        </w:tc>
      </w:tr>
    </w:tbl>
    <w:p>
      <w:pPr>
        <w:pStyle w:val="TextBody"/>
        <w:bidi w:val="0"/>
        <w:spacing w:before="120" w:after="0"/>
        <w:ind w:left="0" w:right="0" w:firstLine="360"/>
        <w:jc w:val="left"/>
        <w:rPr>
          <w:rFonts w:ascii="Times New Roman;Times;serif" w:hAnsi="Times New Roman;Times;serif"/>
          <w:sz w:val="20"/>
        </w:rPr>
      </w:pPr>
      <w:r>
        <w:rPr>
          <w:rFonts w:ascii="Times New Roman;Times;serif" w:hAnsi="Times New Roman;Times;serif"/>
          <w:sz w:val="20"/>
        </w:rPr>
        <w:t>Prior to engagement, our audit committee pre-approves these services by category of service. The fees are budgeted, and our audit committee requires our independent registered public accounting firm and management to report actual fees versus the budget periodically throughout the year by category of service. During the year, circumstances may arise when it may become necessary to engage our independent registered public accounting firm for additional services not contemplated in the original pre-approval. In those instances, our audit committee requires specific pre-approval before engaging our independent registered public accounting firm.</w:t>
      </w:r>
    </w:p>
    <w:p>
      <w:pPr>
        <w:pStyle w:val="TextBody"/>
        <w:bidi w:val="0"/>
        <w:spacing w:before="120" w:after="0"/>
        <w:ind w:left="0" w:right="0" w:firstLine="360"/>
        <w:jc w:val="left"/>
        <w:rPr>
          <w:rFonts w:ascii="Times New Roman;Times;serif" w:hAnsi="Times New Roman;Times;serif"/>
          <w:sz w:val="20"/>
        </w:rPr>
      </w:pPr>
      <w:bookmarkStart w:id="38" w:name="_AEIOULastRenderedPageBreakAEIOU125"/>
      <w:bookmarkEnd w:id="38"/>
      <w:r>
        <w:rPr>
          <w:rFonts w:ascii="Times New Roman;Times;serif" w:hAnsi="Times New Roman;Times;serif"/>
          <w:sz w:val="20"/>
        </w:rPr>
        <w:t>Our audit committee may delegate pre-approval authority to one or more of its members. The member to whom such authority is delegated must report, for informational purposes only, any pre-approval decisions to our audit committee at its next scheduled meeting.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PART IV</w:t>
      </w:r>
      <w:bookmarkStart w:id="39" w:name="PartIV_493200"/>
      <w:bookmarkEnd w:id="39"/>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15. Exhibits and Financial Statement Schedules</w:t>
      </w:r>
      <w:bookmarkStart w:id="40" w:name="Item15ExhibitsandFinancialStatementSched"/>
      <w:bookmarkEnd w:id="40"/>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filed as part of this Annual Report are listed in the Index to Financial Statements. Certain schedules are omitted because they are not applicable, or not required, or because the required information is included in the financial statements or notes thereto. The Exhibits are listed in Item 15 (b) below.</w:t>
            </w:r>
          </w:p>
        </w:tc>
      </w:tr>
    </w:tbl>
    <w:p>
      <w:pPr>
        <w:pStyle w:val="TextBody"/>
        <w:bidi w:val="0"/>
        <w:spacing w:before="0" w:after="0"/>
        <w:ind w:left="400" w:right="0" w:hanging="0"/>
        <w:jc w:val="left"/>
        <w:rPr/>
      </w:pPr>
      <w:r>
        <w:rPr/>
        <w:t>​</w:t>
      </w:r>
    </w:p>
    <w:tbl>
      <w:tblPr>
        <w:tblW w:w="1435" w:type="dxa"/>
        <w:jc w:val="left"/>
        <w:tblInd w:w="0" w:type="dxa"/>
        <w:tblLayout w:type="fixed"/>
        <w:tblCellMar>
          <w:top w:w="0" w:type="dxa"/>
          <w:left w:w="0" w:type="dxa"/>
          <w:bottom w:w="0" w:type="dxa"/>
          <w:right w:w="0" w:type="dxa"/>
        </w:tblCellMar>
      </w:tblPr>
      <w:tblGrid>
        <w:gridCol w:w="245"/>
        <w:gridCol w:w="119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Index.</w:t>
            </w:r>
          </w:p>
        </w:tc>
      </w:tr>
    </w:tbl>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726"/>
        <w:gridCol w:w="109"/>
        <w:gridCol w:w="9370"/>
      </w:tblGrid>
      <w:tr>
        <w:trPr/>
        <w:tc>
          <w:tcPr>
            <w:tcW w:w="726" w:type="dxa"/>
            <w:tcBorders/>
            <w:vAlign w:val="center"/>
          </w:tcPr>
          <w:p>
            <w:pPr>
              <w:pStyle w:val="TableHeading"/>
              <w:bidi w:val="0"/>
              <w:spacing w:before="0" w:after="283"/>
              <w:ind w:left="0" w:right="0" w:hanging="0"/>
              <w:rPr>
                <w:sz w:val="4"/>
                <w:szCs w:val="4"/>
              </w:rPr>
            </w:pPr>
            <w:r>
              <w:rPr>
                <w:sz w:val="4"/>
                <w:szCs w:val="4"/>
              </w:rPr>
            </w:r>
          </w:p>
        </w:tc>
        <w:tc>
          <w:tcPr>
            <w:tcW w:w="109" w:type="dxa"/>
            <w:tcBorders/>
            <w:vAlign w:val="center"/>
          </w:tcPr>
          <w:p>
            <w:pPr>
              <w:pStyle w:val="TableHeading"/>
              <w:bidi w:val="0"/>
              <w:spacing w:before="0" w:after="0"/>
              <w:ind w:left="0" w:right="0" w:hanging="0"/>
              <w:jc w:val="left"/>
              <w:rPr/>
            </w:pPr>
            <w:r>
              <w:rPr/>
              <w:t>​</w:t>
            </w:r>
          </w:p>
        </w:tc>
        <w:tc>
          <w:tcPr>
            <w:tcW w:w="9370" w:type="dxa"/>
            <w:tcBorders/>
            <w:vAlign w:val="center"/>
          </w:tcPr>
          <w:p>
            <w:pPr>
              <w:pStyle w:val="TableHeading"/>
              <w:bidi w:val="0"/>
              <w:spacing w:before="0" w:after="283"/>
              <w:ind w:left="0" w:right="0" w:hanging="0"/>
              <w:rPr>
                <w:sz w:val="4"/>
                <w:szCs w:val="4"/>
              </w:rPr>
            </w:pPr>
            <w:r>
              <w:rPr>
                <w:sz w:val="4"/>
                <w:szCs w:val="4"/>
              </w:rPr>
            </w:r>
          </w:p>
        </w:tc>
      </w:tr>
      <w:tr>
        <w:trPr/>
        <w:tc>
          <w:tcPr>
            <w:tcW w:w="726" w:type="dxa"/>
            <w:tcBorders>
              <w:bottom w:val="single" w:sz="2" w:space="0" w:color="000000"/>
            </w:tcBorders>
            <w:tcMar>
              <w:bottom w:w="28" w:type="dxa"/>
            </w:tcMar>
            <w:vAlign w:val="center"/>
          </w:tcPr>
          <w:p>
            <w:pPr>
              <w:pStyle w:val="TableHeading"/>
              <w:bidi w:val="0"/>
              <w:spacing w:before="0" w:after="60"/>
              <w:ind w:left="0" w:right="0" w:hanging="0"/>
              <w:jc w:val="center"/>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br/>
            </w:r>
            <w:r>
              <w:rPr>
                <w:rFonts w:ascii="Times New Roman;Times;serif" w:hAnsi="Times New Roman;Times;serif"/>
                <w:b/>
                <w:sz w:val="16"/>
              </w:rPr>
              <w:t xml:space="preserve">Number </w:t>
            </w:r>
          </w:p>
        </w:tc>
        <w:tc>
          <w:tcPr>
            <w:tcW w:w="109" w:type="dxa"/>
            <w:tcBorders>
              <w:bottom w:val="single" w:sz="2" w:space="0" w:color="000000"/>
            </w:tcBorders>
            <w:tcMar>
              <w:bottom w:w="28" w:type="dxa"/>
            </w:tcMar>
            <w:vAlign w:val="center"/>
          </w:tcPr>
          <w:p>
            <w:pPr>
              <w:pStyle w:val="TableHeading"/>
              <w:bidi w:val="0"/>
              <w:spacing w:before="0" w:after="60"/>
              <w:ind w:left="0" w:right="0" w:hanging="0"/>
              <w:jc w:val="center"/>
              <w:rPr/>
            </w:pPr>
            <w:r>
              <w:rPr/>
              <w:t>​</w:t>
            </w:r>
          </w:p>
        </w:tc>
        <w:tc>
          <w:tcPr>
            <w:tcW w:w="9370" w:type="dxa"/>
            <w:tcBorders>
              <w:bottom w:val="single" w:sz="2" w:space="0" w:color="000000"/>
            </w:tcBorders>
            <w:tcMar>
              <w:bottom w:w="28" w:type="dxa"/>
            </w:tcMar>
            <w:vAlign w:val="center"/>
          </w:tcPr>
          <w:p>
            <w:pPr>
              <w:pStyle w:val="TableHeading"/>
              <w:bidi w:val="0"/>
              <w:spacing w:before="0" w:after="60"/>
              <w:ind w:left="0" w:right="0" w:hanging="0"/>
              <w:jc w:val="center"/>
              <w:rPr>
                <w:rFonts w:ascii="Times New Roman;Times;serif" w:hAnsi="Times New Roman;Times;serif"/>
                <w:b/>
                <w:sz w:val="16"/>
              </w:rPr>
            </w:pPr>
            <w:r>
              <w:rPr>
                <w:rFonts w:ascii="Times New Roman;Times;serif" w:hAnsi="Times New Roman;Times;serif"/>
                <w:b/>
                <w:sz w:val="16"/>
              </w:rPr>
              <w:t xml:space="preserve">Description of Exhibit </w:t>
            </w:r>
          </w:p>
        </w:tc>
      </w:tr>
      <w:tr>
        <w:trPr/>
        <w:tc>
          <w:tcPr>
            <w:tcW w:w="726" w:type="dxa"/>
            <w:tcBorders/>
            <w:vAlign w:val="center"/>
          </w:tcPr>
          <w:p>
            <w:pPr>
              <w:pStyle w:val="TableContents"/>
              <w:bidi w:val="0"/>
              <w:spacing w:before="0" w:after="60"/>
              <w:ind w:left="0" w:right="0" w:hanging="0"/>
              <w:jc w:val="left"/>
              <w:rPr/>
            </w:pPr>
            <w:r>
              <w:rPr/>
              <w:t> </w:t>
            </w:r>
            <w:r>
              <w:rPr>
                <w:rFonts w:ascii="Times New Roman;Times;serif" w:hAnsi="Times New Roman;Times;serif"/>
                <w:sz w:val="20"/>
              </w:rPr>
              <w:t>3.1</w:t>
            </w:r>
          </w:p>
        </w:tc>
        <w:tc>
          <w:tcPr>
            <w:tcW w:w="109" w:type="dxa"/>
            <w:tcBorders/>
            <w:vAlign w:val="center"/>
          </w:tcPr>
          <w:p>
            <w:pPr>
              <w:pStyle w:val="TableContents"/>
              <w:bidi w:val="0"/>
              <w:spacing w:before="0" w:after="60"/>
              <w:ind w:left="0" w:right="0" w:hanging="0"/>
              <w:jc w:val="left"/>
              <w:rPr/>
            </w:pPr>
            <w:r>
              <w:rPr/>
              <w:t>​</w:t>
            </w:r>
          </w:p>
        </w:tc>
        <w:tc>
          <w:tcPr>
            <w:tcW w:w="9370" w:type="dxa"/>
            <w:tcBorders/>
            <w:vAlign w:val="center"/>
          </w:tcPr>
          <w:p>
            <w:pPr>
              <w:pStyle w:val="TableContents"/>
              <w:bidi w:val="0"/>
              <w:spacing w:before="0" w:after="60"/>
              <w:ind w:left="0" w:right="0" w:hanging="0"/>
              <w:jc w:val="left"/>
              <w:rPr/>
            </w:pPr>
            <w:hyperlink r:id="rId29">
              <w:r>
                <w:rPr>
                  <w:rStyle w:val="InternetLink"/>
                  <w:rFonts w:ascii="Times New Roman;Times;serif" w:hAnsi="Times New Roman;Times;serif"/>
                  <w:b w:val="false"/>
                  <w:i w:val="false"/>
                  <w:caps w:val="false"/>
                  <w:smallCaps w:val="false"/>
                  <w:sz w:val="20"/>
                </w:rPr>
                <w:t>Amended and Restated Certificate of Incorporation (incorporated by reference to Exhibit 3.1 of the Registrant’s Current Report on Form 8-K (File No. 001-41929) filed with the SEC on January 30, 2024).</w:t>
              </w:r>
            </w:hyperlink>
          </w:p>
        </w:tc>
      </w:tr>
      <w:tr>
        <w:trPr/>
        <w:tc>
          <w:tcPr>
            <w:tcW w:w="726" w:type="dxa"/>
            <w:tcBorders/>
            <w:vAlign w:val="center"/>
          </w:tcPr>
          <w:p>
            <w:pPr>
              <w:pStyle w:val="TableContents"/>
              <w:bidi w:val="0"/>
              <w:spacing w:before="0" w:after="60"/>
              <w:ind w:left="0" w:right="0" w:hanging="0"/>
              <w:jc w:val="left"/>
              <w:rPr/>
            </w:pPr>
            <w:r>
              <w:rPr/>
              <w:t> </w:t>
            </w:r>
            <w:r>
              <w:rPr>
                <w:rFonts w:ascii="Times New Roman;Times;serif" w:hAnsi="Times New Roman;Times;serif"/>
                <w:sz w:val="20"/>
              </w:rPr>
              <w:t>3.2</w:t>
            </w:r>
          </w:p>
        </w:tc>
        <w:tc>
          <w:tcPr>
            <w:tcW w:w="109" w:type="dxa"/>
            <w:tcBorders/>
            <w:vAlign w:val="center"/>
          </w:tcPr>
          <w:p>
            <w:pPr>
              <w:pStyle w:val="TableContents"/>
              <w:bidi w:val="0"/>
              <w:spacing w:before="0" w:after="60"/>
              <w:ind w:left="0" w:right="0" w:hanging="0"/>
              <w:jc w:val="left"/>
              <w:rPr/>
            </w:pPr>
            <w:r>
              <w:rPr/>
              <w:t>​</w:t>
            </w:r>
          </w:p>
        </w:tc>
        <w:tc>
          <w:tcPr>
            <w:tcW w:w="9370" w:type="dxa"/>
            <w:tcBorders/>
            <w:vAlign w:val="center"/>
          </w:tcPr>
          <w:p>
            <w:pPr>
              <w:pStyle w:val="TableContents"/>
              <w:bidi w:val="0"/>
              <w:spacing w:before="0" w:after="60"/>
              <w:ind w:left="0" w:right="0" w:hanging="0"/>
              <w:jc w:val="left"/>
              <w:rPr/>
            </w:pPr>
            <w:hyperlink r:id="rId30">
              <w:r>
                <w:rPr>
                  <w:rStyle w:val="InternetLink"/>
                  <w:rFonts w:ascii="Times New Roman;Times;serif" w:hAnsi="Times New Roman;Times;serif"/>
                  <w:b w:val="false"/>
                  <w:i w:val="false"/>
                  <w:caps w:val="false"/>
                  <w:smallCaps w:val="false"/>
                  <w:sz w:val="20"/>
                </w:rPr>
                <w:t>Amended and Restated Bylaws (incorporated by reference to Exhibit 3.2 of the Registrant’s Current Report on Form 8-K (File No. 001-41929) filed with the SEC on January 30, 2024).</w:t>
              </w:r>
            </w:hyperlink>
          </w:p>
        </w:tc>
      </w:tr>
      <w:tr>
        <w:trPr/>
        <w:tc>
          <w:tcPr>
            <w:tcW w:w="726" w:type="dxa"/>
            <w:tcBorders/>
            <w:vAlign w:val="center"/>
          </w:tcPr>
          <w:p>
            <w:pPr>
              <w:pStyle w:val="TableContents"/>
              <w:bidi w:val="0"/>
              <w:spacing w:before="0" w:after="60"/>
              <w:ind w:left="0" w:right="0" w:hanging="0"/>
              <w:jc w:val="left"/>
              <w:rPr/>
            </w:pPr>
            <w:r>
              <w:rPr/>
              <w:t> </w:t>
            </w:r>
            <w:r>
              <w:rPr>
                <w:rFonts w:ascii="Times New Roman;Times;serif" w:hAnsi="Times New Roman;Times;serif"/>
                <w:sz w:val="20"/>
              </w:rPr>
              <w:t>4.1</w:t>
            </w:r>
          </w:p>
        </w:tc>
        <w:tc>
          <w:tcPr>
            <w:tcW w:w="109" w:type="dxa"/>
            <w:tcBorders/>
            <w:vAlign w:val="center"/>
          </w:tcPr>
          <w:p>
            <w:pPr>
              <w:pStyle w:val="TableContents"/>
              <w:bidi w:val="0"/>
              <w:spacing w:before="0" w:after="60"/>
              <w:ind w:left="0" w:right="0" w:hanging="0"/>
              <w:jc w:val="left"/>
              <w:rPr/>
            </w:pPr>
            <w:r>
              <w:rPr/>
              <w:t>​</w:t>
            </w:r>
          </w:p>
        </w:tc>
        <w:tc>
          <w:tcPr>
            <w:tcW w:w="9370" w:type="dxa"/>
            <w:tcBorders/>
            <w:vAlign w:val="center"/>
          </w:tcPr>
          <w:p>
            <w:pPr>
              <w:pStyle w:val="TableContents"/>
              <w:bidi w:val="0"/>
              <w:spacing w:before="0" w:after="60"/>
              <w:ind w:left="0" w:right="0" w:hanging="0"/>
              <w:jc w:val="left"/>
              <w:rPr/>
            </w:pPr>
            <w:hyperlink r:id="rId31">
              <w:r>
                <w:rPr>
                  <w:rStyle w:val="InternetLink"/>
                  <w:rFonts w:ascii="Times New Roman;Times;serif" w:hAnsi="Times New Roman;Times;serif"/>
                  <w:b w:val="false"/>
                  <w:i w:val="false"/>
                  <w:caps w:val="false"/>
                  <w:smallCaps w:val="false"/>
                  <w:sz w:val="20"/>
                </w:rPr>
                <w:t>Specimen Common Stock Certificate (incorporated by reference to Exhibit 4.1 of the Registrant’s Registration Statement on Form S-1 (File No. 333-276397) filed on January 5, 2024).</w:t>
              </w:r>
            </w:hyperlink>
          </w:p>
        </w:tc>
      </w:tr>
      <w:tr>
        <w:trPr/>
        <w:tc>
          <w:tcPr>
            <w:tcW w:w="726" w:type="dxa"/>
            <w:tcBorders/>
            <w:vAlign w:val="center"/>
          </w:tcPr>
          <w:p>
            <w:pPr>
              <w:pStyle w:val="TableContents"/>
              <w:bidi w:val="0"/>
              <w:spacing w:before="0" w:after="60"/>
              <w:ind w:left="0" w:right="0" w:hanging="0"/>
              <w:jc w:val="left"/>
              <w:rPr/>
            </w:pPr>
            <w:r>
              <w:rPr/>
              <w:t> </w:t>
            </w:r>
            <w:r>
              <w:rPr>
                <w:rFonts w:ascii="Times New Roman;Times;serif" w:hAnsi="Times New Roman;Times;serif"/>
                <w:sz w:val="20"/>
              </w:rPr>
              <w:t>4.2</w:t>
            </w:r>
          </w:p>
        </w:tc>
        <w:tc>
          <w:tcPr>
            <w:tcW w:w="109" w:type="dxa"/>
            <w:tcBorders/>
            <w:vAlign w:val="center"/>
          </w:tcPr>
          <w:p>
            <w:pPr>
              <w:pStyle w:val="TableContents"/>
              <w:bidi w:val="0"/>
              <w:spacing w:before="0" w:after="60"/>
              <w:ind w:left="0" w:right="0" w:hanging="0"/>
              <w:jc w:val="left"/>
              <w:rPr/>
            </w:pPr>
            <w:r>
              <w:rPr/>
              <w:t>​</w:t>
            </w:r>
          </w:p>
        </w:tc>
        <w:tc>
          <w:tcPr>
            <w:tcW w:w="9370" w:type="dxa"/>
            <w:tcBorders/>
            <w:vAlign w:val="center"/>
          </w:tcPr>
          <w:p>
            <w:pPr>
              <w:pStyle w:val="TableContents"/>
              <w:bidi w:val="0"/>
              <w:spacing w:before="0" w:after="60"/>
              <w:ind w:left="0" w:right="0" w:hanging="0"/>
              <w:jc w:val="left"/>
              <w:rPr/>
            </w:pPr>
            <w:hyperlink r:id="rId32">
              <w:r>
                <w:rPr>
                  <w:rStyle w:val="InternetLink"/>
                  <w:rFonts w:ascii="Times New Roman;Times;serif" w:hAnsi="Times New Roman;Times;serif"/>
                  <w:b w:val="false"/>
                  <w:i w:val="false"/>
                  <w:caps w:val="false"/>
                  <w:smallCaps w:val="false"/>
                  <w:sz w:val="20"/>
                </w:rPr>
                <w:t>Amended and Restated Investors’ Rights Agreement, dated as of December 16, 2022 (incorporated by reference to Exhibit 4.2 of the Registrant’s Registration Statement on Form S-1 (File No. 333-276397) filed on January 5, 2024).</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167</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center"/>
        <w:tblInd w:w="0" w:type="dxa"/>
        <w:tblLayout w:type="fixed"/>
        <w:tblCellMar>
          <w:top w:w="0" w:type="dxa"/>
          <w:left w:w="0" w:type="dxa"/>
          <w:bottom w:w="0" w:type="dxa"/>
          <w:right w:w="0" w:type="dxa"/>
        </w:tblCellMar>
      </w:tblPr>
      <w:tblGrid>
        <w:gridCol w:w="719"/>
        <w:gridCol w:w="109"/>
        <w:gridCol w:w="9377"/>
      </w:tblGrid>
      <w:tr>
        <w:trPr/>
        <w:tc>
          <w:tcPr>
            <w:tcW w:w="719" w:type="dxa"/>
            <w:tcBorders/>
            <w:vAlign w:val="center"/>
          </w:tcPr>
          <w:p>
            <w:pPr>
              <w:pStyle w:val="TableHeading"/>
              <w:bidi w:val="0"/>
              <w:spacing w:before="0" w:after="283"/>
              <w:ind w:left="0" w:right="0" w:hanging="0"/>
              <w:rPr>
                <w:sz w:val="4"/>
                <w:szCs w:val="4"/>
              </w:rPr>
            </w:pPr>
            <w:r>
              <w:rPr>
                <w:sz w:val="4"/>
                <w:szCs w:val="4"/>
              </w:rPr>
            </w:r>
          </w:p>
        </w:tc>
        <w:tc>
          <w:tcPr>
            <w:tcW w:w="109" w:type="dxa"/>
            <w:tcBorders/>
            <w:vAlign w:val="center"/>
          </w:tcPr>
          <w:p>
            <w:pPr>
              <w:pStyle w:val="TableHeading"/>
              <w:bidi w:val="0"/>
              <w:spacing w:before="0" w:after="0"/>
              <w:ind w:left="0" w:right="0" w:hanging="0"/>
              <w:jc w:val="left"/>
              <w:rPr/>
            </w:pPr>
            <w:r>
              <w:rPr/>
              <w:t>​</w:t>
            </w:r>
          </w:p>
        </w:tc>
        <w:tc>
          <w:tcPr>
            <w:tcW w:w="9377" w:type="dxa"/>
            <w:tcBorders/>
            <w:vAlign w:val="center"/>
          </w:tcPr>
          <w:p>
            <w:pPr>
              <w:pStyle w:val="TableHeading"/>
              <w:bidi w:val="0"/>
              <w:spacing w:before="0" w:after="283"/>
              <w:ind w:left="0" w:right="0" w:hanging="0"/>
              <w:rPr>
                <w:sz w:val="4"/>
                <w:szCs w:val="4"/>
              </w:rPr>
            </w:pPr>
            <w:r>
              <w:rPr>
                <w:sz w:val="4"/>
                <w:szCs w:val="4"/>
              </w:rPr>
            </w:r>
          </w:p>
        </w:tc>
      </w:tr>
      <w:tr>
        <w:trPr/>
        <w:tc>
          <w:tcPr>
            <w:tcW w:w="719" w:type="dxa"/>
            <w:tcBorders>
              <w:bottom w:val="single" w:sz="2" w:space="0" w:color="000000"/>
            </w:tcBorders>
            <w:tcMar>
              <w:bottom w:w="28" w:type="dxa"/>
            </w:tcMar>
            <w:vAlign w:val="center"/>
          </w:tcPr>
          <w:p>
            <w:pPr>
              <w:pStyle w:val="TableHeading"/>
              <w:bidi w:val="0"/>
              <w:spacing w:before="0" w:after="60"/>
              <w:ind w:left="0" w:right="0" w:hanging="0"/>
              <w:jc w:val="center"/>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br/>
            </w:r>
            <w:r>
              <w:rPr>
                <w:rFonts w:ascii="Times New Roman;Times;serif" w:hAnsi="Times New Roman;Times;serif"/>
                <w:b/>
                <w:sz w:val="16"/>
              </w:rPr>
              <w:t xml:space="preserve">Number </w:t>
            </w:r>
          </w:p>
        </w:tc>
        <w:tc>
          <w:tcPr>
            <w:tcW w:w="109" w:type="dxa"/>
            <w:tcBorders>
              <w:bottom w:val="single" w:sz="2" w:space="0" w:color="000000"/>
            </w:tcBorders>
            <w:tcMar>
              <w:bottom w:w="28" w:type="dxa"/>
            </w:tcMar>
            <w:vAlign w:val="center"/>
          </w:tcPr>
          <w:p>
            <w:pPr>
              <w:pStyle w:val="TableHeading"/>
              <w:bidi w:val="0"/>
              <w:spacing w:before="0" w:after="60"/>
              <w:ind w:left="0" w:right="0" w:hanging="0"/>
              <w:jc w:val="center"/>
              <w:rPr/>
            </w:pPr>
            <w:r>
              <w:rPr/>
              <w:t>​</w:t>
            </w:r>
          </w:p>
        </w:tc>
        <w:tc>
          <w:tcPr>
            <w:tcW w:w="9377" w:type="dxa"/>
            <w:tcBorders>
              <w:bottom w:val="single" w:sz="2" w:space="0" w:color="000000"/>
            </w:tcBorders>
            <w:tcMar>
              <w:bottom w:w="28" w:type="dxa"/>
            </w:tcMar>
            <w:vAlign w:val="center"/>
          </w:tcPr>
          <w:p>
            <w:pPr>
              <w:pStyle w:val="TableHeading"/>
              <w:bidi w:val="0"/>
              <w:spacing w:before="0" w:after="60"/>
              <w:ind w:left="0" w:right="0" w:hanging="0"/>
              <w:jc w:val="center"/>
              <w:rPr>
                <w:rFonts w:ascii="Times New Roman;Times;serif" w:hAnsi="Times New Roman;Times;serif"/>
                <w:b/>
                <w:sz w:val="16"/>
              </w:rPr>
            </w:pPr>
            <w:r>
              <w:rPr>
                <w:rFonts w:ascii="Times New Roman;Times;serif" w:hAnsi="Times New Roman;Times;serif"/>
                <w:b/>
                <w:sz w:val="16"/>
              </w:rPr>
              <w:t xml:space="preserve">Description of Exhibit </w:t>
            </w:r>
          </w:p>
        </w:tc>
      </w:tr>
      <w:tr>
        <w:trPr/>
        <w:tc>
          <w:tcPr>
            <w:tcW w:w="719"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4.3*</w:t>
            </w:r>
          </w:p>
        </w:tc>
        <w:tc>
          <w:tcPr>
            <w:tcW w:w="109" w:type="dxa"/>
            <w:tcBorders/>
            <w:vAlign w:val="center"/>
          </w:tcPr>
          <w:p>
            <w:pPr>
              <w:pStyle w:val="TableContents"/>
              <w:bidi w:val="0"/>
              <w:spacing w:before="0" w:after="60"/>
              <w:ind w:left="0" w:right="0" w:hanging="0"/>
              <w:jc w:val="left"/>
              <w:rPr/>
            </w:pPr>
            <w:r>
              <w:rPr/>
              <w:t>​</w:t>
            </w:r>
          </w:p>
        </w:tc>
        <w:tc>
          <w:tcPr>
            <w:tcW w:w="9377" w:type="dxa"/>
            <w:tcBorders/>
            <w:vAlign w:val="center"/>
          </w:tcPr>
          <w:p>
            <w:pPr>
              <w:pStyle w:val="TableContents"/>
              <w:bidi w:val="0"/>
              <w:spacing w:before="0" w:after="60"/>
              <w:ind w:left="0" w:right="0" w:hanging="0"/>
              <w:jc w:val="left"/>
              <w:rPr/>
            </w:pPr>
            <w:hyperlink w:anchor="tmb-20231231xex4d3.htm">
              <w:r>
                <w:rPr>
                  <w:rStyle w:val="InternetLink"/>
                  <w:rFonts w:ascii="Times New Roman;Times;serif" w:hAnsi="Times New Roman;Times;serif"/>
                  <w:b w:val="false"/>
                  <w:i w:val="false"/>
                  <w:caps w:val="false"/>
                  <w:smallCaps w:val="false"/>
                  <w:sz w:val="20"/>
                </w:rPr>
                <w:t>Description of Securities.</w:t>
              </w:r>
            </w:hyperlink>
          </w:p>
        </w:tc>
      </w:tr>
      <w:tr>
        <w:trPr/>
        <w:tc>
          <w:tcPr>
            <w:tcW w:w="719"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60"/>
              <w:ind w:left="0" w:right="0" w:hanging="0"/>
              <w:jc w:val="left"/>
              <w:rPr/>
            </w:pPr>
            <w:r>
              <w:rPr/>
              <w:t>​</w:t>
            </w:r>
          </w:p>
        </w:tc>
        <w:tc>
          <w:tcPr>
            <w:tcW w:w="9377" w:type="dxa"/>
            <w:tcBorders/>
            <w:vAlign w:val="center"/>
          </w:tcPr>
          <w:p>
            <w:pPr>
              <w:pStyle w:val="TableContents"/>
              <w:bidi w:val="0"/>
              <w:spacing w:before="0" w:after="60"/>
              <w:ind w:left="0" w:right="0" w:hanging="0"/>
              <w:jc w:val="left"/>
              <w:rPr/>
            </w:pPr>
            <w:hyperlink r:id="rId33">
              <w:r>
                <w:rPr>
                  <w:rStyle w:val="InternetLink"/>
                  <w:rFonts w:ascii="Times New Roman;Times;serif" w:hAnsi="Times New Roman;Times;serif"/>
                  <w:b w:val="false"/>
                  <w:i w:val="false"/>
                  <w:caps w:val="false"/>
                  <w:smallCaps w:val="false"/>
                  <w:sz w:val="20"/>
                </w:rPr>
                <w:t>Form of Indemnification Agreement (incorporated by reference to Exhibit 10.1 of the Registrant’s Registration Statement on Form S-1 (File No. 333-276397) filed on January 5, 2024).</w:t>
              </w:r>
            </w:hyperlink>
          </w:p>
        </w:tc>
      </w:tr>
      <w:tr>
        <w:trPr/>
        <w:tc>
          <w:tcPr>
            <w:tcW w:w="719"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before="0" w:after="60"/>
              <w:ind w:left="0" w:right="0" w:hanging="0"/>
              <w:jc w:val="left"/>
              <w:rPr/>
            </w:pPr>
            <w:r>
              <w:rPr/>
              <w:t>​</w:t>
            </w:r>
          </w:p>
        </w:tc>
        <w:tc>
          <w:tcPr>
            <w:tcW w:w="9377" w:type="dxa"/>
            <w:tcBorders/>
            <w:vAlign w:val="center"/>
          </w:tcPr>
          <w:p>
            <w:pPr>
              <w:pStyle w:val="TableContents"/>
              <w:bidi w:val="0"/>
              <w:spacing w:before="0" w:after="60"/>
              <w:ind w:left="0" w:right="0" w:hanging="0"/>
              <w:jc w:val="left"/>
              <w:rPr/>
            </w:pPr>
            <w:hyperlink r:id="rId34">
              <w:r>
                <w:rPr>
                  <w:rStyle w:val="InternetLink"/>
                  <w:rFonts w:ascii="Times New Roman;Times;serif" w:hAnsi="Times New Roman;Times;serif"/>
                  <w:b w:val="false"/>
                  <w:i w:val="false"/>
                  <w:caps w:val="false"/>
                  <w:smallCaps w:val="false"/>
                  <w:sz w:val="20"/>
                </w:rPr>
                <w:t>2021 Employee, Director and Consultant Equity Incentive Plan, as amended and form of stock option agreement thereunder (incorporated by reference to Exhibit 10.2 of the Registrant’s Registration Statement on Form S-1 (File No. 333-276397) filed on January 5, 2024)</w:t>
              </w:r>
            </w:hyperlink>
          </w:p>
        </w:tc>
      </w:tr>
      <w:tr>
        <w:trPr/>
        <w:tc>
          <w:tcPr>
            <w:tcW w:w="719"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10.3+</w:t>
            </w:r>
          </w:p>
        </w:tc>
        <w:tc>
          <w:tcPr>
            <w:tcW w:w="109" w:type="dxa"/>
            <w:tcBorders/>
            <w:vAlign w:val="center"/>
          </w:tcPr>
          <w:p>
            <w:pPr>
              <w:pStyle w:val="TableContents"/>
              <w:bidi w:val="0"/>
              <w:spacing w:before="0" w:after="60"/>
              <w:ind w:left="0" w:right="0" w:hanging="0"/>
              <w:jc w:val="left"/>
              <w:rPr/>
            </w:pPr>
            <w:r>
              <w:rPr/>
              <w:t>​</w:t>
            </w:r>
          </w:p>
        </w:tc>
        <w:tc>
          <w:tcPr>
            <w:tcW w:w="9377" w:type="dxa"/>
            <w:tcBorders/>
            <w:vAlign w:val="center"/>
          </w:tcPr>
          <w:p>
            <w:pPr>
              <w:pStyle w:val="TableContents"/>
              <w:bidi w:val="0"/>
              <w:spacing w:before="0" w:after="60"/>
              <w:ind w:left="0" w:right="0" w:hanging="0"/>
              <w:jc w:val="left"/>
              <w:rPr/>
            </w:pPr>
            <w:hyperlink r:id="rId35">
              <w:r>
                <w:rPr>
                  <w:rStyle w:val="InternetLink"/>
                  <w:rFonts w:ascii="Times New Roman;Times;serif" w:hAnsi="Times New Roman;Times;serif"/>
                  <w:b w:val="false"/>
                  <w:i w:val="false"/>
                  <w:caps w:val="false"/>
                  <w:smallCaps w:val="false"/>
                  <w:sz w:val="20"/>
                </w:rPr>
                <w:t>2024 Employee, Director and Consultant Equity Incentive Plan, form of stock option agreement and form of restricted stock agreement thereunder (incorporated by reference to Exhibit 10.3 of the Registrant’s Registration Statement on Form S-1/A (File No. 333-276397) filed on January 22, 2024).</w:t>
              </w:r>
            </w:hyperlink>
          </w:p>
        </w:tc>
      </w:tr>
      <w:tr>
        <w:trPr/>
        <w:tc>
          <w:tcPr>
            <w:tcW w:w="719"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60"/>
              <w:ind w:left="0" w:right="0" w:hanging="0"/>
              <w:jc w:val="left"/>
              <w:rPr/>
            </w:pPr>
            <w:r>
              <w:rPr/>
              <w:t>​</w:t>
            </w:r>
          </w:p>
        </w:tc>
        <w:tc>
          <w:tcPr>
            <w:tcW w:w="9377" w:type="dxa"/>
            <w:tcBorders/>
            <w:vAlign w:val="center"/>
          </w:tcPr>
          <w:p>
            <w:pPr>
              <w:pStyle w:val="TableContents"/>
              <w:bidi w:val="0"/>
              <w:spacing w:before="0" w:after="60"/>
              <w:ind w:left="0" w:right="0" w:hanging="0"/>
              <w:jc w:val="left"/>
              <w:rPr/>
            </w:pPr>
            <w:hyperlink r:id="rId36">
              <w:r>
                <w:rPr>
                  <w:rStyle w:val="InternetLink"/>
                  <w:rFonts w:ascii="Times New Roman;Times;serif" w:hAnsi="Times New Roman;Times;serif"/>
                  <w:b w:val="false"/>
                  <w:i w:val="false"/>
                  <w:caps w:val="false"/>
                  <w:smallCaps w:val="false"/>
                  <w:sz w:val="20"/>
                </w:rPr>
                <w:t>ArriVent BioPharma, Inc. Executive Severance Plan (incorporated by reference to Exhibit 10.4 of the Registrant’s Registration Statement on Form S-1 (File No. 333-276397) filed on January 5, 2024).</w:t>
              </w:r>
            </w:hyperlink>
          </w:p>
        </w:tc>
      </w:tr>
      <w:tr>
        <w:trPr/>
        <w:tc>
          <w:tcPr>
            <w:tcW w:w="719"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10.5+</w:t>
            </w:r>
          </w:p>
        </w:tc>
        <w:tc>
          <w:tcPr>
            <w:tcW w:w="109" w:type="dxa"/>
            <w:tcBorders/>
            <w:vAlign w:val="center"/>
          </w:tcPr>
          <w:p>
            <w:pPr>
              <w:pStyle w:val="TableContents"/>
              <w:bidi w:val="0"/>
              <w:spacing w:before="0" w:after="60"/>
              <w:ind w:left="0" w:right="0" w:hanging="0"/>
              <w:jc w:val="left"/>
              <w:rPr/>
            </w:pPr>
            <w:r>
              <w:rPr/>
              <w:t>​</w:t>
            </w:r>
          </w:p>
        </w:tc>
        <w:tc>
          <w:tcPr>
            <w:tcW w:w="9377" w:type="dxa"/>
            <w:tcBorders/>
            <w:vAlign w:val="center"/>
          </w:tcPr>
          <w:p>
            <w:pPr>
              <w:pStyle w:val="TableContents"/>
              <w:bidi w:val="0"/>
              <w:spacing w:before="0" w:after="60"/>
              <w:ind w:left="0" w:right="0" w:hanging="0"/>
              <w:jc w:val="left"/>
              <w:rPr/>
            </w:pPr>
            <w:hyperlink r:id="rId37">
              <w:r>
                <w:rPr>
                  <w:rStyle w:val="InternetLink"/>
                  <w:rFonts w:ascii="Times New Roman;Times;serif" w:hAnsi="Times New Roman;Times;serif"/>
                  <w:b w:val="false"/>
                  <w:i w:val="false"/>
                  <w:caps w:val="false"/>
                  <w:smallCaps w:val="false"/>
                  <w:sz w:val="20"/>
                </w:rPr>
                <w:t>Non-Employee Director Compensation Policy (incorporated by reference to Exhibit 10.5 of the Registrant’s Registration Statement on Form S-1 (File No. 333-276397) filed on January 5, 2024).</w:t>
              </w:r>
            </w:hyperlink>
          </w:p>
        </w:tc>
      </w:tr>
      <w:tr>
        <w:trPr/>
        <w:tc>
          <w:tcPr>
            <w:tcW w:w="719"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10.6+</w:t>
            </w:r>
          </w:p>
        </w:tc>
        <w:tc>
          <w:tcPr>
            <w:tcW w:w="109" w:type="dxa"/>
            <w:tcBorders/>
            <w:vAlign w:val="center"/>
          </w:tcPr>
          <w:p>
            <w:pPr>
              <w:pStyle w:val="TableContents"/>
              <w:bidi w:val="0"/>
              <w:spacing w:before="0" w:after="60"/>
              <w:ind w:left="0" w:right="0" w:hanging="0"/>
              <w:jc w:val="left"/>
              <w:rPr/>
            </w:pPr>
            <w:r>
              <w:rPr/>
              <w:t>​</w:t>
            </w:r>
          </w:p>
        </w:tc>
        <w:tc>
          <w:tcPr>
            <w:tcW w:w="9377" w:type="dxa"/>
            <w:tcBorders/>
            <w:vAlign w:val="center"/>
          </w:tcPr>
          <w:p>
            <w:pPr>
              <w:pStyle w:val="TableContents"/>
              <w:bidi w:val="0"/>
              <w:spacing w:before="0" w:after="60"/>
              <w:ind w:left="0" w:right="0" w:hanging="0"/>
              <w:jc w:val="left"/>
              <w:rPr/>
            </w:pPr>
            <w:hyperlink r:id="rId38">
              <w:r>
                <w:rPr>
                  <w:rStyle w:val="InternetLink"/>
                  <w:rFonts w:ascii="Times New Roman;Times;serif" w:hAnsi="Times New Roman;Times;serif"/>
                  <w:b w:val="false"/>
                  <w:i w:val="false"/>
                  <w:caps w:val="false"/>
                  <w:smallCaps w:val="false"/>
                  <w:sz w:val="20"/>
                </w:rPr>
                <w:t>Offer Letter Agreement, by and between the Registrant and Zhengbin (Bing) Yao, Ph.D., dated May 5, 2021 (incorporated by reference to Exhibit 10.7 of the Registrant’s Registration Statement on Form S-1 (File No. 333-276397) filed on January 5, 2024).</w:t>
              </w:r>
            </w:hyperlink>
          </w:p>
        </w:tc>
      </w:tr>
      <w:tr>
        <w:trPr/>
        <w:tc>
          <w:tcPr>
            <w:tcW w:w="719"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10.7+</w:t>
            </w:r>
          </w:p>
        </w:tc>
        <w:tc>
          <w:tcPr>
            <w:tcW w:w="109" w:type="dxa"/>
            <w:tcBorders/>
            <w:vAlign w:val="center"/>
          </w:tcPr>
          <w:p>
            <w:pPr>
              <w:pStyle w:val="TableContents"/>
              <w:bidi w:val="0"/>
              <w:spacing w:before="0" w:after="60"/>
              <w:ind w:left="0" w:right="0" w:hanging="0"/>
              <w:jc w:val="left"/>
              <w:rPr/>
            </w:pPr>
            <w:r>
              <w:rPr/>
              <w:t>​</w:t>
            </w:r>
          </w:p>
        </w:tc>
        <w:tc>
          <w:tcPr>
            <w:tcW w:w="9377" w:type="dxa"/>
            <w:tcBorders/>
            <w:vAlign w:val="center"/>
          </w:tcPr>
          <w:p>
            <w:pPr>
              <w:pStyle w:val="TableContents"/>
              <w:bidi w:val="0"/>
              <w:spacing w:before="0" w:after="60"/>
              <w:ind w:left="0" w:right="0" w:hanging="0"/>
              <w:jc w:val="left"/>
              <w:rPr/>
            </w:pPr>
            <w:hyperlink r:id="rId39">
              <w:r>
                <w:rPr>
                  <w:rStyle w:val="InternetLink"/>
                  <w:rFonts w:ascii="Times New Roman;Times;serif" w:hAnsi="Times New Roman;Times;serif"/>
                  <w:b w:val="false"/>
                  <w:i w:val="false"/>
                  <w:caps w:val="false"/>
                  <w:smallCaps w:val="false"/>
                  <w:sz w:val="20"/>
                </w:rPr>
                <w:t>Offer Letter Agreement, by and between the Registrant and Stuart Lutzker, M.D., Ph.D., dated May 1, 2021 (incorporated by reference to Exhibit 10.8 of the Registrant’s Registration Statement on Form S-1 (File No. 333-276397) filed on January 5, 2024).</w:t>
              </w:r>
            </w:hyperlink>
          </w:p>
        </w:tc>
      </w:tr>
      <w:tr>
        <w:trPr/>
        <w:tc>
          <w:tcPr>
            <w:tcW w:w="719"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10.8+</w:t>
            </w:r>
          </w:p>
        </w:tc>
        <w:tc>
          <w:tcPr>
            <w:tcW w:w="109" w:type="dxa"/>
            <w:tcBorders/>
            <w:vAlign w:val="center"/>
          </w:tcPr>
          <w:p>
            <w:pPr>
              <w:pStyle w:val="TableContents"/>
              <w:bidi w:val="0"/>
              <w:spacing w:before="0" w:after="60"/>
              <w:ind w:left="0" w:right="0" w:hanging="0"/>
              <w:jc w:val="left"/>
              <w:rPr/>
            </w:pPr>
            <w:r>
              <w:rPr/>
              <w:t>​</w:t>
            </w:r>
          </w:p>
        </w:tc>
        <w:tc>
          <w:tcPr>
            <w:tcW w:w="9377" w:type="dxa"/>
            <w:tcBorders/>
            <w:vAlign w:val="center"/>
          </w:tcPr>
          <w:p>
            <w:pPr>
              <w:pStyle w:val="TableContents"/>
              <w:bidi w:val="0"/>
              <w:spacing w:before="0" w:after="60"/>
              <w:ind w:left="0" w:right="0" w:hanging="0"/>
              <w:jc w:val="left"/>
              <w:rPr/>
            </w:pPr>
            <w:hyperlink r:id="rId40">
              <w:r>
                <w:rPr>
                  <w:rStyle w:val="InternetLink"/>
                  <w:rFonts w:ascii="Times New Roman;Times;serif" w:hAnsi="Times New Roman;Times;serif"/>
                  <w:b w:val="false"/>
                  <w:i w:val="false"/>
                  <w:caps w:val="false"/>
                  <w:smallCaps w:val="false"/>
                  <w:sz w:val="20"/>
                </w:rPr>
                <w:t>Offer Letter Agreement, by and between the Registrant and Robin LaChapelle, dated May 21, 2021 (incorporated by reference to Exhibit 10.9 of the Registrant’s Registration Statement on Form S-1 (File No. 333-276397) filed on January 5, 2024).</w:t>
              </w:r>
            </w:hyperlink>
          </w:p>
        </w:tc>
      </w:tr>
      <w:tr>
        <w:trPr/>
        <w:tc>
          <w:tcPr>
            <w:tcW w:w="719"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10.9+</w:t>
            </w:r>
          </w:p>
        </w:tc>
        <w:tc>
          <w:tcPr>
            <w:tcW w:w="109" w:type="dxa"/>
            <w:tcBorders/>
            <w:vAlign w:val="center"/>
          </w:tcPr>
          <w:p>
            <w:pPr>
              <w:pStyle w:val="TableContents"/>
              <w:bidi w:val="0"/>
              <w:spacing w:before="0" w:after="60"/>
              <w:ind w:left="0" w:right="0" w:hanging="0"/>
              <w:jc w:val="left"/>
              <w:rPr/>
            </w:pPr>
            <w:r>
              <w:rPr/>
              <w:t>​</w:t>
            </w:r>
          </w:p>
        </w:tc>
        <w:tc>
          <w:tcPr>
            <w:tcW w:w="9377" w:type="dxa"/>
            <w:tcBorders/>
            <w:vAlign w:val="center"/>
          </w:tcPr>
          <w:p>
            <w:pPr>
              <w:pStyle w:val="TableContents"/>
              <w:bidi w:val="0"/>
              <w:spacing w:before="0" w:after="60"/>
              <w:ind w:left="0" w:right="0" w:hanging="0"/>
              <w:jc w:val="left"/>
              <w:rPr/>
            </w:pPr>
            <w:hyperlink r:id="rId41">
              <w:r>
                <w:rPr>
                  <w:rStyle w:val="InternetLink"/>
                  <w:rFonts w:ascii="Times New Roman;Times;serif" w:hAnsi="Times New Roman;Times;serif"/>
                  <w:b w:val="false"/>
                  <w:i w:val="false"/>
                  <w:caps w:val="false"/>
                  <w:smallCaps w:val="false"/>
                  <w:sz w:val="20"/>
                </w:rPr>
                <w:t>Offer Letter Agreement, by and between the Registrant and James Kastenmayer, J.D., Ph.D., dated August 11, 2023 (incorporated by reference to Exhibit 10.10 of the Registrant’s Registration Statement on Form S-1 (File No. 333-276397) filed on January 5, 2024).</w:t>
              </w:r>
            </w:hyperlink>
          </w:p>
        </w:tc>
      </w:tr>
      <w:tr>
        <w:trPr/>
        <w:tc>
          <w:tcPr>
            <w:tcW w:w="719"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10.10+</w:t>
            </w:r>
          </w:p>
        </w:tc>
        <w:tc>
          <w:tcPr>
            <w:tcW w:w="109" w:type="dxa"/>
            <w:tcBorders/>
            <w:vAlign w:val="center"/>
          </w:tcPr>
          <w:p>
            <w:pPr>
              <w:pStyle w:val="TableContents"/>
              <w:bidi w:val="0"/>
              <w:spacing w:before="0" w:after="60"/>
              <w:ind w:left="0" w:right="0" w:hanging="0"/>
              <w:jc w:val="left"/>
              <w:rPr/>
            </w:pPr>
            <w:r>
              <w:rPr/>
              <w:t>​</w:t>
            </w:r>
          </w:p>
        </w:tc>
        <w:tc>
          <w:tcPr>
            <w:tcW w:w="9377" w:type="dxa"/>
            <w:tcBorders/>
            <w:vAlign w:val="center"/>
          </w:tcPr>
          <w:p>
            <w:pPr>
              <w:pStyle w:val="TableContents"/>
              <w:bidi w:val="0"/>
              <w:spacing w:before="0" w:after="60"/>
              <w:ind w:left="0" w:right="0" w:hanging="0"/>
              <w:jc w:val="left"/>
              <w:rPr/>
            </w:pPr>
            <w:hyperlink r:id="rId42">
              <w:r>
                <w:rPr>
                  <w:rStyle w:val="InternetLink"/>
                  <w:rFonts w:ascii="Times New Roman;Times;serif" w:hAnsi="Times New Roman;Times;serif"/>
                  <w:b w:val="false"/>
                  <w:i w:val="false"/>
                  <w:caps w:val="false"/>
                  <w:smallCaps w:val="false"/>
                  <w:sz w:val="20"/>
                </w:rPr>
                <w:t>Offer Letter Agreement, by and between the Registrant and Winston Kung, MBA, dated January 3, 2024 (incorporated by reference to Exhibit 10.11 of the Registrant’s Registration Statement on Form S-1 (File No. 333-276397) filed on January 5, 2024).</w:t>
              </w:r>
            </w:hyperlink>
          </w:p>
        </w:tc>
      </w:tr>
      <w:tr>
        <w:trPr/>
        <w:tc>
          <w:tcPr>
            <w:tcW w:w="719"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10.11#</w:t>
            </w:r>
          </w:p>
        </w:tc>
        <w:tc>
          <w:tcPr>
            <w:tcW w:w="109" w:type="dxa"/>
            <w:tcBorders/>
            <w:vAlign w:val="center"/>
          </w:tcPr>
          <w:p>
            <w:pPr>
              <w:pStyle w:val="TableContents"/>
              <w:bidi w:val="0"/>
              <w:spacing w:before="0" w:after="60"/>
              <w:ind w:left="0" w:right="0" w:hanging="0"/>
              <w:jc w:val="left"/>
              <w:rPr/>
            </w:pPr>
            <w:r>
              <w:rPr/>
              <w:t>​</w:t>
            </w:r>
          </w:p>
        </w:tc>
        <w:tc>
          <w:tcPr>
            <w:tcW w:w="9377" w:type="dxa"/>
            <w:tcBorders/>
            <w:vAlign w:val="center"/>
          </w:tcPr>
          <w:p>
            <w:pPr>
              <w:pStyle w:val="TableContents"/>
              <w:bidi w:val="0"/>
              <w:spacing w:before="0" w:after="60"/>
              <w:ind w:left="0" w:right="0" w:hanging="0"/>
              <w:jc w:val="left"/>
              <w:rPr/>
            </w:pPr>
            <w:hyperlink r:id="rId43">
              <w:r>
                <w:rPr>
                  <w:rStyle w:val="InternetLink"/>
                  <w:rFonts w:ascii="Times New Roman;Times;serif" w:hAnsi="Times New Roman;Times;serif"/>
                  <w:b w:val="false"/>
                  <w:i w:val="false"/>
                  <w:caps w:val="false"/>
                  <w:smallCaps w:val="false"/>
                  <w:sz w:val="20"/>
                </w:rPr>
                <w:t>License Agreement, by and between the Registrant and Shanghai Allist Pharmaceuticals Co., Ltd., dated June 29, 2021, as amended by Amendment No. 1, dated November 6, 2023 (incorporated by reference to Exhibit 10.12 of the Registrant’s Registration Statement on Form S-1 (File No. 333-276397) filed on January 5, 2024).</w:t>
              </w:r>
            </w:hyperlink>
          </w:p>
        </w:tc>
      </w:tr>
      <w:tr>
        <w:trPr/>
        <w:tc>
          <w:tcPr>
            <w:tcW w:w="719"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10.12#</w:t>
            </w:r>
          </w:p>
        </w:tc>
        <w:tc>
          <w:tcPr>
            <w:tcW w:w="109" w:type="dxa"/>
            <w:tcBorders/>
            <w:vAlign w:val="center"/>
          </w:tcPr>
          <w:p>
            <w:pPr>
              <w:pStyle w:val="TableContents"/>
              <w:bidi w:val="0"/>
              <w:spacing w:before="0" w:after="60"/>
              <w:ind w:left="0" w:right="0" w:hanging="0"/>
              <w:jc w:val="left"/>
              <w:rPr/>
            </w:pPr>
            <w:r>
              <w:rPr/>
              <w:t>​</w:t>
            </w:r>
          </w:p>
        </w:tc>
        <w:tc>
          <w:tcPr>
            <w:tcW w:w="9377" w:type="dxa"/>
            <w:tcBorders/>
            <w:vAlign w:val="center"/>
          </w:tcPr>
          <w:p>
            <w:pPr>
              <w:pStyle w:val="TableContents"/>
              <w:bidi w:val="0"/>
              <w:spacing w:before="0" w:after="60"/>
              <w:ind w:left="0" w:right="0" w:hanging="0"/>
              <w:jc w:val="left"/>
              <w:rPr/>
            </w:pPr>
            <w:hyperlink r:id="rId44">
              <w:r>
                <w:rPr>
                  <w:rStyle w:val="InternetLink"/>
                  <w:rFonts w:ascii="Times New Roman;Times;serif" w:hAnsi="Times New Roman;Times;serif"/>
                  <w:b w:val="false"/>
                  <w:i w:val="false"/>
                  <w:caps w:val="false"/>
                  <w:smallCaps w:val="false"/>
                  <w:sz w:val="20"/>
                </w:rPr>
                <w:t>Joint Clinical Collaboration Agreement, by and between the Registrant and Shanghai Allist Pharmaceuticals Co., Ltd., dated December 24, 2021 (incorporated by reference to Exhibit 10.13 of the Registrant’s Registration Statement on Form S-1 (File No. 333-276397) filed on January 5, 2024).</w:t>
              </w:r>
            </w:hyperlink>
          </w:p>
        </w:tc>
      </w:tr>
      <w:tr>
        <w:trPr/>
        <w:tc>
          <w:tcPr>
            <w:tcW w:w="719"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10.13#</w:t>
            </w:r>
          </w:p>
        </w:tc>
        <w:tc>
          <w:tcPr>
            <w:tcW w:w="109" w:type="dxa"/>
            <w:tcBorders/>
            <w:vAlign w:val="center"/>
          </w:tcPr>
          <w:p>
            <w:pPr>
              <w:pStyle w:val="TableContents"/>
              <w:bidi w:val="0"/>
              <w:spacing w:before="0" w:after="60"/>
              <w:ind w:left="0" w:right="0" w:hanging="0"/>
              <w:jc w:val="left"/>
              <w:rPr/>
            </w:pPr>
            <w:r>
              <w:rPr/>
              <w:t>​</w:t>
            </w:r>
          </w:p>
        </w:tc>
        <w:tc>
          <w:tcPr>
            <w:tcW w:w="9377" w:type="dxa"/>
            <w:tcBorders/>
            <w:vAlign w:val="center"/>
          </w:tcPr>
          <w:p>
            <w:pPr>
              <w:pStyle w:val="TableContents"/>
              <w:bidi w:val="0"/>
              <w:spacing w:before="0" w:after="60"/>
              <w:ind w:left="0" w:right="0" w:hanging="0"/>
              <w:jc w:val="left"/>
              <w:rPr/>
            </w:pPr>
            <w:hyperlink r:id="rId45">
              <w:r>
                <w:rPr>
                  <w:rStyle w:val="InternetLink"/>
                  <w:rFonts w:ascii="Times New Roman;Times;serif" w:hAnsi="Times New Roman;Times;serif"/>
                  <w:b w:val="false"/>
                  <w:i w:val="false"/>
                  <w:caps w:val="false"/>
                  <w:smallCaps w:val="false"/>
                  <w:sz w:val="20"/>
                </w:rPr>
                <w:t>Research Collaboration Agreement, dated December 21, 2021, by and between Aarvik Therapeutics, Inc. and the Registrant, as amended by Amendment No. 1, effective June 30, 2023 (incorporated by reference to Exhibit 10.14 of the Registrant’s Registration Statement on Form S-1 (File No. 333-276397) filed on January 5, 2024).</w:t>
              </w:r>
            </w:hyperlink>
          </w:p>
        </w:tc>
      </w:tr>
      <w:tr>
        <w:trPr/>
        <w:tc>
          <w:tcPr>
            <w:tcW w:w="719"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10.14#</w:t>
            </w:r>
          </w:p>
        </w:tc>
        <w:tc>
          <w:tcPr>
            <w:tcW w:w="109" w:type="dxa"/>
            <w:tcBorders/>
            <w:vAlign w:val="center"/>
          </w:tcPr>
          <w:p>
            <w:pPr>
              <w:pStyle w:val="TableContents"/>
              <w:bidi w:val="0"/>
              <w:spacing w:before="0" w:after="60"/>
              <w:ind w:left="0" w:right="0" w:hanging="0"/>
              <w:jc w:val="left"/>
              <w:rPr/>
            </w:pPr>
            <w:r>
              <w:rPr/>
              <w:t>​</w:t>
            </w:r>
          </w:p>
        </w:tc>
        <w:tc>
          <w:tcPr>
            <w:tcW w:w="9377" w:type="dxa"/>
            <w:tcBorders/>
            <w:vAlign w:val="center"/>
          </w:tcPr>
          <w:p>
            <w:pPr>
              <w:pStyle w:val="TableContents"/>
              <w:bidi w:val="0"/>
              <w:spacing w:before="0" w:after="60"/>
              <w:ind w:left="0" w:right="0" w:hanging="0"/>
              <w:jc w:val="left"/>
              <w:rPr/>
            </w:pPr>
            <w:hyperlink r:id="rId46">
              <w:r>
                <w:rPr>
                  <w:rStyle w:val="InternetLink"/>
                  <w:rFonts w:ascii="Times New Roman;Times;serif" w:hAnsi="Times New Roman;Times;serif"/>
                  <w:b w:val="false"/>
                  <w:i w:val="false"/>
                  <w:caps w:val="false"/>
                  <w:smallCaps w:val="false"/>
                  <w:sz w:val="20"/>
                </w:rPr>
                <w:t>Clinical Collaboration Agreement, by and between the Registrant and Beijing InnoCare Pharma Tech Co., Ltd., dated June 23, 2023 (incorporated by reference to Exhibit 10.15 of the Registrant’s Registration Statement on Form S-1 (File No. 333-276397) filed on January 5, 2024).</w:t>
              </w:r>
            </w:hyperlink>
          </w:p>
        </w:tc>
      </w:tr>
      <w:tr>
        <w:trPr/>
        <w:tc>
          <w:tcPr>
            <w:tcW w:w="719"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21.1</w:t>
            </w:r>
          </w:p>
        </w:tc>
        <w:tc>
          <w:tcPr>
            <w:tcW w:w="109" w:type="dxa"/>
            <w:tcBorders/>
            <w:vAlign w:val="center"/>
          </w:tcPr>
          <w:p>
            <w:pPr>
              <w:pStyle w:val="TableContents"/>
              <w:bidi w:val="0"/>
              <w:spacing w:before="0" w:after="60"/>
              <w:ind w:left="0" w:right="0" w:hanging="0"/>
              <w:jc w:val="left"/>
              <w:rPr/>
            </w:pPr>
            <w:r>
              <w:rPr/>
              <w:t>​</w:t>
            </w:r>
          </w:p>
        </w:tc>
        <w:tc>
          <w:tcPr>
            <w:tcW w:w="9377" w:type="dxa"/>
            <w:tcBorders/>
            <w:vAlign w:val="center"/>
          </w:tcPr>
          <w:p>
            <w:pPr>
              <w:pStyle w:val="TableContents"/>
              <w:bidi w:val="0"/>
              <w:spacing w:before="0" w:after="60"/>
              <w:ind w:left="0" w:right="0" w:hanging="0"/>
              <w:jc w:val="left"/>
              <w:rPr/>
            </w:pPr>
            <w:hyperlink r:id="rId47">
              <w:r>
                <w:rPr>
                  <w:rStyle w:val="InternetLink"/>
                  <w:rFonts w:ascii="Times New Roman;Times;serif" w:hAnsi="Times New Roman;Times;serif"/>
                  <w:b w:val="false"/>
                  <w:i w:val="false"/>
                  <w:caps w:val="false"/>
                  <w:smallCaps w:val="false"/>
                  <w:sz w:val="20"/>
                </w:rPr>
                <w:t>Subsidiaries of the Registrant (incorporated by reference to Exhibit 21.1 of the Registrant’s Registration Statement on Form S-1 (File No. 333-276397) filed on January 5, 2024).</w:t>
              </w:r>
            </w:hyperlink>
          </w:p>
        </w:tc>
      </w:tr>
      <w:tr>
        <w:trPr/>
        <w:tc>
          <w:tcPr>
            <w:tcW w:w="719"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23.1*</w:t>
            </w:r>
          </w:p>
        </w:tc>
        <w:tc>
          <w:tcPr>
            <w:tcW w:w="109" w:type="dxa"/>
            <w:tcBorders/>
            <w:vAlign w:val="center"/>
          </w:tcPr>
          <w:p>
            <w:pPr>
              <w:pStyle w:val="TableContents"/>
              <w:bidi w:val="0"/>
              <w:spacing w:before="0" w:after="60"/>
              <w:ind w:left="0" w:right="0" w:hanging="0"/>
              <w:jc w:val="left"/>
              <w:rPr/>
            </w:pPr>
            <w:r>
              <w:rPr/>
              <w:t>​</w:t>
            </w:r>
          </w:p>
        </w:tc>
        <w:tc>
          <w:tcPr>
            <w:tcW w:w="9377" w:type="dxa"/>
            <w:tcBorders/>
            <w:vAlign w:val="center"/>
          </w:tcPr>
          <w:p>
            <w:pPr>
              <w:pStyle w:val="TableContents"/>
              <w:bidi w:val="0"/>
              <w:spacing w:before="0" w:after="60"/>
              <w:ind w:left="0" w:right="0" w:hanging="0"/>
              <w:jc w:val="left"/>
              <w:rPr/>
            </w:pPr>
            <w:hyperlink w:anchor="tmb-20231231xex23d1.htm">
              <w:r>
                <w:rPr>
                  <w:rStyle w:val="InternetLink"/>
                  <w:rFonts w:ascii="Times New Roman;Times;serif" w:hAnsi="Times New Roman;Times;serif"/>
                  <w:b w:val="false"/>
                  <w:i w:val="false"/>
                  <w:caps w:val="false"/>
                  <w:smallCaps w:val="false"/>
                  <w:sz w:val="20"/>
                </w:rPr>
                <w:t>Consent of KPMG LLP.</w:t>
              </w:r>
            </w:hyperlink>
          </w:p>
        </w:tc>
      </w:tr>
      <w:tr>
        <w:trPr/>
        <w:tc>
          <w:tcPr>
            <w:tcW w:w="719"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24.1*</w:t>
            </w:r>
          </w:p>
        </w:tc>
        <w:tc>
          <w:tcPr>
            <w:tcW w:w="109" w:type="dxa"/>
            <w:tcBorders/>
            <w:vAlign w:val="center"/>
          </w:tcPr>
          <w:p>
            <w:pPr>
              <w:pStyle w:val="TableContents"/>
              <w:bidi w:val="0"/>
              <w:spacing w:before="0" w:after="60"/>
              <w:ind w:left="0" w:right="0" w:hanging="0"/>
              <w:jc w:val="left"/>
              <w:rPr/>
            </w:pPr>
            <w:r>
              <w:rPr/>
              <w:t>​</w:t>
            </w:r>
          </w:p>
        </w:tc>
        <w:tc>
          <w:tcPr>
            <w:tcW w:w="9377" w:type="dxa"/>
            <w:tcBorders/>
            <w:vAlign w:val="center"/>
          </w:tcPr>
          <w:p>
            <w:pPr>
              <w:pStyle w:val="TableContents"/>
              <w:bidi w:val="0"/>
              <w:spacing w:before="0" w:after="60"/>
              <w:ind w:left="0" w:right="0" w:hanging="0"/>
              <w:jc w:val="left"/>
              <w:rPr/>
            </w:pPr>
            <w:hyperlink w:anchor="SIGNATURES_368893">
              <w:r>
                <w:rPr>
                  <w:rStyle w:val="InternetLink"/>
                  <w:rFonts w:ascii="Times New Roman;Times;serif" w:hAnsi="Times New Roman;Times;serif"/>
                  <w:b w:val="false"/>
                  <w:i w:val="false"/>
                  <w:caps w:val="false"/>
                  <w:smallCaps w:val="false"/>
                  <w:sz w:val="20"/>
                </w:rPr>
                <w:t>Power of Attorney (included on signature page).</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168</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center"/>
        <w:tblInd w:w="0" w:type="dxa"/>
        <w:tblLayout w:type="fixed"/>
        <w:tblCellMar>
          <w:top w:w="0" w:type="dxa"/>
          <w:left w:w="0" w:type="dxa"/>
          <w:bottom w:w="0" w:type="dxa"/>
          <w:right w:w="0" w:type="dxa"/>
        </w:tblCellMar>
      </w:tblPr>
      <w:tblGrid>
        <w:gridCol w:w="729"/>
        <w:gridCol w:w="109"/>
        <w:gridCol w:w="9367"/>
      </w:tblGrid>
      <w:tr>
        <w:trPr/>
        <w:tc>
          <w:tcPr>
            <w:tcW w:w="729" w:type="dxa"/>
            <w:tcBorders/>
            <w:vAlign w:val="center"/>
          </w:tcPr>
          <w:p>
            <w:pPr>
              <w:pStyle w:val="TableHeading"/>
              <w:bidi w:val="0"/>
              <w:spacing w:before="0" w:after="283"/>
              <w:ind w:left="0" w:right="0" w:hanging="0"/>
              <w:rPr>
                <w:sz w:val="4"/>
                <w:szCs w:val="4"/>
              </w:rPr>
            </w:pPr>
            <w:r>
              <w:rPr>
                <w:sz w:val="4"/>
                <w:szCs w:val="4"/>
              </w:rPr>
            </w:r>
          </w:p>
        </w:tc>
        <w:tc>
          <w:tcPr>
            <w:tcW w:w="109" w:type="dxa"/>
            <w:tcBorders/>
            <w:vAlign w:val="center"/>
          </w:tcPr>
          <w:p>
            <w:pPr>
              <w:pStyle w:val="TableHeading"/>
              <w:bidi w:val="0"/>
              <w:spacing w:before="0" w:after="0"/>
              <w:ind w:left="0" w:right="0" w:hanging="0"/>
              <w:jc w:val="left"/>
              <w:rPr/>
            </w:pPr>
            <w:r>
              <w:rPr/>
              <w:t>​</w:t>
            </w:r>
          </w:p>
        </w:tc>
        <w:tc>
          <w:tcPr>
            <w:tcW w:w="9367" w:type="dxa"/>
            <w:tcBorders/>
            <w:vAlign w:val="center"/>
          </w:tcPr>
          <w:p>
            <w:pPr>
              <w:pStyle w:val="TableHeading"/>
              <w:bidi w:val="0"/>
              <w:spacing w:before="0" w:after="283"/>
              <w:ind w:left="0" w:right="0" w:hanging="0"/>
              <w:rPr>
                <w:sz w:val="4"/>
                <w:szCs w:val="4"/>
              </w:rPr>
            </w:pPr>
            <w:r>
              <w:rPr>
                <w:sz w:val="4"/>
                <w:szCs w:val="4"/>
              </w:rPr>
            </w:r>
          </w:p>
        </w:tc>
      </w:tr>
      <w:tr>
        <w:trPr/>
        <w:tc>
          <w:tcPr>
            <w:tcW w:w="729" w:type="dxa"/>
            <w:tcBorders>
              <w:bottom w:val="single" w:sz="2" w:space="0" w:color="000000"/>
            </w:tcBorders>
            <w:tcMar>
              <w:bottom w:w="28" w:type="dxa"/>
            </w:tcMar>
            <w:vAlign w:val="center"/>
          </w:tcPr>
          <w:p>
            <w:pPr>
              <w:pStyle w:val="TableHeading"/>
              <w:bidi w:val="0"/>
              <w:spacing w:before="0" w:after="60"/>
              <w:ind w:left="0" w:right="0" w:hanging="0"/>
              <w:jc w:val="center"/>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br/>
            </w:r>
            <w:r>
              <w:rPr>
                <w:rFonts w:ascii="Times New Roman;Times;serif" w:hAnsi="Times New Roman;Times;serif"/>
                <w:b/>
                <w:sz w:val="16"/>
              </w:rPr>
              <w:t xml:space="preserve">Number </w:t>
            </w:r>
          </w:p>
        </w:tc>
        <w:tc>
          <w:tcPr>
            <w:tcW w:w="109" w:type="dxa"/>
            <w:tcBorders>
              <w:bottom w:val="single" w:sz="2" w:space="0" w:color="000000"/>
            </w:tcBorders>
            <w:tcMar>
              <w:bottom w:w="28" w:type="dxa"/>
            </w:tcMar>
            <w:vAlign w:val="center"/>
          </w:tcPr>
          <w:p>
            <w:pPr>
              <w:pStyle w:val="TableHeading"/>
              <w:bidi w:val="0"/>
              <w:spacing w:before="0" w:after="60"/>
              <w:ind w:left="0" w:right="0" w:hanging="0"/>
              <w:jc w:val="center"/>
              <w:rPr/>
            </w:pPr>
            <w:r>
              <w:rPr/>
              <w:t>​</w:t>
            </w:r>
          </w:p>
        </w:tc>
        <w:tc>
          <w:tcPr>
            <w:tcW w:w="9367" w:type="dxa"/>
            <w:tcBorders>
              <w:bottom w:val="single" w:sz="2" w:space="0" w:color="000000"/>
            </w:tcBorders>
            <w:tcMar>
              <w:bottom w:w="28" w:type="dxa"/>
            </w:tcMar>
            <w:vAlign w:val="center"/>
          </w:tcPr>
          <w:p>
            <w:pPr>
              <w:pStyle w:val="TableHeading"/>
              <w:bidi w:val="0"/>
              <w:spacing w:before="0" w:after="60"/>
              <w:ind w:left="0" w:right="0" w:hanging="0"/>
              <w:jc w:val="center"/>
              <w:rPr>
                <w:rFonts w:ascii="Times New Roman;Times;serif" w:hAnsi="Times New Roman;Times;serif"/>
                <w:b/>
                <w:sz w:val="16"/>
              </w:rPr>
            </w:pPr>
            <w:r>
              <w:rPr>
                <w:rFonts w:ascii="Times New Roman;Times;serif" w:hAnsi="Times New Roman;Times;serif"/>
                <w:b/>
                <w:sz w:val="16"/>
              </w:rPr>
              <w:t xml:space="preserve">Description of Exhibit </w:t>
            </w:r>
          </w:p>
        </w:tc>
      </w:tr>
      <w:tr>
        <w:trPr/>
        <w:tc>
          <w:tcPr>
            <w:tcW w:w="729" w:type="dxa"/>
            <w:tcBorders/>
            <w:vAlign w:val="center"/>
          </w:tcPr>
          <w:p>
            <w:pPr>
              <w:pStyle w:val="TableContents"/>
              <w:pBdr/>
              <w:bidi w:val="0"/>
              <w:spacing w:before="0" w:after="60"/>
              <w:ind w:left="0" w:right="0" w:hanging="0"/>
              <w:jc w:val="left"/>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before="0" w:after="60"/>
              <w:ind w:left="0" w:right="0" w:hanging="0"/>
              <w:jc w:val="left"/>
              <w:rPr/>
            </w:pPr>
            <w:r>
              <w:rPr/>
              <w:t>​</w:t>
            </w:r>
          </w:p>
        </w:tc>
        <w:tc>
          <w:tcPr>
            <w:tcW w:w="9367" w:type="dxa"/>
            <w:tcBorders/>
            <w:vAlign w:val="center"/>
          </w:tcPr>
          <w:p>
            <w:pPr>
              <w:pStyle w:val="TableContents"/>
              <w:bidi w:val="0"/>
              <w:spacing w:before="0" w:after="60"/>
              <w:ind w:left="0" w:right="0" w:hanging="0"/>
              <w:jc w:val="left"/>
              <w:rPr/>
            </w:pPr>
            <w:hyperlink w:anchor="tmb-20231231xex31d1.htm">
              <w:r>
                <w:rPr>
                  <w:rStyle w:val="InternetLink"/>
                  <w:rFonts w:ascii="Times New Roman;Times;serif" w:hAnsi="Times New Roman;Times;serif"/>
                  <w:b w:val="false"/>
                  <w:i w:val="false"/>
                  <w:caps w:val="false"/>
                  <w:smallCaps w:val="false"/>
                  <w:sz w:val="20"/>
                </w:rPr>
                <w:t>Certification of Chief Executive Officer Pursuant to Rule 13a-15(e) or Rule 15d-15(e) under the Securities Exchange Act of 1934, as Adopted Pursuant to Section 302 of the Sarbanes-Oxley Act of 2002.</w:t>
              </w:r>
            </w:hyperlink>
            <w:r>
              <w:rPr>
                <w:rFonts w:ascii="Times New Roman;Times;serif" w:hAnsi="Times New Roman;Times;serif"/>
                <w:sz w:val="20"/>
              </w:rPr>
              <w:t xml:space="preserve"> </w:t>
            </w:r>
          </w:p>
        </w:tc>
      </w:tr>
      <w:tr>
        <w:trPr/>
        <w:tc>
          <w:tcPr>
            <w:tcW w:w="729" w:type="dxa"/>
            <w:tcBorders/>
            <w:vAlign w:val="center"/>
          </w:tcPr>
          <w:p>
            <w:pPr>
              <w:pStyle w:val="TableContents"/>
              <w:pBdr/>
              <w:bidi w:val="0"/>
              <w:spacing w:before="0" w:after="60"/>
              <w:ind w:left="0" w:right="0" w:hanging="0"/>
              <w:jc w:val="left"/>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before="0" w:after="60"/>
              <w:ind w:left="0" w:right="0" w:hanging="0"/>
              <w:jc w:val="left"/>
              <w:rPr/>
            </w:pPr>
            <w:r>
              <w:rPr/>
              <w:t>​</w:t>
            </w:r>
          </w:p>
        </w:tc>
        <w:tc>
          <w:tcPr>
            <w:tcW w:w="9367" w:type="dxa"/>
            <w:tcBorders/>
            <w:vAlign w:val="center"/>
          </w:tcPr>
          <w:p>
            <w:pPr>
              <w:pStyle w:val="TableContents"/>
              <w:bidi w:val="0"/>
              <w:spacing w:before="0" w:after="60"/>
              <w:ind w:left="0" w:right="0" w:hanging="0"/>
              <w:jc w:val="left"/>
              <w:rPr/>
            </w:pPr>
            <w:hyperlink w:anchor="tmb-20231231xex31d2.htm">
              <w:r>
                <w:rPr>
                  <w:rStyle w:val="InternetLink"/>
                  <w:rFonts w:ascii="Times New Roman;Times;serif" w:hAnsi="Times New Roman;Times;serif"/>
                  <w:b w:val="false"/>
                  <w:i w:val="false"/>
                  <w:caps w:val="false"/>
                  <w:smallCaps w:val="false"/>
                  <w:sz w:val="20"/>
                </w:rPr>
                <w:t>Certification of Chief Financial Officer Pursuant to Rule 13a-15(e) or Rule 15d-15(e) under the Securities Exchange Act of 1934, as Adopted Pursuant to Section 302 of the Sarbanes-Oxley Act of 2002.</w:t>
              </w:r>
            </w:hyperlink>
            <w:r>
              <w:rPr>
                <w:rFonts w:ascii="Times New Roman;Times;serif" w:hAnsi="Times New Roman;Times;serif"/>
                <w:sz w:val="20"/>
              </w:rPr>
              <w:t> </w:t>
            </w:r>
          </w:p>
        </w:tc>
      </w:tr>
      <w:tr>
        <w:trPr/>
        <w:tc>
          <w:tcPr>
            <w:tcW w:w="729" w:type="dxa"/>
            <w:tcBorders/>
            <w:vAlign w:val="center"/>
          </w:tcPr>
          <w:p>
            <w:pPr>
              <w:pStyle w:val="TableContents"/>
              <w:pBdr/>
              <w:bidi w:val="0"/>
              <w:spacing w:before="0" w:after="60"/>
              <w:ind w:left="0" w:right="0" w:hanging="0"/>
              <w:jc w:val="left"/>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before="0" w:after="60"/>
              <w:ind w:left="0" w:right="0" w:hanging="0"/>
              <w:jc w:val="left"/>
              <w:rPr/>
            </w:pPr>
            <w:r>
              <w:rPr/>
              <w:t>​</w:t>
            </w:r>
          </w:p>
        </w:tc>
        <w:tc>
          <w:tcPr>
            <w:tcW w:w="9367" w:type="dxa"/>
            <w:tcBorders/>
            <w:vAlign w:val="center"/>
          </w:tcPr>
          <w:p>
            <w:pPr>
              <w:pStyle w:val="TableContents"/>
              <w:bidi w:val="0"/>
              <w:spacing w:before="0" w:after="60"/>
              <w:ind w:left="0" w:right="0" w:hanging="0"/>
              <w:jc w:val="left"/>
              <w:rPr/>
            </w:pPr>
            <w:hyperlink w:anchor="tmb-20231231xex32d1.htm">
              <w:r>
                <w:rPr>
                  <w:rStyle w:val="InternetLink"/>
                  <w:rFonts w:ascii="Times New Roman;Times;serif" w:hAnsi="Times New Roman;Times;serif"/>
                  <w:b w:val="false"/>
                  <w:i w:val="false"/>
                  <w:caps w:val="false"/>
                  <w:smallCaps w:val="false"/>
                  <w:sz w:val="20"/>
                </w:rPr>
                <w:t>Certification of Chief Executive Officer of Periodic Report Pursuant to 18 U.S.C. Section 1350, as Adopted Pursuant to Section 906 of the Sarbanes-Oxley Act of 2002.</w:t>
              </w:r>
            </w:hyperlink>
            <w:r>
              <w:rPr>
                <w:rFonts w:ascii="Times New Roman;Times;serif" w:hAnsi="Times New Roman;Times;serif"/>
                <w:sz w:val="20"/>
              </w:rPr>
              <w:t xml:space="preserve"> </w:t>
            </w:r>
          </w:p>
        </w:tc>
      </w:tr>
      <w:tr>
        <w:trPr/>
        <w:tc>
          <w:tcPr>
            <w:tcW w:w="729" w:type="dxa"/>
            <w:tcBorders/>
            <w:vAlign w:val="center"/>
          </w:tcPr>
          <w:p>
            <w:pPr>
              <w:pStyle w:val="TableContents"/>
              <w:pBdr/>
              <w:bidi w:val="0"/>
              <w:spacing w:before="0" w:after="60"/>
              <w:ind w:left="0" w:right="0" w:hanging="0"/>
              <w:jc w:val="left"/>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before="0" w:after="60"/>
              <w:ind w:left="0" w:right="0" w:hanging="0"/>
              <w:jc w:val="left"/>
              <w:rPr/>
            </w:pPr>
            <w:r>
              <w:rPr/>
              <w:t>​</w:t>
            </w:r>
          </w:p>
        </w:tc>
        <w:tc>
          <w:tcPr>
            <w:tcW w:w="9367" w:type="dxa"/>
            <w:tcBorders/>
            <w:vAlign w:val="center"/>
          </w:tcPr>
          <w:p>
            <w:pPr>
              <w:pStyle w:val="TableContents"/>
              <w:bidi w:val="0"/>
              <w:spacing w:before="0" w:after="60"/>
              <w:ind w:left="0" w:right="0" w:hanging="0"/>
              <w:jc w:val="left"/>
              <w:rPr/>
            </w:pPr>
            <w:hyperlink w:anchor="tmb-20231231xex32d2.htm">
              <w:r>
                <w:rPr>
                  <w:rStyle w:val="InternetLink"/>
                  <w:rFonts w:ascii="Times New Roman;Times;serif" w:hAnsi="Times New Roman;Times;serif"/>
                  <w:b w:val="false"/>
                  <w:i w:val="false"/>
                  <w:caps w:val="false"/>
                  <w:smallCaps w:val="false"/>
                  <w:sz w:val="20"/>
                </w:rPr>
                <w:t>Certification of Chief Financial Officer of Periodic Report Pursuant to 18 U.S.C. Section 1350, as Adopted Pursuant to Section 906 of the Sarbanes-Oxley Act of 2002.</w:t>
              </w:r>
            </w:hyperlink>
          </w:p>
        </w:tc>
      </w:tr>
      <w:tr>
        <w:trPr/>
        <w:tc>
          <w:tcPr>
            <w:tcW w:w="729"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97.1+</w:t>
            </w:r>
          </w:p>
        </w:tc>
        <w:tc>
          <w:tcPr>
            <w:tcW w:w="109" w:type="dxa"/>
            <w:tcBorders/>
            <w:vAlign w:val="center"/>
          </w:tcPr>
          <w:p>
            <w:pPr>
              <w:pStyle w:val="TableContents"/>
              <w:bidi w:val="0"/>
              <w:spacing w:before="0" w:after="60"/>
              <w:ind w:left="0" w:right="0" w:hanging="0"/>
              <w:jc w:val="left"/>
              <w:rPr/>
            </w:pPr>
            <w:r>
              <w:rPr/>
              <w:t>​</w:t>
            </w:r>
          </w:p>
        </w:tc>
        <w:tc>
          <w:tcPr>
            <w:tcW w:w="9367" w:type="dxa"/>
            <w:tcBorders/>
            <w:vAlign w:val="center"/>
          </w:tcPr>
          <w:p>
            <w:pPr>
              <w:pStyle w:val="TableContents"/>
              <w:bidi w:val="0"/>
              <w:spacing w:before="0" w:after="60"/>
              <w:ind w:left="0" w:right="0" w:hanging="0"/>
              <w:jc w:val="left"/>
              <w:rPr/>
            </w:pPr>
            <w:hyperlink r:id="rId48">
              <w:r>
                <w:rPr>
                  <w:rStyle w:val="InternetLink"/>
                  <w:rFonts w:ascii="Times New Roman;Times;serif" w:hAnsi="Times New Roman;Times;serif"/>
                  <w:b w:val="false"/>
                  <w:i w:val="false"/>
                  <w:caps w:val="false"/>
                  <w:smallCaps w:val="false"/>
                  <w:sz w:val="20"/>
                </w:rPr>
                <w:t>ArriVent BioPharma, Inc. Clawback Policy (incorporated by reference to Exhibit 10.6 of the Registrant’s Registration Statement on Form S-1 (File No. 333-276397) filed on January 5, 2024).</w:t>
              </w:r>
            </w:hyperlink>
          </w:p>
        </w:tc>
      </w:tr>
    </w:tbl>
    <w:p>
      <w:pPr>
        <w:pStyle w:val="HorizontalLine"/>
        <w:pBdr>
          <w:bottom w:val="single" w:sz="6" w:space="0" w:color="000000"/>
        </w:pBdr>
        <w:bidi w:val="0"/>
        <w:spacing w:before="0" w:after="0"/>
        <w:ind w:left="0" w:right="7654" w:hanging="0"/>
        <w:jc w:val="left"/>
        <w:rPr/>
      </w:pPr>
      <w:r>
        <w:rPr/>
      </w:r>
    </w:p>
    <w:tbl>
      <w:tblPr>
        <w:tblW w:w="3310" w:type="dxa"/>
        <w:jc w:val="left"/>
        <w:tblInd w:w="0" w:type="dxa"/>
        <w:tblLayout w:type="fixed"/>
        <w:tblCellMar>
          <w:top w:w="0" w:type="dxa"/>
          <w:left w:w="0" w:type="dxa"/>
          <w:bottom w:w="0" w:type="dxa"/>
          <w:right w:w="0" w:type="dxa"/>
        </w:tblCellMar>
      </w:tblPr>
      <w:tblGrid>
        <w:gridCol w:w="110"/>
        <w:gridCol w:w="3200"/>
      </w:tblGrid>
      <w:tr>
        <w:trPr/>
        <w:tc>
          <w:tcPr>
            <w:tcW w:w="110"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w:t>
            </w:r>
          </w:p>
        </w:tc>
        <w:tc>
          <w:tcPr>
            <w:tcW w:w="3200"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 xml:space="preserve">Filed with this Annual Report on Form 10-K. </w:t>
            </w:r>
          </w:p>
        </w:tc>
      </w:tr>
    </w:tbl>
    <w:tbl>
      <w:tblPr>
        <w:tblW w:w="10205" w:type="dxa"/>
        <w:jc w:val="left"/>
        <w:tblInd w:w="0" w:type="dxa"/>
        <w:tblLayout w:type="fixed"/>
        <w:tblCellMar>
          <w:top w:w="0" w:type="dxa"/>
          <w:left w:w="0" w:type="dxa"/>
          <w:bottom w:w="0" w:type="dxa"/>
          <w:right w:w="0" w:type="dxa"/>
        </w:tblCellMar>
      </w:tblPr>
      <w:tblGrid>
        <w:gridCol w:w="134"/>
        <w:gridCol w:w="10071"/>
      </w:tblGrid>
      <w:tr>
        <w:trPr/>
        <w:tc>
          <w:tcPr>
            <w:tcW w:w="134"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w:t>
            </w:r>
          </w:p>
        </w:tc>
        <w:tc>
          <w:tcPr>
            <w:tcW w:w="10071"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The Certifications attached as Exhibit 32.1 and Exhibit 32.2 that accompany this Annual Report on Form 10-K are not deemed filed with the Securities and Exchange Commission and are not to be incorporated by reference into any filing of ArriVent BioPharma, Inc. under the Securities Act of 1933, as amended, or the Securities Exchange Act of 1934, as amended, whether made before or after the date of this Form 10-K, irrespective of any general incorporation language contained in such filing.</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w:t>
            </w:r>
          </w:p>
        </w:tc>
        <w:tc>
          <w:tcPr>
            <w:tcW w:w="10095"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 xml:space="preserve">Certain confidential portions of this Exhibit were omitted by means of marking such portions with brackets (“[***]”) because the identified confidential portions (i) are not material and (ii) would be competitively harmful if publicly disclosed. </w:t>
            </w:r>
          </w:p>
        </w:tc>
      </w:tr>
    </w:tbl>
    <w:tbl>
      <w:tblPr>
        <w:tblW w:w="3850" w:type="dxa"/>
        <w:jc w:val="left"/>
        <w:tblInd w:w="0" w:type="dxa"/>
        <w:tblLayout w:type="fixed"/>
        <w:tblCellMar>
          <w:top w:w="0" w:type="dxa"/>
          <w:left w:w="0" w:type="dxa"/>
          <w:bottom w:w="0" w:type="dxa"/>
          <w:right w:w="0" w:type="dxa"/>
        </w:tblCellMar>
      </w:tblPr>
      <w:tblGrid>
        <w:gridCol w:w="110"/>
        <w:gridCol w:w="3740"/>
      </w:tblGrid>
      <w:tr>
        <w:trPr/>
        <w:tc>
          <w:tcPr>
            <w:tcW w:w="110" w:type="dxa"/>
            <w:tcBorders/>
            <w:vAlign w:val="center"/>
          </w:tcPr>
          <w:p>
            <w:pPr>
              <w:pStyle w:val="TableContents"/>
              <w:bidi w:val="0"/>
              <w:spacing w:before="80" w:after="0"/>
              <w:jc w:val="left"/>
              <w:rPr>
                <w:rFonts w:ascii="Times New Roman;Times;serif" w:hAnsi="Times New Roman;Times;serif"/>
                <w:sz w:val="16"/>
              </w:rPr>
            </w:pPr>
            <w:r>
              <w:rPr>
                <w:rFonts w:ascii="Times New Roman;Times;serif" w:hAnsi="Times New Roman;Times;serif"/>
                <w:sz w:val="16"/>
              </w:rPr>
              <w:t>+</w:t>
            </w:r>
          </w:p>
        </w:tc>
        <w:tc>
          <w:tcPr>
            <w:tcW w:w="3740" w:type="dxa"/>
            <w:tcBorders/>
            <w:vAlign w:val="center"/>
          </w:tcPr>
          <w:p>
            <w:pPr>
              <w:pStyle w:val="TableContents"/>
              <w:bidi w:val="0"/>
              <w:spacing w:before="80" w:after="0"/>
              <w:jc w:val="left"/>
              <w:rPr>
                <w:rFonts w:ascii="Times New Roman;Times;serif" w:hAnsi="Times New Roman;Times;serif"/>
                <w:sz w:val="16"/>
              </w:rPr>
            </w:pPr>
            <w:r>
              <w:rPr>
                <w:rFonts w:ascii="Times New Roman;Times;serif" w:hAnsi="Times New Roman;Times;serif"/>
                <w:sz w:val="16"/>
              </w:rPr>
              <w:t xml:space="preserve">Denotes management compensation plan or contract. </w:t>
            </w:r>
          </w:p>
        </w:tc>
      </w:tr>
    </w:tbl>
    <w:p>
      <w:pPr>
        <w:pStyle w:val="TextBody"/>
        <w:bidi w:val="0"/>
        <w:spacing w:before="0" w:after="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16. Form 10-K Summary</w:t>
      </w:r>
      <w:bookmarkStart w:id="41" w:name="Item16Form10KSummary_50420"/>
      <w:bookmarkEnd w:id="41"/>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169</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SIGNATURES</w:t>
      </w:r>
      <w:bookmarkStart w:id="42" w:name="SIGNATURES_368893"/>
      <w:bookmarkEnd w:id="42"/>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6659" w:type="dxa"/>
        <w:jc w:val="center"/>
        <w:tblInd w:w="0" w:type="dxa"/>
        <w:tblLayout w:type="fixed"/>
        <w:tblCellMar>
          <w:top w:w="0" w:type="dxa"/>
          <w:left w:w="0" w:type="dxa"/>
          <w:bottom w:w="0" w:type="dxa"/>
          <w:right w:w="0" w:type="dxa"/>
        </w:tblCellMar>
      </w:tblPr>
      <w:tblGrid>
        <w:gridCol w:w="1891"/>
        <w:gridCol w:w="266"/>
        <w:gridCol w:w="406"/>
        <w:gridCol w:w="4096"/>
      </w:tblGrid>
      <w:tr>
        <w:trPr/>
        <w:tc>
          <w:tcPr>
            <w:tcW w:w="189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450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ARRIVENT BIOPHARMA, INC.</w:t>
            </w:r>
          </w:p>
        </w:tc>
      </w:tr>
      <w:tr>
        <w:trPr/>
        <w:tc>
          <w:tcPr>
            <w:tcW w:w="189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28, 2024</w:t>
            </w:r>
          </w:p>
        </w:tc>
        <w:tc>
          <w:tcPr>
            <w:tcW w:w="26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Zhengbin (Bing) Yao, Ph.D.</w:t>
            </w:r>
          </w:p>
        </w:tc>
      </w:tr>
      <w:tr>
        <w:trPr/>
        <w:tc>
          <w:tcPr>
            <w:tcW w:w="189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shd w:fill="FFFF00" w:val="clear"/>
              </w:rPr>
            </w:pPr>
            <w:r>
              <w:rPr>
                <w:shd w:fill="FFFF00" w:val="clear"/>
              </w:rPr>
              <w:t>​</w:t>
            </w:r>
          </w:p>
        </w:tc>
        <w:tc>
          <w:tcPr>
            <w:tcW w:w="406" w:type="dxa"/>
            <w:tcBorders/>
            <w:vAlign w:val="center"/>
          </w:tcPr>
          <w:p>
            <w:pPr>
              <w:pStyle w:val="TableContents"/>
              <w:bidi w:val="0"/>
              <w:spacing w:before="0" w:after="0"/>
              <w:ind w:left="0" w:right="0" w:hanging="0"/>
              <w:jc w:val="left"/>
              <w:rPr/>
            </w:pPr>
            <w:r>
              <w:rPr/>
              <w:t>​</w:t>
            </w:r>
          </w:p>
        </w:tc>
        <w:tc>
          <w:tcPr>
            <w:tcW w:w="40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Zhengbin (Bing) Yao, Ph.D.</w:t>
            </w:r>
          </w:p>
        </w:tc>
      </w:tr>
      <w:tr>
        <w:trPr/>
        <w:tc>
          <w:tcPr>
            <w:tcW w:w="189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Chairman, President and Chief Executive Officer</w:t>
            </w:r>
          </w:p>
        </w:tc>
      </w:tr>
      <w:tr>
        <w:trPr/>
        <w:tc>
          <w:tcPr>
            <w:tcW w:w="189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POWER OF ATTORNEY</w:t>
      </w:r>
    </w:p>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shd w:fill="FFFFFF" w:val="clear"/>
        </w:rPr>
        <w:t xml:space="preserve">Each person whose individual signature appears below hereby authorizes and appoints </w:t>
      </w:r>
      <w:r>
        <w:rPr>
          <w:rFonts w:ascii="Times New Roman;Times;serif" w:hAnsi="Times New Roman;Times;serif"/>
          <w:sz w:val="20"/>
        </w:rPr>
        <w:t xml:space="preserve">Zhengbin (Bing) Yao, Ph.D. </w:t>
      </w:r>
      <w:r>
        <w:rPr>
          <w:rFonts w:ascii="Times New Roman;Times;serif" w:hAnsi="Times New Roman;Times;serif"/>
          <w:sz w:val="20"/>
          <w:shd w:fill="FFFFFF" w:val="clear"/>
        </w:rPr>
        <w:t xml:space="preserve">and </w:t>
      </w:r>
      <w:r>
        <w:rPr>
          <w:rFonts w:ascii="Times New Roman;Times;serif" w:hAnsi="Times New Roman;Times;serif"/>
          <w:sz w:val="20"/>
        </w:rPr>
        <w:t>Winston Kung, MBA</w:t>
      </w:r>
      <w:r>
        <w:rPr>
          <w:rFonts w:ascii="Times New Roman;Times;serif" w:hAnsi="Times New Roman;Times;serif"/>
          <w:sz w:val="20"/>
          <w:shd w:fill="FFFFFF" w:val="clear"/>
        </w:rPr>
        <w:t>, and each of them, with full power of substitution and resubstitution and full power to act without the other, as their respective true and lawful attorney-in-fact and agent to act in their respective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r>
        <w:rPr>
          <w:rFonts w:ascii="Times New Roman;Times;serif" w:hAnsi="Times New Roman;Times;serif"/>
          <w:sz w:val="20"/>
        </w:rPr>
        <w:t xml:space="preserv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by the following persons on behalf of the registrant and in the capacities indicated:</w:t>
      </w:r>
    </w:p>
    <w:tbl>
      <w:tblPr>
        <w:tblW w:w="7616" w:type="dxa"/>
        <w:jc w:val="left"/>
        <w:tblInd w:w="0" w:type="dxa"/>
        <w:tblLayout w:type="fixed"/>
        <w:tblCellMar>
          <w:top w:w="0" w:type="dxa"/>
          <w:left w:w="0" w:type="dxa"/>
          <w:bottom w:w="28" w:type="dxa"/>
          <w:right w:w="0" w:type="dxa"/>
        </w:tblCellMar>
      </w:tblPr>
      <w:tblGrid>
        <w:gridCol w:w="2626"/>
        <w:gridCol w:w="109"/>
        <w:gridCol w:w="3331"/>
        <w:gridCol w:w="109"/>
        <w:gridCol w:w="1441"/>
      </w:tblGrid>
      <w:tr>
        <w:trPr/>
        <w:tc>
          <w:tcPr>
            <w:tcW w:w="262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Signature</w:t>
            </w:r>
          </w:p>
        </w:tc>
        <w:tc>
          <w:tcPr>
            <w:tcW w:w="109" w:type="dxa"/>
            <w:tcBorders/>
            <w:tcMar>
              <w:bottom w:w="0" w:type="dxa"/>
            </w:tcMar>
            <w:vAlign w:val="center"/>
          </w:tcPr>
          <w:p>
            <w:pPr>
              <w:pStyle w:val="TableContents"/>
              <w:bidi w:val="0"/>
              <w:spacing w:before="0" w:after="0"/>
              <w:ind w:left="0" w:right="0" w:hanging="0"/>
              <w:jc w:val="left"/>
              <w:rPr/>
            </w:pPr>
            <w:r>
              <w:rPr/>
              <w:t>​</w:t>
            </w:r>
          </w:p>
        </w:tc>
        <w:tc>
          <w:tcPr>
            <w:tcW w:w="333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144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r>
      <w:tr>
        <w:trPr/>
        <w:tc>
          <w:tcPr>
            <w:tcW w:w="2626" w:type="dxa"/>
            <w:tcBorders>
              <w:top w:val="single" w:sz="2" w:space="0" w:color="000000"/>
            </w:tcBorders>
            <w:tcMar>
              <w:top w:w="28" w:type="dxa"/>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3331" w:type="dxa"/>
            <w:tcBorders>
              <w:top w:val="single" w:sz="2" w:space="0" w:color="000000"/>
            </w:tcBorders>
            <w:tcMar>
              <w:top w:w="28" w:type="dxa"/>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1441" w:type="dxa"/>
            <w:tcBorders>
              <w:top w:val="single" w:sz="2" w:space="0" w:color="000000"/>
            </w:tcBorders>
            <w:tcMar>
              <w:top w:w="28" w:type="dxa"/>
              <w:bottom w:w="0" w:type="dxa"/>
            </w:tcMar>
            <w:vAlign w:val="center"/>
          </w:tcPr>
          <w:p>
            <w:pPr>
              <w:pStyle w:val="TableContents"/>
              <w:bidi w:val="0"/>
              <w:spacing w:before="0" w:after="0"/>
              <w:ind w:left="0" w:right="0" w:hanging="0"/>
              <w:jc w:val="center"/>
              <w:rPr/>
            </w:pPr>
            <w:r>
              <w:rPr/>
              <w:t>​</w:t>
            </w:r>
          </w:p>
        </w:tc>
      </w:tr>
      <w:tr>
        <w:trPr/>
        <w:tc>
          <w:tcPr>
            <w:tcW w:w="262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Zhengbin (Bing) Yao, Ph.D.</w:t>
            </w:r>
          </w:p>
        </w:tc>
        <w:tc>
          <w:tcPr>
            <w:tcW w:w="109" w:type="dxa"/>
            <w:tcBorders/>
            <w:tcMar>
              <w:bottom w:w="0" w:type="dxa"/>
            </w:tcMar>
            <w:vAlign w:val="center"/>
          </w:tcPr>
          <w:p>
            <w:pPr>
              <w:pStyle w:val="TableContents"/>
              <w:bidi w:val="0"/>
              <w:spacing w:before="0" w:after="0"/>
              <w:ind w:left="0" w:right="0" w:hanging="0"/>
              <w:jc w:val="left"/>
              <w:rPr/>
            </w:pPr>
            <w:r>
              <w:rPr/>
              <w:t>​</w:t>
            </w:r>
          </w:p>
        </w:tc>
        <w:tc>
          <w:tcPr>
            <w:tcW w:w="333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Chairman, Chief Executive Officer and</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144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28, 2024</w:t>
            </w:r>
          </w:p>
        </w:tc>
      </w:tr>
      <w:tr>
        <w:trPr/>
        <w:tc>
          <w:tcPr>
            <w:tcW w:w="262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Zhengbin (Bing) Yao, Ph.D.</w:t>
            </w:r>
          </w:p>
        </w:tc>
        <w:tc>
          <w:tcPr>
            <w:tcW w:w="109" w:type="dxa"/>
            <w:tcBorders/>
            <w:tcMar>
              <w:bottom w:w="0" w:type="dxa"/>
            </w:tcMar>
            <w:vAlign w:val="center"/>
          </w:tcPr>
          <w:p>
            <w:pPr>
              <w:pStyle w:val="TableContents"/>
              <w:bidi w:val="0"/>
              <w:spacing w:before="0" w:after="0"/>
              <w:ind w:left="0" w:right="0" w:hanging="0"/>
              <w:jc w:val="left"/>
              <w:rPr/>
            </w:pPr>
            <w:r>
              <w:rPr/>
              <w:t>​</w:t>
            </w:r>
          </w:p>
        </w:tc>
        <w:tc>
          <w:tcPr>
            <w:tcW w:w="333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262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3331" w:type="dxa"/>
            <w:tcBorders/>
            <w:tcMar>
              <w:bottom w:w="0" w:type="dxa"/>
            </w:tcMar>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262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3331"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2626" w:type="dxa"/>
            <w:tcBorders>
              <w:bottom w:val="single" w:sz="2" w:space="0" w:color="000000"/>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Winston Kung, MBA</w:t>
            </w:r>
          </w:p>
        </w:tc>
        <w:tc>
          <w:tcPr>
            <w:tcW w:w="109" w:type="dxa"/>
            <w:tcBorders/>
            <w:tcMar>
              <w:bottom w:w="0" w:type="dxa"/>
            </w:tcMar>
            <w:vAlign w:val="center"/>
          </w:tcPr>
          <w:p>
            <w:pPr>
              <w:pStyle w:val="TableContents"/>
              <w:bidi w:val="0"/>
              <w:spacing w:before="0" w:after="0"/>
              <w:ind w:left="0" w:right="0" w:hanging="0"/>
              <w:jc w:val="left"/>
              <w:rPr/>
            </w:pPr>
            <w:r>
              <w:rPr/>
              <w:t>​</w:t>
            </w:r>
          </w:p>
        </w:tc>
        <w:tc>
          <w:tcPr>
            <w:tcW w:w="3331" w:type="dxa"/>
            <w:tcBorders/>
            <w:tcMar>
              <w:bottom w:w="0" w:type="dxa"/>
            </w:tcMar>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 and Treasurer</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28, 2024</w:t>
            </w:r>
          </w:p>
        </w:tc>
      </w:tr>
      <w:tr>
        <w:trPr/>
        <w:tc>
          <w:tcPr>
            <w:tcW w:w="262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Winston Kung, MBA</w:t>
            </w:r>
          </w:p>
        </w:tc>
        <w:tc>
          <w:tcPr>
            <w:tcW w:w="109" w:type="dxa"/>
            <w:tcBorders/>
            <w:tcMar>
              <w:bottom w:w="0" w:type="dxa"/>
            </w:tcMar>
            <w:vAlign w:val="center"/>
          </w:tcPr>
          <w:p>
            <w:pPr>
              <w:pStyle w:val="TableContents"/>
              <w:bidi w:val="0"/>
              <w:spacing w:before="0" w:after="0"/>
              <w:ind w:left="0" w:right="0" w:hanging="0"/>
              <w:jc w:val="left"/>
              <w:rPr/>
            </w:pPr>
            <w:r>
              <w:rPr/>
              <w:t>​</w:t>
            </w:r>
          </w:p>
        </w:tc>
        <w:tc>
          <w:tcPr>
            <w:tcW w:w="3331" w:type="dxa"/>
            <w:tcBorders/>
            <w:tcMar>
              <w:bottom w:w="0" w:type="dxa"/>
            </w:tcMar>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Accounting Officer and</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262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3331" w:type="dxa"/>
            <w:tcBorders/>
            <w:tcMar>
              <w:bottom w:w="0" w:type="dxa"/>
            </w:tcMar>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Officer)</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262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3331"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262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 Carl L. Gordon, Ph.D., CFA </w:t>
            </w:r>
          </w:p>
        </w:tc>
        <w:tc>
          <w:tcPr>
            <w:tcW w:w="109" w:type="dxa"/>
            <w:tcBorders/>
            <w:tcMar>
              <w:bottom w:w="0" w:type="dxa"/>
            </w:tcMar>
            <w:vAlign w:val="center"/>
          </w:tcPr>
          <w:p>
            <w:pPr>
              <w:pStyle w:val="TableContents"/>
              <w:bidi w:val="0"/>
              <w:spacing w:before="0" w:after="0"/>
              <w:ind w:left="0" w:right="0" w:hanging="0"/>
              <w:jc w:val="left"/>
              <w:rPr/>
            </w:pPr>
            <w:r>
              <w:rPr/>
              <w:t>​</w:t>
            </w:r>
          </w:p>
        </w:tc>
        <w:tc>
          <w:tcPr>
            <w:tcW w:w="333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144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28, 2024</w:t>
            </w:r>
          </w:p>
        </w:tc>
      </w:tr>
      <w:tr>
        <w:trPr/>
        <w:tc>
          <w:tcPr>
            <w:tcW w:w="262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Carl L. Gordon, Ph.D., CFA</w:t>
            </w:r>
          </w:p>
        </w:tc>
        <w:tc>
          <w:tcPr>
            <w:tcW w:w="109" w:type="dxa"/>
            <w:tcBorders/>
            <w:tcMar>
              <w:bottom w:w="0" w:type="dxa"/>
            </w:tcMar>
            <w:vAlign w:val="center"/>
          </w:tcPr>
          <w:p>
            <w:pPr>
              <w:pStyle w:val="TableContents"/>
              <w:bidi w:val="0"/>
              <w:spacing w:before="0" w:after="0"/>
              <w:ind w:left="0" w:right="0" w:hanging="0"/>
              <w:jc w:val="left"/>
              <w:rPr/>
            </w:pPr>
            <w:r>
              <w:rPr/>
              <w:t>​</w:t>
            </w:r>
          </w:p>
        </w:tc>
        <w:tc>
          <w:tcPr>
            <w:tcW w:w="3331"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262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3331"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262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James Healy, M.D., Ph.D.</w:t>
            </w:r>
          </w:p>
        </w:tc>
        <w:tc>
          <w:tcPr>
            <w:tcW w:w="109" w:type="dxa"/>
            <w:tcBorders/>
            <w:tcMar>
              <w:bottom w:w="0" w:type="dxa"/>
            </w:tcMar>
            <w:vAlign w:val="center"/>
          </w:tcPr>
          <w:p>
            <w:pPr>
              <w:pStyle w:val="TableContents"/>
              <w:bidi w:val="0"/>
              <w:spacing w:before="0" w:after="0"/>
              <w:ind w:left="0" w:right="0" w:hanging="0"/>
              <w:jc w:val="left"/>
              <w:rPr/>
            </w:pPr>
            <w:r>
              <w:rPr/>
              <w:t>​</w:t>
            </w:r>
          </w:p>
        </w:tc>
        <w:tc>
          <w:tcPr>
            <w:tcW w:w="333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144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28, 2024</w:t>
            </w:r>
          </w:p>
        </w:tc>
      </w:tr>
      <w:tr>
        <w:trPr/>
        <w:tc>
          <w:tcPr>
            <w:tcW w:w="262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James Healy, M.D., Ph.D.</w:t>
            </w:r>
          </w:p>
        </w:tc>
        <w:tc>
          <w:tcPr>
            <w:tcW w:w="109" w:type="dxa"/>
            <w:tcBorders/>
            <w:tcMar>
              <w:bottom w:w="0" w:type="dxa"/>
            </w:tcMar>
            <w:vAlign w:val="center"/>
          </w:tcPr>
          <w:p>
            <w:pPr>
              <w:pStyle w:val="TableContents"/>
              <w:bidi w:val="0"/>
              <w:spacing w:before="0" w:after="0"/>
              <w:ind w:left="0" w:right="0" w:hanging="0"/>
              <w:jc w:val="left"/>
              <w:rPr/>
            </w:pPr>
            <w:r>
              <w:rPr/>
              <w:t>​</w:t>
            </w:r>
          </w:p>
        </w:tc>
        <w:tc>
          <w:tcPr>
            <w:tcW w:w="3331"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262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3331"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262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 Bahija Jallal, Ph.D. </w:t>
            </w:r>
          </w:p>
        </w:tc>
        <w:tc>
          <w:tcPr>
            <w:tcW w:w="109" w:type="dxa"/>
            <w:tcBorders/>
            <w:tcMar>
              <w:bottom w:w="0" w:type="dxa"/>
            </w:tcMar>
            <w:vAlign w:val="center"/>
          </w:tcPr>
          <w:p>
            <w:pPr>
              <w:pStyle w:val="TableContents"/>
              <w:bidi w:val="0"/>
              <w:spacing w:before="0" w:after="0"/>
              <w:ind w:left="0" w:right="0" w:hanging="0"/>
              <w:jc w:val="left"/>
              <w:rPr/>
            </w:pPr>
            <w:r>
              <w:rPr/>
              <w:t>​</w:t>
            </w:r>
          </w:p>
        </w:tc>
        <w:tc>
          <w:tcPr>
            <w:tcW w:w="333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144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28, 2024</w:t>
            </w:r>
          </w:p>
        </w:tc>
      </w:tr>
      <w:tr>
        <w:trPr/>
        <w:tc>
          <w:tcPr>
            <w:tcW w:w="262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Bahija Jallal, Ph.D.</w:t>
            </w:r>
          </w:p>
        </w:tc>
        <w:tc>
          <w:tcPr>
            <w:tcW w:w="109" w:type="dxa"/>
            <w:tcBorders/>
            <w:tcMar>
              <w:bottom w:w="0" w:type="dxa"/>
            </w:tcMar>
            <w:vAlign w:val="center"/>
          </w:tcPr>
          <w:p>
            <w:pPr>
              <w:pStyle w:val="TableContents"/>
              <w:bidi w:val="0"/>
              <w:spacing w:before="0" w:after="0"/>
              <w:ind w:left="0" w:right="0" w:hanging="0"/>
              <w:jc w:val="left"/>
              <w:rPr/>
            </w:pPr>
            <w:r>
              <w:rPr/>
              <w:t>​</w:t>
            </w:r>
          </w:p>
        </w:tc>
        <w:tc>
          <w:tcPr>
            <w:tcW w:w="3331"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262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3331"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2626" w:type="dxa"/>
            <w:tcBorders>
              <w:bottom w:val="single" w:sz="2" w:space="0" w:color="000000"/>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Stuart Lutzker, M.D., Ph.D.</w:t>
            </w:r>
          </w:p>
        </w:tc>
        <w:tc>
          <w:tcPr>
            <w:tcW w:w="109" w:type="dxa"/>
            <w:tcBorders/>
            <w:tcMar>
              <w:bottom w:w="0" w:type="dxa"/>
            </w:tcMar>
            <w:vAlign w:val="center"/>
          </w:tcPr>
          <w:p>
            <w:pPr>
              <w:pStyle w:val="TableContents"/>
              <w:bidi w:val="0"/>
              <w:spacing w:before="0" w:after="0"/>
              <w:ind w:left="0" w:right="0" w:hanging="0"/>
              <w:jc w:val="left"/>
              <w:rPr/>
            </w:pPr>
            <w:r>
              <w:rPr/>
              <w:t>​</w:t>
            </w:r>
          </w:p>
        </w:tc>
        <w:tc>
          <w:tcPr>
            <w:tcW w:w="3331" w:type="dxa"/>
            <w:tcBorders/>
            <w:tcMar>
              <w:bottom w:w="0" w:type="dxa"/>
            </w:tcMar>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President of Research and Development</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144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28, 2024</w:t>
            </w:r>
          </w:p>
        </w:tc>
      </w:tr>
      <w:tr>
        <w:trPr/>
        <w:tc>
          <w:tcPr>
            <w:tcW w:w="262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Stuart Lutzker, M.D., Ph.D.</w:t>
            </w:r>
          </w:p>
        </w:tc>
        <w:tc>
          <w:tcPr>
            <w:tcW w:w="109" w:type="dxa"/>
            <w:tcBorders/>
            <w:tcMar>
              <w:bottom w:w="0" w:type="dxa"/>
            </w:tcMar>
            <w:vAlign w:val="center"/>
          </w:tcPr>
          <w:p>
            <w:pPr>
              <w:pStyle w:val="TableContents"/>
              <w:bidi w:val="0"/>
              <w:spacing w:before="0" w:after="0"/>
              <w:ind w:left="0" w:right="0" w:hanging="0"/>
              <w:jc w:val="left"/>
              <w:rPr/>
            </w:pPr>
            <w:r>
              <w:rPr/>
              <w:t>​</w:t>
            </w:r>
          </w:p>
        </w:tc>
        <w:tc>
          <w:tcPr>
            <w:tcW w:w="333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and Director</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262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3331"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262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Chris W. Nolet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333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144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28, 2024</w:t>
            </w:r>
          </w:p>
        </w:tc>
      </w:tr>
      <w:tr>
        <w:trPr/>
        <w:tc>
          <w:tcPr>
            <w:tcW w:w="262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Chris W. Nolet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3331"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43" w:name="tmb-20231231xex4d3.htm"/>
      <w:bookmarkStart w:id="44" w:name="kstmb20231231xex4d3"/>
      <w:bookmarkEnd w:id="43"/>
      <w:bookmarkEnd w:id="44"/>
      <w:r>
        <w:rPr>
          <w:rFonts w:ascii="Times New Roman;Times;serif" w:hAnsi="Times New Roman;Times;serif"/>
          <w:b/>
          <w:sz w:val="20"/>
        </w:rPr>
        <w:t>Exhibit 4.3</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 OF REGISTRANT’S SECURITIES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REGISTERED PURSUANT TO SECTION 12 OF</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THE SECURITIES EXCHANGE ACT OF 1934, AS AMENDED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ArriVent Biopharma, Inc. has one class of securities registered under Section 12 of the Securities Exchange Act of 1934, as amended (the “Exchange Act”): our common stock, par value $0.0001 per share. Unless the context otherwise requires, all references to “we”, “us”, the “Company”, or “ArriVent” in this Exhibit 4.3 refer to ArriVent Biopharma, Inc.</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DESCRIPTION OF COMMON STOCK</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are authorized to issue 200,000,000 shares of common stock, par value $0.0001 per share, and 10,000,000 shares of preferred stock, par value $0.0001 per share.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following description of our common stock and provisions of our amended and restated certificate of incorporation and amended and restated by-laws are summaries of material terms and provisions and are qualified by reference to our amended and restated certificate of incorporation and amended and restated by-laws, copies of which have been filed with the SEC as exhibits to the Annual Report on Form 10-K. The descriptions of our common stock reflect the content of the amended and restated certificate of incorporation and amended and restated by-laws.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Holders of our common stock are entitled to receive dividends ratably, if any, as may be declared by our board of directors out of legally available funds, subject to any preferential dividend rights of any preferred stock then outstanding. Upon our dissolution, liquidation or winding up, holders of our common stock are entitled to share ratably in our net assets legally available after the payment of all our debts and other liabilities, subject to the preferential rights of any preferred stock then outstanding. Holders of our common stock have no preemptive, subscription, redemption or conversion rights. Our outstanding shares of common stock are validly issued, fully paid and nonassessable. The rights, preferences, and privileges of holders of common stock are subject to, and may be adversely affected by, the rights of the holders of shares of any series of preferred stock that we may designate and issue in the future. Except as described under the “— Anti-Takeover Effects of Delaware Law, Our Amended and Restated Certificate of Incorporation and Our Amended and Restated By-Laws” section below, a majority vote of the holders of common stock is generally required to take action under our amended and restated certificate of incorporation and amended and restated by-laws.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Registration Rights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are party to the Amended and Restated Investors’ Rights Agreement, dated December 16, 2022 (the “Investors’ Rights Agreement”), pursuant to which holders of registrable shares can demand that we file a registration statement or request that their shares be included on a registration statement that we are otherwise filing, in either case, registering the resale of their shares of common stock. These registration rights are subject to conditions and limitations, including the right, in certain circumstances, of the underwriters of an offering to limit the number of shares included in such registration and our right, in certain circumstances, not to effect a registration upon demand of the holders of registrable shares within 30 days preceding our good faith estimate of the date of filing of, and 90 days following the effective date of any registration statement that we file covering a firm commitment underwritten public offering in which the holders of registrable shares were entitled to join and in which we effectively registered all registrable shares that were requested to be registered.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Demand Registration Rights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Following the date that is 180 days after the date of our initial public offering, the holders of a majority of registrable securities then outstanding under the Investors’ Rights Agreement may require us to file a registration statement under the Securities Act of 1933, as amended (the “Securities Act”) on a registration statement on Form S-1 at our expense, subject to certain exceptions, with an anticipated aggregate offering price, net of the offering expenses, of more than $20.0 million, in which case we will be required to effect the registration as soon as practicable, and in any event within 60 days. We are required to effect only two demand registrations pursuant to this provision of the Investors’ Rights Agreement. Any time after we are eligible to use a registration statement on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Form S-3, the holders of at least 10% of our registrable securities under the Investors’ Rights Agreement may require us to file a registration statement on Form S-3 at our expense, subject to certain exceptions, with respect to the then outstanding registrable securities of such holders having an anticipated aggregate offering price, net of the offering expenses, of at least $5.0 million, in which case we will be required to effect the registration as soon as practicable, and in any event within 45 days. If we determine that it would be detrimental to us and our stockholders to effect a requested registration, we may postpone each such registration for a period of up to 60 days; provided that we may neither invoke this right more than once in any 12-month period nor effect a registration for our own account or any other stockholder during such 60 day period. The foregoing demand registration rights are subject to a number of additional exceptions and limitations.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Piggyback Registration Rights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If we propose to file a registration statement under the Securities Act for the purposes of a public offering of our securities, including, but not limited to, registration statements relating to a secondary offering of our securities but excluding (i) a registration statement relating to the sale or grant of securities to employees pursuant to a stock option, stock purchase, equity incentive or similar plan; (ii) with respect to any corporate reorganization or transaction under Rule 145 of the Securities Act;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 the holders of registrable securities are entitled to receive notice of such registration and to request that we include their registrable securities for resale in the registration statement. The underwriters of the offering will have the right to limit the number of shares to be included in such registration. The foregoing piggyback registration rights are subject to a number of additional exceptions and limitations.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Expiration of Registration Rights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registration rights will terminate upon the earliest to occur of (i) the closing of certain liquidation events and (ii) such time after closing of our initial public offering as Rule 144 or another similar exemption under the Securities Act is available for the sale of all such holders’ registrable securities without limitation, during a three-month period without registration.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Indemnification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Investors’ Rights Agreement contains customary cross-indemnification provisions pursuant to which we are obligated to indemnify the selling stockholders, in the event of misstatements or omissions in the registration statement attributable to us, and they are obligated to indemnify us for misstatements or omissions attributable to them.</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Nasdaq Global Market Listing</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common stock is listed on The Nasdaq Global Market under the trading symbol “AVBP.”</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Transfer Agent and Registrar</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transfer agent and registrar for our common stock is Computershare Trust Company, N.A.</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CERTAIN PROVISIONS OF DELAWARE LAW AND OF THE COMPANY’S CERTIFICATE OF INCORPORATION AND BYLAWS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Anti-Takeover Effects of Delaware Law, Our Amended and Restated Certificate of Incorporation and Our Amended and Restated By-Laws</w:t>
      </w:r>
    </w:p>
    <w:p>
      <w:pPr>
        <w:pStyle w:val="TextBody"/>
        <w:bidi w:val="0"/>
        <w:spacing w:before="0" w:after="120"/>
        <w:ind w:left="0" w:right="0" w:firstLine="400"/>
        <w:jc w:val="left"/>
        <w:rPr>
          <w:rFonts w:ascii="Times New Roman;Times;serif" w:hAnsi="Times New Roman;Times;serif"/>
          <w:sz w:val="20"/>
        </w:rPr>
      </w:pPr>
      <w:r>
        <w:rPr>
          <w:rFonts w:ascii="Times New Roman;Times;serif" w:hAnsi="Times New Roman;Times;serif"/>
          <w:sz w:val="20"/>
        </w:rPr>
        <w:t xml:space="preserve">Some provisions of Delaware law, our amended and restated certificate of incorporation and our amended and restated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may otherwise consider to be in their best interest or in our best interests, including transactions which provide for payment of a premium over the market price for our shares.</w:t>
      </w:r>
    </w:p>
    <w:p>
      <w:pPr>
        <w:pStyle w:val="TextBody"/>
        <w:bidi w:val="0"/>
        <w:spacing w:before="0" w:after="120"/>
        <w:ind w:left="0" w:right="0" w:firstLine="400"/>
        <w:jc w:val="left"/>
        <w:rPr>
          <w:rFonts w:ascii="Times New Roman;Times;serif" w:hAnsi="Times New Roman;Times;serif"/>
          <w:sz w:val="20"/>
        </w:rPr>
      </w:pPr>
      <w:r>
        <w:rPr>
          <w:rFonts w:ascii="Times New Roman;Times;serif" w:hAnsi="Times New Roman;Times;serif"/>
          <w:sz w:val="20"/>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Board Composition and Filling Vacancies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accordance with our amended and restated certificate of incorporation, our board of directors is divided into three classes serving three-year terms, with one class being elected each year. Our amended and restated certificate of incorporation also provides that directors may be removed only for cause and then only by the affirmative vote of the holders of seventy-five percent of the shares then entitled to vote at an election of directors. Furthermore, any vacancy on our board of directors, however occurring, including a vacancy resulting from an increase in the size of our board of directors, will only be able to be filled by the affirmative vote of a majority of our directors then in office, even if less than a quorum.</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No Written Consent of Stockholders</w:t>
      </w:r>
    </w:p>
    <w:p>
      <w:pPr>
        <w:pStyle w:val="TextBody"/>
        <w:bidi w:val="0"/>
        <w:spacing w:before="0" w:after="120"/>
        <w:ind w:left="0" w:right="0" w:firstLine="400"/>
        <w:jc w:val="left"/>
        <w:rPr>
          <w:rFonts w:ascii="Times New Roman;Times;serif" w:hAnsi="Times New Roman;Times;serif"/>
          <w:sz w:val="20"/>
        </w:rPr>
      </w:pPr>
      <w:r>
        <w:rPr>
          <w:rFonts w:ascii="Times New Roman;Times;serif" w:hAnsi="Times New Roman;Times;serif"/>
          <w:sz w:val="20"/>
        </w:rPr>
        <w:t>Our amended and restated certificate of incorporation provides that all stockholder actions are required to be taken by a vote of the stockholders at an annual or special meeting, and that stockholders may not take any action by written consent in lieu of a meeting.</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Meetings of Stockholders</w:t>
      </w:r>
    </w:p>
    <w:p>
      <w:pPr>
        <w:pStyle w:val="TextBody"/>
        <w:bidi w:val="0"/>
        <w:spacing w:before="0" w:after="120"/>
        <w:ind w:left="0" w:right="0" w:firstLine="400"/>
        <w:jc w:val="left"/>
        <w:rPr>
          <w:rFonts w:ascii="Times New Roman;Times;serif" w:hAnsi="Times New Roman;Times;serif"/>
          <w:sz w:val="20"/>
        </w:rPr>
      </w:pPr>
      <w:r>
        <w:rPr>
          <w:rFonts w:ascii="Times New Roman;Times;serif" w:hAnsi="Times New Roman;Times;serif"/>
          <w:sz w:val="20"/>
        </w:rPr>
        <w:t>Our amended and restated by-laws provide that only a majority of the members of our board of directors then in office may call special meetings of stockholders and only those matters set forth in the notice of the special meeting may be considered or acted upon at a special meeting of stockholders. Our amended and restated by-laws limit the business that may be conducted at an annual meeting of stockholders to those matters properly brought before the meeting.</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Advance Notice Requirements</w:t>
      </w:r>
    </w:p>
    <w:p>
      <w:pPr>
        <w:pStyle w:val="TextBody"/>
        <w:bidi w:val="0"/>
        <w:spacing w:before="0" w:after="120"/>
        <w:ind w:left="0" w:right="0" w:firstLine="400"/>
        <w:jc w:val="left"/>
        <w:rPr>
          <w:rFonts w:ascii="Times New Roman;Times;serif" w:hAnsi="Times New Roman;Times;serif"/>
          <w:sz w:val="20"/>
        </w:rPr>
      </w:pPr>
      <w:r>
        <w:rPr>
          <w:rFonts w:ascii="Times New Roman;Times;serif" w:hAnsi="Times New Roman;Times;serif"/>
          <w:sz w:val="20"/>
        </w:rPr>
        <w:t>Our amended and restated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w:t>
      </w:r>
    </w:p>
    <w:p>
      <w:pPr>
        <w:pStyle w:val="TextBody"/>
        <w:bidi w:val="0"/>
        <w:spacing w:before="0" w:after="0"/>
        <w:ind w:left="0" w:right="0" w:firstLine="400"/>
        <w:jc w:val="left"/>
        <w:rPr>
          <w:rFonts w:ascii="Times New Roman;Times;serif" w:hAnsi="Times New Roman;Times;serif"/>
          <w:sz w:val="20"/>
        </w:rPr>
      </w:pPr>
      <w:r>
        <w:rPr>
          <w:rFonts w:ascii="Times New Roman;Times;serif" w:hAnsi="Times New Roman;Times;serif"/>
          <w:sz w:val="20"/>
        </w:rPr>
        <w:t>Generally, to be timely, notice must be received at our principal executive offices not less than 90 days or more than 120 days prior to the first anniversary date of the annual meeting for the preceding year. The notice must contain certain information specified in our amended and restated bylaws.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pStyle w:val="TextBody"/>
        <w:bidi w:val="0"/>
        <w:spacing w:before="0" w:after="120"/>
        <w:ind w:left="0" w:right="0" w:hanging="0"/>
        <w:jc w:val="left"/>
        <w:rPr/>
      </w:pPr>
      <w:r>
        <w:rPr/>
        <w:t>​</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Amendment to Bylaws and Certificate of Incorporation</w:t>
      </w:r>
    </w:p>
    <w:p>
      <w:pPr>
        <w:pStyle w:val="TextBody"/>
        <w:bidi w:val="0"/>
        <w:spacing w:before="0" w:after="120"/>
        <w:ind w:left="0" w:right="0" w:firstLine="400"/>
        <w:jc w:val="left"/>
        <w:rPr>
          <w:rFonts w:ascii="Times New Roman;Times;serif" w:hAnsi="Times New Roman;Times;serif"/>
          <w:sz w:val="20"/>
        </w:rPr>
      </w:pPr>
      <w:r>
        <w:rPr>
          <w:rFonts w:ascii="Times New Roman;Times;serif" w:hAnsi="Times New Roman;Times;serif"/>
          <w:sz w:val="20"/>
        </w:rPr>
        <w:t xml:space="preserve">As required by the Delaware General Corporation Law, any amendment of our amended and restated certificate of incorporation must first be approved by a majority of our board of directors and, if required by law or our amended and restated certificate of incorporation,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exclusive jurisdiction of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Delaware Courts and the amendment of our amended and restated by-laws and amended and restated certificate of incorporation must be approved by not less than seventy-five percent of the outstanding shares entitled to vote on the amendment, and not less than seventy-five percent of the outstanding shares of each class entitled to vote thereon as a class. Our amended and restated by-laws may be amended by the affirmative vote of a majority of the directors then in office, subject to any limitations set forth in the amended and restated by-laws; and may also be amended by the affirmative vote of at least seventy-five percent of the outstanding shares entitled to vote on the amendment, or, if the board of directors recommends that the stockholders approve the amendment, by the affirmative vote of the majority of the outstanding shares entitled to vote on the amendment.</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Section 203 of the Delaware General Corporation Law</w:t>
      </w:r>
    </w:p>
    <w:p>
      <w:pPr>
        <w:pStyle w:val="TextBody"/>
        <w:bidi w:val="0"/>
        <w:spacing w:before="0" w:after="120"/>
        <w:ind w:left="0" w:right="0" w:firstLine="400"/>
        <w:jc w:val="left"/>
        <w:rPr>
          <w:rFonts w:ascii="Times New Roman;Times;serif" w:hAnsi="Times New Roman;Times;serif"/>
          <w:sz w:val="20"/>
        </w:rPr>
      </w:pPr>
      <w:r>
        <w:rPr>
          <w:rFonts w:ascii="Times New Roman;Times;serif" w:hAnsi="Times New Roman;Times;serif"/>
          <w:sz w:val="20"/>
        </w:rPr>
        <w:t>We are subject to the provisions of Section 203 of the Delaware General Corporation Law.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pStyle w:val="TextBody"/>
        <w:bidi w:val="0"/>
        <w:spacing w:before="0" w:after="120"/>
        <w:ind w:left="0" w:right="0" w:firstLine="400"/>
        <w:jc w:val="left"/>
        <w:rPr>
          <w:rFonts w:ascii="Times New Roman;Times;serif" w:hAnsi="Times New Roman;Times;serif"/>
          <w:sz w:val="20"/>
        </w:rPr>
      </w:pPr>
      <w:r>
        <w:rPr>
          <w:rFonts w:ascii="Times New Roman;Times;serif" w:hAnsi="Times New Roman;Times;serif"/>
          <w:sz w:val="20"/>
        </w:rPr>
        <w:t>Under Section 203, a business combination between a corporation and an interested stockholder is prohibited unless it satisfies one of the following conditions:</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before the stockholder became interested, the board of directors approved either the business combination or the transaction that resulted in the stockholder becoming an interested stockholder;</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upon closing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that is not owned by the interested stockholder.</w:t>
            </w:r>
          </w:p>
        </w:tc>
      </w:tr>
    </w:tbl>
    <w:p>
      <w:pPr>
        <w:pStyle w:val="TextBody"/>
        <w:bidi w:val="0"/>
        <w:spacing w:before="0" w:after="120"/>
        <w:ind w:left="0" w:right="0" w:firstLine="400"/>
        <w:jc w:val="left"/>
        <w:rPr>
          <w:rFonts w:ascii="Times New Roman;Times;serif" w:hAnsi="Times New Roman;Times;serif"/>
          <w:sz w:val="20"/>
        </w:rPr>
      </w:pPr>
      <w:r>
        <w:rPr>
          <w:rFonts w:ascii="Times New Roman;Times;serif" w:hAnsi="Times New Roman;Times;serif"/>
          <w:sz w:val="20"/>
        </w:rPr>
        <w:t>A Delaware corporation may “opt out” of these provisions with an express provision in its original certificate of incorporation or an express provision in its amended and restated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Exclusive Jurisdiction of Certain Actions</w:t>
      </w:r>
    </w:p>
    <w:p>
      <w:pPr>
        <w:pStyle w:val="TextBody"/>
        <w:bidi w:val="0"/>
        <w:spacing w:before="0" w:after="0"/>
        <w:ind w:left="0" w:right="0" w:firstLine="400"/>
        <w:jc w:val="left"/>
        <w:rPr>
          <w:rFonts w:ascii="Times New Roman;Times;serif" w:hAnsi="Times New Roman;Times;serif"/>
          <w:sz w:val="20"/>
        </w:rPr>
      </w:pPr>
      <w:r>
        <w:rPr>
          <w:rFonts w:ascii="Times New Roman;Times;serif" w:hAnsi="Times New Roman;Times;serif"/>
          <w:sz w:val="20"/>
        </w:rPr>
        <w:t xml:space="preserve">Our amended and restated certificate of incorporation provides that, unless we consent in writing to the selection of an alternative forum, the Court of Chancery of the State of Delaware (or, if the Court of Chancery does not have jurisdiction, the federal district court for the District of Delaware or other state courts of the State of Delaware) will be the sole and exclusive forum for any state law claim for: (1) any derivative action or proceeding brought on our behalf; (2) any action or proceeding asserting a claim of breach of a fiduciary duty or other wrongdoing by any of our directors, officers, employees or agents to us or our stockholders; (3) any action or proceeding asserting a claim against us arising pursuant to any provision of the Delaware General Corporation Law or our certificate of incorporation or bylaws (in each case, as they may be amended from time to time); (4) any action or proceeding to interpret, apply, enforce or determine the validity of our amended and restated certificate of incorporation or bylaws; (5) any action or proceeding as to which the Delaware General Corporation Law confers jurisdiction to the Court of Chancery of the State of Delaware; or (6) any action asserting a claim against us or any of our directors, officers or employees that is governed by the internal affairs doctrine. The choice of forum provision does not apply to any actions arising under the Exchange Act. Our amended and restated certificate of incorporation further provides that, unless we consent in writing to an alternative forum, the United States District Court for the District of Pennsylvania will be the exclusive forum for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resolving any complaint asserting a cause of action arising under the Securities Act. We have chosen the United States District Court for the District of Pennsylvania as the exclusive forum for such Securities Act causes of action because our principal executive offices are located in Newtown Square, Pennsylvania. In addition, our amended and restated certificate of incorporation provides that any person or entity purchasing or otherwise acquiring any interest in shares of our common stock is deemed to have notice of and consented to the foregoing provisions.</w:t>
      </w:r>
    </w:p>
    <w:p>
      <w:pPr>
        <w:pStyle w:val="TextBody"/>
        <w:bidi w:val="0"/>
        <w:spacing w:before="0" w:after="0"/>
        <w:ind w:left="0" w:right="0" w:hanging="0"/>
        <w:jc w:val="left"/>
        <w:rPr/>
      </w:pPr>
      <w:r>
        <w:rPr/>
        <w:t>​</w:t>
      </w:r>
    </w:p>
    <w:p>
      <w:pPr>
        <w:pStyle w:val="TextBody"/>
        <w:bidi w:val="0"/>
        <w:spacing w:before="0" w:after="200"/>
        <w:ind w:left="0" w:right="0" w:firstLine="400"/>
        <w:jc w:val="left"/>
        <w:rPr>
          <w:rFonts w:ascii="Times New Roman;Times;serif" w:hAnsi="Times New Roman;Times;serif"/>
          <w:sz w:val="20"/>
        </w:rPr>
      </w:pPr>
      <w:r>
        <w:rPr>
          <w:rFonts w:ascii="Times New Roman;Times;serif" w:hAnsi="Times New Roman;Times;serif"/>
          <w:sz w:val="20"/>
        </w:rPr>
        <w:t>The choice of forum provisions may limit a stockholder’s ability to bring a claim in a judicial forum that it finds favorable for disputes with us or any of our current or former director, officer, other employee, agent, or stockholder to the Company, which may discourage such claims against us or any of our current or former director, officer, other employee, agent, or stockholder to the Company and result in increased costs for investors to bring a claim. Alternatively, if a court were to find the choice of forum provisions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45" w:name="tmb-20231231xex23d1.htm"/>
      <w:bookmarkStart w:id="46" w:name="kstmb20231231xex23d1"/>
      <w:bookmarkEnd w:id="45"/>
      <w:bookmarkEnd w:id="46"/>
      <w:r>
        <w:rPr>
          <w:rFonts w:ascii="Times New Roman;Times;serif" w:hAnsi="Times New Roman;Times;serif"/>
          <w:b/>
          <w:sz w:val="20"/>
        </w:rPr>
        <w:t>Exhibit 23.1</w:t>
      </w:r>
      <w:r>
        <w:br w:type="page"/>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We consent to the incorporation by reference in the registration statement No. 333-276840 on Form S-8 of our report dated March 28, 2024, with respect to the financial statements of ArriVent BioPharma, Inc.</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 KPMG LLP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Philadelphia, Pennsylvania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28, 2024</w:t>
      </w:r>
    </w:p>
    <w:p>
      <w:pPr>
        <w:pStyle w:val="HorizontalLine"/>
        <w:pBdr>
          <w:bottom w:val="double" w:sz="2" w:space="0" w:color="808080"/>
        </w:pBdr>
        <w:bidi w:val="0"/>
        <w:spacing w:before="0" w:after="283"/>
        <w:jc w:val="left"/>
        <w:rPr/>
      </w:pPr>
      <w:r>
        <w:rPr/>
      </w:r>
    </w:p>
    <w:p>
      <w:pPr>
        <w:pStyle w:val="TextBody"/>
        <w:pBdr/>
        <w:bidi w:val="0"/>
        <w:spacing w:before="0" w:after="240"/>
        <w:ind w:left="0" w:right="0" w:hanging="720"/>
        <w:jc w:val="right"/>
        <w:rPr>
          <w:rFonts w:ascii="Times New Roman;Times;serif" w:hAnsi="Times New Roman;Times;serif"/>
          <w:b/>
          <w:sz w:val="20"/>
        </w:rPr>
      </w:pPr>
      <w:bookmarkStart w:id="47" w:name="tmb-20231231xex31d1.htm"/>
      <w:bookmarkStart w:id="48" w:name="kstmb20231231xex31d1"/>
      <w:bookmarkEnd w:id="47"/>
      <w:bookmarkEnd w:id="48"/>
      <w:r>
        <w:rPr>
          <w:rFonts w:ascii="Times New Roman;Times;serif" w:hAnsi="Times New Roman;Times;serif"/>
          <w:b/>
          <w:sz w:val="20"/>
        </w:rPr>
        <w:t>Exhibit 31.1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EXCHANGE ACT RULES 13a-14(a) AND 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pBdr/>
        <w:bidi w:val="0"/>
        <w:spacing w:before="0" w:after="240"/>
        <w:ind w:left="0" w:right="0" w:hanging="720"/>
        <w:jc w:val="left"/>
        <w:rPr>
          <w:rFonts w:ascii="Times New Roman;Times;serif" w:hAnsi="Times New Roman;Times;serif"/>
          <w:sz w:val="20"/>
        </w:rPr>
      </w:pPr>
      <w:r>
        <w:rPr>
          <w:rFonts w:ascii="Times New Roman;Times;serif" w:hAnsi="Times New Roman;Times;serif"/>
          <w:sz w:val="20"/>
        </w:rPr>
        <w:t xml:space="preserve">I, Zhengbin Yao, Ph.D., certify that: </w:t>
      </w:r>
    </w:p>
    <w:tbl>
      <w:tblPr>
        <w:tblW w:w="6580" w:type="dxa"/>
        <w:jc w:val="left"/>
        <w:tblInd w:w="0" w:type="dxa"/>
        <w:tblLayout w:type="fixed"/>
        <w:tblCellMar>
          <w:top w:w="0" w:type="dxa"/>
          <w:left w:w="0" w:type="dxa"/>
          <w:bottom w:w="0" w:type="dxa"/>
          <w:right w:w="0" w:type="dxa"/>
        </w:tblCellMar>
      </w:tblPr>
      <w:tblGrid>
        <w:gridCol w:w="170"/>
        <w:gridCol w:w="641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4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Annual Report on Form 10-K of ArriVent BioPharma,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7923" w:type="dxa"/>
        <w:jc w:val="left"/>
        <w:tblInd w:w="0" w:type="dxa"/>
        <w:tblLayout w:type="fixed"/>
        <w:tblCellMar>
          <w:top w:w="0" w:type="dxa"/>
          <w:left w:w="0" w:type="dxa"/>
          <w:bottom w:w="0" w:type="dxa"/>
          <w:right w:w="0" w:type="dxa"/>
        </w:tblCellMar>
      </w:tblPr>
      <w:tblGrid>
        <w:gridCol w:w="23"/>
        <w:gridCol w:w="245"/>
        <w:gridCol w:w="765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76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(Paragraph omitted pursuant to SEC Release Nos. 33-8238/34-47986 and 33-8392/34-49313);</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4998" w:type="dxa"/>
        <w:jc w:val="center"/>
        <w:tblInd w:w="0" w:type="dxa"/>
        <w:tblLayout w:type="fixed"/>
        <w:tblCellMar>
          <w:top w:w="0" w:type="dxa"/>
          <w:left w:w="0" w:type="dxa"/>
          <w:bottom w:w="0" w:type="dxa"/>
          <w:right w:w="0" w:type="dxa"/>
        </w:tblCellMar>
      </w:tblPr>
      <w:tblGrid>
        <w:gridCol w:w="1891"/>
        <w:gridCol w:w="631"/>
        <w:gridCol w:w="2476"/>
      </w:tblGrid>
      <w:tr>
        <w:trPr/>
        <w:tc>
          <w:tcPr>
            <w:tcW w:w="189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March 28, 2024</w:t>
            </w:r>
          </w:p>
        </w:tc>
        <w:tc>
          <w:tcPr>
            <w:tcW w:w="3107" w:type="dxa"/>
            <w:gridSpan w:val="2"/>
            <w:tcBorders/>
            <w:vAlign w:val="center"/>
          </w:tcPr>
          <w:p>
            <w:pPr>
              <w:pStyle w:val="TableContents"/>
              <w:bidi w:val="0"/>
              <w:spacing w:before="0" w:after="0"/>
              <w:ind w:left="0" w:right="0" w:hanging="0"/>
              <w:jc w:val="both"/>
              <w:rPr/>
            </w:pPr>
            <w:r>
              <w:rPr/>
              <w:t>​</w:t>
            </w:r>
          </w:p>
        </w:tc>
      </w:tr>
      <w:tr>
        <w:trPr/>
        <w:tc>
          <w:tcPr>
            <w:tcW w:w="1891" w:type="dxa"/>
            <w:tcBorders/>
            <w:vAlign w:val="center"/>
          </w:tcPr>
          <w:p>
            <w:pPr>
              <w:pStyle w:val="TableContents"/>
              <w:pBdr/>
              <w:bidi w:val="0"/>
              <w:spacing w:before="0" w:after="0"/>
              <w:ind w:left="0" w:right="0" w:hanging="0"/>
              <w:jc w:val="both"/>
              <w:rPr/>
            </w:pPr>
            <w:r>
              <w:rPr/>
              <w:t>​</w:t>
            </w:r>
          </w:p>
        </w:tc>
        <w:tc>
          <w:tcPr>
            <w:tcW w:w="3107" w:type="dxa"/>
            <w:gridSpan w:val="2"/>
            <w:tcBorders/>
            <w:vAlign w:val="center"/>
          </w:tcPr>
          <w:p>
            <w:pPr>
              <w:pStyle w:val="TableContents"/>
              <w:bidi w:val="0"/>
              <w:spacing w:before="0" w:after="0"/>
              <w:ind w:left="0" w:right="0" w:hanging="0"/>
              <w:jc w:val="both"/>
              <w:rPr/>
            </w:pPr>
            <w:r>
              <w:rPr/>
              <w:t>​</w:t>
            </w:r>
          </w:p>
        </w:tc>
      </w:tr>
      <w:tr>
        <w:trPr/>
        <w:tc>
          <w:tcPr>
            <w:tcW w:w="1891" w:type="dxa"/>
            <w:tcBorders/>
            <w:vAlign w:val="center"/>
          </w:tcPr>
          <w:p>
            <w:pPr>
              <w:pStyle w:val="TableContents"/>
              <w:pBdr/>
              <w:bidi w:val="0"/>
              <w:spacing w:before="0" w:after="0"/>
              <w:ind w:left="0" w:right="0" w:hanging="0"/>
              <w:jc w:val="both"/>
              <w:rPr/>
            </w:pPr>
            <w:r>
              <w:rPr/>
              <w:t>​</w:t>
            </w:r>
          </w:p>
        </w:tc>
        <w:tc>
          <w:tcPr>
            <w:tcW w:w="3107"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ARRIVENT BIOPHARMA, INC.</w:t>
            </w:r>
          </w:p>
        </w:tc>
      </w:tr>
      <w:tr>
        <w:trPr/>
        <w:tc>
          <w:tcPr>
            <w:tcW w:w="1891" w:type="dxa"/>
            <w:tcBorders/>
            <w:vAlign w:val="center"/>
          </w:tcPr>
          <w:p>
            <w:pPr>
              <w:pStyle w:val="TableContents"/>
              <w:pBdr/>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pPr>
            <w:r>
              <w:rPr/>
              <w:t>​</w:t>
            </w:r>
          </w:p>
        </w:tc>
        <w:tc>
          <w:tcPr>
            <w:tcW w:w="2476" w:type="dxa"/>
            <w:tcBorders/>
            <w:vAlign w:val="center"/>
          </w:tcPr>
          <w:p>
            <w:pPr>
              <w:pStyle w:val="TableContents"/>
              <w:bidi w:val="0"/>
              <w:spacing w:before="0" w:after="0"/>
              <w:ind w:left="0" w:right="0" w:hanging="0"/>
              <w:jc w:val="both"/>
              <w:rPr/>
            </w:pPr>
            <w:r>
              <w:rPr/>
              <w:t>​</w:t>
            </w:r>
          </w:p>
        </w:tc>
      </w:tr>
      <w:tr>
        <w:trPr/>
        <w:tc>
          <w:tcPr>
            <w:tcW w:w="1891" w:type="dxa"/>
            <w:tcBorders/>
            <w:vAlign w:val="center"/>
          </w:tcPr>
          <w:p>
            <w:pPr>
              <w:pStyle w:val="TableContents"/>
              <w:pBdr/>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Zhengbin Yao, Ph.D.</w:t>
            </w:r>
          </w:p>
        </w:tc>
      </w:tr>
      <w:tr>
        <w:trPr/>
        <w:tc>
          <w:tcPr>
            <w:tcW w:w="1891"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Zhengbin Yao, Ph.D.</w:t>
            </w:r>
          </w:p>
        </w:tc>
      </w:tr>
      <w:tr>
        <w:trPr/>
        <w:tc>
          <w:tcPr>
            <w:tcW w:w="1891"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Executive Officer</w:t>
            </w:r>
          </w:p>
        </w:tc>
      </w:tr>
      <w:tr>
        <w:trPr/>
        <w:tc>
          <w:tcPr>
            <w:tcW w:w="1891"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pPr>
            <w:r>
              <w:rPr/>
              <w:t>​</w:t>
            </w:r>
          </w:p>
        </w:tc>
        <w:tc>
          <w:tcPr>
            <w:tcW w:w="24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pBdr/>
        <w:bidi w:val="0"/>
        <w:spacing w:before="0" w:after="240"/>
        <w:ind w:left="0" w:right="0" w:hanging="720"/>
        <w:jc w:val="right"/>
        <w:rPr>
          <w:rFonts w:ascii="Times New Roman;Times;serif" w:hAnsi="Times New Roman;Times;serif"/>
          <w:b/>
          <w:sz w:val="20"/>
        </w:rPr>
      </w:pPr>
      <w:bookmarkStart w:id="49" w:name="tmb-20231231xex31d2.htm"/>
      <w:bookmarkStart w:id="50" w:name="kstmb20231231xex31d2"/>
      <w:bookmarkEnd w:id="49"/>
      <w:bookmarkEnd w:id="50"/>
      <w:r>
        <w:rPr>
          <w:rFonts w:ascii="Times New Roman;Times;serif" w:hAnsi="Times New Roman;Times;serif"/>
          <w:b/>
          <w:sz w:val="20"/>
        </w:rPr>
        <w:t>Exhibit 31.2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EXCHANGE ACT RULES 13a-14(a) AND 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 xml:space="preserve">I, Winston Kung, certify that: </w:t>
      </w:r>
    </w:p>
    <w:tbl>
      <w:tblPr>
        <w:tblW w:w="6580" w:type="dxa"/>
        <w:jc w:val="left"/>
        <w:tblInd w:w="0" w:type="dxa"/>
        <w:tblLayout w:type="fixed"/>
        <w:tblCellMar>
          <w:top w:w="0" w:type="dxa"/>
          <w:left w:w="0" w:type="dxa"/>
          <w:bottom w:w="0" w:type="dxa"/>
          <w:right w:w="0" w:type="dxa"/>
        </w:tblCellMar>
      </w:tblPr>
      <w:tblGrid>
        <w:gridCol w:w="170"/>
        <w:gridCol w:w="641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4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Annual Report on Form 10-K of ArriVent BioPharma,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7923" w:type="dxa"/>
        <w:jc w:val="left"/>
        <w:tblInd w:w="0" w:type="dxa"/>
        <w:tblLayout w:type="fixed"/>
        <w:tblCellMar>
          <w:top w:w="0" w:type="dxa"/>
          <w:left w:w="0" w:type="dxa"/>
          <w:bottom w:w="0" w:type="dxa"/>
          <w:right w:w="0" w:type="dxa"/>
        </w:tblCellMar>
      </w:tblPr>
      <w:tblGrid>
        <w:gridCol w:w="23"/>
        <w:gridCol w:w="245"/>
        <w:gridCol w:w="765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76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(Paragraph omitted pursuant to SEC Release Nos. 33-8238/34-47986 and 33-8392/34-49313);</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6288" w:type="dxa"/>
        <w:jc w:val="center"/>
        <w:tblInd w:w="0" w:type="dxa"/>
        <w:tblLayout w:type="fixed"/>
        <w:tblCellMar>
          <w:top w:w="0" w:type="dxa"/>
          <w:left w:w="0" w:type="dxa"/>
          <w:bottom w:w="0" w:type="dxa"/>
          <w:right w:w="0" w:type="dxa"/>
        </w:tblCellMar>
      </w:tblPr>
      <w:tblGrid>
        <w:gridCol w:w="1891"/>
        <w:gridCol w:w="631"/>
        <w:gridCol w:w="3766"/>
      </w:tblGrid>
      <w:tr>
        <w:trPr/>
        <w:tc>
          <w:tcPr>
            <w:tcW w:w="189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March 28, 2024</w:t>
            </w:r>
          </w:p>
        </w:tc>
        <w:tc>
          <w:tcPr>
            <w:tcW w:w="4397" w:type="dxa"/>
            <w:gridSpan w:val="2"/>
            <w:tcBorders/>
            <w:vAlign w:val="center"/>
          </w:tcPr>
          <w:p>
            <w:pPr>
              <w:pStyle w:val="TableContents"/>
              <w:bidi w:val="0"/>
              <w:spacing w:before="0" w:after="0"/>
              <w:ind w:left="0" w:right="0" w:hanging="0"/>
              <w:jc w:val="both"/>
              <w:rPr/>
            </w:pPr>
            <w:r>
              <w:rPr/>
              <w:t>​</w:t>
            </w:r>
          </w:p>
        </w:tc>
      </w:tr>
      <w:tr>
        <w:trPr/>
        <w:tc>
          <w:tcPr>
            <w:tcW w:w="1891" w:type="dxa"/>
            <w:tcBorders/>
            <w:vAlign w:val="center"/>
          </w:tcPr>
          <w:p>
            <w:pPr>
              <w:pStyle w:val="TableContents"/>
              <w:pBdr/>
              <w:bidi w:val="0"/>
              <w:spacing w:before="0" w:after="0"/>
              <w:ind w:left="0" w:right="0" w:hanging="0"/>
              <w:jc w:val="both"/>
              <w:rPr/>
            </w:pPr>
            <w:r>
              <w:rPr/>
              <w:t>​</w:t>
            </w:r>
          </w:p>
        </w:tc>
        <w:tc>
          <w:tcPr>
            <w:tcW w:w="4397" w:type="dxa"/>
            <w:gridSpan w:val="2"/>
            <w:tcBorders/>
            <w:vAlign w:val="center"/>
          </w:tcPr>
          <w:p>
            <w:pPr>
              <w:pStyle w:val="TableContents"/>
              <w:bidi w:val="0"/>
              <w:spacing w:before="0" w:after="0"/>
              <w:ind w:left="0" w:right="0" w:hanging="0"/>
              <w:jc w:val="both"/>
              <w:rPr/>
            </w:pPr>
            <w:r>
              <w:rPr/>
              <w:t>​</w:t>
            </w:r>
          </w:p>
        </w:tc>
      </w:tr>
      <w:tr>
        <w:trPr/>
        <w:tc>
          <w:tcPr>
            <w:tcW w:w="1891" w:type="dxa"/>
            <w:tcBorders/>
            <w:vAlign w:val="center"/>
          </w:tcPr>
          <w:p>
            <w:pPr>
              <w:pStyle w:val="TableContents"/>
              <w:pBdr/>
              <w:bidi w:val="0"/>
              <w:spacing w:before="0" w:after="0"/>
              <w:ind w:left="0" w:right="0" w:hanging="0"/>
              <w:jc w:val="both"/>
              <w:rPr/>
            </w:pPr>
            <w:r>
              <w:rPr/>
              <w:t>​</w:t>
            </w:r>
          </w:p>
        </w:tc>
        <w:tc>
          <w:tcPr>
            <w:tcW w:w="4397"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ARRIVENT BIOPHARMA, INC.</w:t>
            </w:r>
          </w:p>
        </w:tc>
      </w:tr>
      <w:tr>
        <w:trPr/>
        <w:tc>
          <w:tcPr>
            <w:tcW w:w="1891" w:type="dxa"/>
            <w:tcBorders/>
            <w:vAlign w:val="center"/>
          </w:tcPr>
          <w:p>
            <w:pPr>
              <w:pStyle w:val="TableContents"/>
              <w:pBdr/>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pPr>
            <w:r>
              <w:rPr/>
              <w:t>​</w:t>
            </w:r>
          </w:p>
        </w:tc>
        <w:tc>
          <w:tcPr>
            <w:tcW w:w="3766" w:type="dxa"/>
            <w:tcBorders/>
            <w:vAlign w:val="center"/>
          </w:tcPr>
          <w:p>
            <w:pPr>
              <w:pStyle w:val="TableContents"/>
              <w:bidi w:val="0"/>
              <w:spacing w:before="0" w:after="0"/>
              <w:ind w:left="0" w:right="0" w:hanging="0"/>
              <w:jc w:val="both"/>
              <w:rPr/>
            </w:pPr>
            <w:r>
              <w:rPr/>
              <w:t>​</w:t>
            </w:r>
          </w:p>
        </w:tc>
      </w:tr>
      <w:tr>
        <w:trPr/>
        <w:tc>
          <w:tcPr>
            <w:tcW w:w="1891" w:type="dxa"/>
            <w:tcBorders/>
            <w:vAlign w:val="center"/>
          </w:tcPr>
          <w:p>
            <w:pPr>
              <w:pStyle w:val="TableContents"/>
              <w:pBdr/>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Winston Kung</w:t>
            </w:r>
          </w:p>
        </w:tc>
      </w:tr>
      <w:tr>
        <w:trPr/>
        <w:tc>
          <w:tcPr>
            <w:tcW w:w="1891"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Winston Kung</w:t>
            </w:r>
          </w:p>
        </w:tc>
      </w:tr>
      <w:tr>
        <w:trPr/>
        <w:tc>
          <w:tcPr>
            <w:tcW w:w="1891"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7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w:t>
            </w:r>
          </w:p>
        </w:tc>
      </w:tr>
      <w:tr>
        <w:trPr/>
        <w:tc>
          <w:tcPr>
            <w:tcW w:w="1891"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pPr>
            <w:r>
              <w:rPr/>
              <w:t>​</w:t>
            </w:r>
          </w:p>
        </w:tc>
        <w:tc>
          <w:tcPr>
            <w:tcW w:w="37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pBdr/>
        <w:bidi w:val="0"/>
        <w:spacing w:before="0" w:after="0"/>
        <w:ind w:left="0" w:right="0" w:hanging="0"/>
        <w:jc w:val="right"/>
        <w:rPr>
          <w:rFonts w:ascii="Times New Roman;Times;serif" w:hAnsi="Times New Roman;Times;serif"/>
          <w:b/>
          <w:sz w:val="20"/>
        </w:rPr>
      </w:pPr>
      <w:bookmarkStart w:id="51" w:name="tmb-20231231xex32d1.htm"/>
      <w:bookmarkStart w:id="52" w:name="kstmb20231231xex32d1"/>
      <w:bookmarkEnd w:id="51"/>
      <w:bookmarkEnd w:id="52"/>
      <w:r>
        <w:rPr>
          <w:rFonts w:ascii="Times New Roman;Times;serif" w:hAnsi="Times New Roman;Times;serif"/>
          <w:b/>
          <w:sz w:val="20"/>
        </w:rPr>
        <w:t>Exhibit 32.1</w:t>
      </w:r>
      <w:r>
        <w:br w:type="page"/>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pBdr/>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In connection with the Annual Report of ArriVent BioPharma, Inc. (the “Company”) on Form 10-K for the year ended December 31, 2023, as filed with the Securities and Exchange Commission on the date hereof (the “Report”), I, Zhengbin Yao, Ph.D., hereby certify, pursuant to 18 U.S.C. </w:t>
      </w:r>
      <w:r>
        <w:rPr>
          <w:rFonts w:ascii="Arial;Helvetica;sans-serif" w:hAnsi="Arial;Helvetica;sans-serif"/>
          <w:sz w:val="20"/>
        </w:rPr>
        <w:t>§</w:t>
      </w:r>
      <w:r>
        <w:rPr>
          <w:rFonts w:ascii="Times New Roman;Times;serif" w:hAnsi="Times New Roman;Times;serif"/>
          <w:sz w:val="20"/>
        </w:rPr>
        <w:t xml:space="preserve"> 1350, as adopted pursuant to </w:t>
      </w:r>
      <w:r>
        <w:rPr>
          <w:rFonts w:ascii="Arial;Helvetica;sans-serif" w:hAnsi="Arial;Helvetica;sans-serif"/>
          <w:sz w:val="20"/>
        </w:rPr>
        <w:t>§</w:t>
      </w:r>
      <w:r>
        <w:rPr>
          <w:rFonts w:ascii="Times New Roman;Times;serif" w:hAnsi="Times New Roman;Times;serif"/>
          <w:sz w:val="20"/>
        </w:rPr>
        <w:t xml:space="preserve"> 906 of the Sarbanes-Oxley Act of 2002, that: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1.</w:t>
            </w:r>
          </w:p>
        </w:tc>
        <w:tc>
          <w:tcPr>
            <w:tcW w:w="10015"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Date: March 28, 2024</w:t>
      </w:r>
    </w:p>
    <w:tbl>
      <w:tblPr>
        <w:tblW w:w="3231" w:type="dxa"/>
        <w:jc w:val="center"/>
        <w:tblInd w:w="0" w:type="dxa"/>
        <w:tblLayout w:type="fixed"/>
        <w:tblCellMar>
          <w:top w:w="0" w:type="dxa"/>
          <w:left w:w="0" w:type="dxa"/>
          <w:bottom w:w="0" w:type="dxa"/>
          <w:right w:w="0" w:type="dxa"/>
        </w:tblCellMar>
      </w:tblPr>
      <w:tblGrid>
        <w:gridCol w:w="124"/>
        <w:gridCol w:w="631"/>
        <w:gridCol w:w="2476"/>
      </w:tblGrid>
      <w:tr>
        <w:trPr/>
        <w:tc>
          <w:tcPr>
            <w:tcW w:w="124" w:type="dxa"/>
            <w:tcBorders/>
            <w:vAlign w:val="center"/>
          </w:tcPr>
          <w:p>
            <w:pPr>
              <w:pStyle w:val="TableContents"/>
              <w:bidi w:val="0"/>
              <w:spacing w:before="0" w:after="0"/>
              <w:ind w:left="0" w:right="0" w:hanging="0"/>
              <w:jc w:val="left"/>
              <w:rPr/>
            </w:pPr>
            <w:r>
              <w:rPr/>
              <w:t>​</w:t>
            </w:r>
          </w:p>
        </w:tc>
        <w:tc>
          <w:tcPr>
            <w:tcW w:w="310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ARRIVENT BIOPHARMA, INC.</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Zhengbin Yao, Ph.D.</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Zhengbin Yao, Ph.D.</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Executive Officer </w:t>
              <w:b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pBdr/>
        <w:bidi w:val="0"/>
        <w:spacing w:before="0" w:after="0"/>
        <w:ind w:left="0" w:right="0" w:hanging="0"/>
        <w:jc w:val="right"/>
        <w:rPr>
          <w:rFonts w:ascii="Times New Roman;Times;serif" w:hAnsi="Times New Roman;Times;serif"/>
          <w:b/>
          <w:sz w:val="20"/>
        </w:rPr>
      </w:pPr>
      <w:bookmarkStart w:id="53" w:name="tmb-20231231xex32d2.htm"/>
      <w:bookmarkStart w:id="54" w:name="kstmb20231231xex32d2"/>
      <w:bookmarkEnd w:id="53"/>
      <w:bookmarkEnd w:id="54"/>
      <w:r>
        <w:rPr>
          <w:rFonts w:ascii="Times New Roman;Times;serif" w:hAnsi="Times New Roman;Times;serif"/>
          <w:b/>
          <w:sz w:val="20"/>
        </w:rPr>
        <w:t>Exhibit 32.2</w:t>
      </w:r>
      <w:r>
        <w:br w:type="page"/>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pBdr/>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In connection with the Annual Report of ArriVent BioPharma, Inc. (the “Company”) on Form 10-K for the year ended December 31, 2023 as filed with the Securities and Exchange Commission on the date hereof (the “Report”), I, Winston Kung, hereby certify, pursuant to 18 U.S.C. </w:t>
      </w:r>
      <w:r>
        <w:rPr>
          <w:rFonts w:ascii="Arial;Helvetica;sans-serif" w:hAnsi="Arial;Helvetica;sans-serif"/>
          <w:sz w:val="20"/>
        </w:rPr>
        <w:t>§</w:t>
      </w:r>
      <w:r>
        <w:rPr>
          <w:rFonts w:ascii="Times New Roman;Times;serif" w:hAnsi="Times New Roman;Times;serif"/>
          <w:sz w:val="20"/>
        </w:rPr>
        <w:t xml:space="preserve"> 1350, as adopted pursuant to </w:t>
      </w:r>
      <w:r>
        <w:rPr>
          <w:rFonts w:ascii="Arial;Helvetica;sans-serif" w:hAnsi="Arial;Helvetica;sans-serif"/>
          <w:sz w:val="20"/>
        </w:rPr>
        <w:t>§</w:t>
      </w:r>
      <w:r>
        <w:rPr>
          <w:rFonts w:ascii="Times New Roman;Times;serif" w:hAnsi="Times New Roman;Times;serif"/>
          <w:sz w:val="20"/>
        </w:rPr>
        <w:t xml:space="preserve"> 906 of the Sarbanes-Oxley Act of 2002, that: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1.</w:t>
            </w:r>
          </w:p>
        </w:tc>
        <w:tc>
          <w:tcPr>
            <w:tcW w:w="10015"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Date: March 28, 2024</w:t>
      </w:r>
    </w:p>
    <w:tbl>
      <w:tblPr>
        <w:tblW w:w="4521" w:type="dxa"/>
        <w:jc w:val="center"/>
        <w:tblInd w:w="0" w:type="dxa"/>
        <w:tblLayout w:type="fixed"/>
        <w:tblCellMar>
          <w:top w:w="0" w:type="dxa"/>
          <w:left w:w="0" w:type="dxa"/>
          <w:bottom w:w="0" w:type="dxa"/>
          <w:right w:w="0" w:type="dxa"/>
        </w:tblCellMar>
      </w:tblPr>
      <w:tblGrid>
        <w:gridCol w:w="124"/>
        <w:gridCol w:w="631"/>
        <w:gridCol w:w="3766"/>
      </w:tblGrid>
      <w:tr>
        <w:trPr/>
        <w:tc>
          <w:tcPr>
            <w:tcW w:w="124" w:type="dxa"/>
            <w:tcBorders/>
            <w:vAlign w:val="center"/>
          </w:tcPr>
          <w:p>
            <w:pPr>
              <w:pStyle w:val="TableContents"/>
              <w:bidi w:val="0"/>
              <w:spacing w:before="0" w:after="0"/>
              <w:ind w:left="0" w:right="0" w:hanging="0"/>
              <w:jc w:val="left"/>
              <w:rPr/>
            </w:pPr>
            <w:r>
              <w:rPr/>
              <w:t>​</w:t>
            </w:r>
          </w:p>
        </w:tc>
        <w:tc>
          <w:tcPr>
            <w:tcW w:w="439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ARRIVENT BIOPHARMA, INC.</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Winston Kung</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Winston Kung</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Financial Officer </w:t>
              <w:b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hyperlink" Target="https://www.sec.gov/Archives/edgar/data/1868279/000110465924008228/tm2321853d25_ex3-1.htm" TargetMode="External"/><Relationship Id="rId30" Type="http://schemas.openxmlformats.org/officeDocument/2006/relationships/hyperlink" Target="https://www.sec.gov/Archives/edgar/data/1868279/000110465924008228/tm2321853d25_ex3-2.htm" TargetMode="External"/><Relationship Id="rId31" Type="http://schemas.openxmlformats.org/officeDocument/2006/relationships/hyperlink" Target="https://www.sec.gov/Archives/edgar/data/1868279/000110465924001804/tm2321853d13_ex4-1.htm" TargetMode="External"/><Relationship Id="rId32" Type="http://schemas.openxmlformats.org/officeDocument/2006/relationships/hyperlink" Target="https://www.sec.gov/Archives/edgar/data/1868279/000110465924001804/tm2321853d13_ex4-2.htm" TargetMode="External"/><Relationship Id="rId33" Type="http://schemas.openxmlformats.org/officeDocument/2006/relationships/hyperlink" Target="https://www.sec.gov/Archives/edgar/data/1868279/000110465924001804/tm2321853d13_ex10-1.htm" TargetMode="External"/><Relationship Id="rId34" Type="http://schemas.openxmlformats.org/officeDocument/2006/relationships/hyperlink" Target="https://www.sec.gov/Archives/edgar/data/1868279/000110465924001804/tm2321853d13_ex10-2.htm" TargetMode="External"/><Relationship Id="rId35" Type="http://schemas.openxmlformats.org/officeDocument/2006/relationships/hyperlink" Target="https://www.sec.gov/Archives/edgar/data/1868279/000110465924005364/tm2321853d16_ex10-3.htm" TargetMode="External"/><Relationship Id="rId36" Type="http://schemas.openxmlformats.org/officeDocument/2006/relationships/hyperlink" Target="https://www.sec.gov/Archives/edgar/data/1868279/000110465924001804/tm2321853d13_ex10-4.htm" TargetMode="External"/><Relationship Id="rId37" Type="http://schemas.openxmlformats.org/officeDocument/2006/relationships/hyperlink" Target="https://www.sec.gov/Archives/edgar/data/1868279/000110465924001804/tm2321853d13_ex10-5.htm" TargetMode="External"/><Relationship Id="rId38" Type="http://schemas.openxmlformats.org/officeDocument/2006/relationships/hyperlink" Target="https://www.sec.gov/Archives/edgar/data/1868279/000110465924001804/tm2321853d13_ex10-7.htm" TargetMode="External"/><Relationship Id="rId39" Type="http://schemas.openxmlformats.org/officeDocument/2006/relationships/hyperlink" Target="https://www.sec.gov/Archives/edgar/data/1868279/000110465924001804/tm2321853d13_ex10-8.htm" TargetMode="External"/><Relationship Id="rId40" Type="http://schemas.openxmlformats.org/officeDocument/2006/relationships/hyperlink" Target="https://www.sec.gov/Archives/edgar/data/1868279/000110465924001804/tm2321853d13_ex10-9.htm" TargetMode="External"/><Relationship Id="rId41" Type="http://schemas.openxmlformats.org/officeDocument/2006/relationships/hyperlink" Target="https://www.sec.gov/Archives/edgar/data/1868279/000110465924001804/tm2321853d13_ex10-10.htm" TargetMode="External"/><Relationship Id="rId42" Type="http://schemas.openxmlformats.org/officeDocument/2006/relationships/hyperlink" Target="https://www.sec.gov/Archives/edgar/data/1868279/000110465924001804/tm2321853d13_ex10-11.htm" TargetMode="External"/><Relationship Id="rId43" Type="http://schemas.openxmlformats.org/officeDocument/2006/relationships/hyperlink" Target="https://www.sec.gov/Archives/edgar/data/1868279/000110465924001804/tm2321853d13_ex10-12.htm" TargetMode="External"/><Relationship Id="rId44" Type="http://schemas.openxmlformats.org/officeDocument/2006/relationships/hyperlink" Target="https://www.sec.gov/Archives/edgar/data/1868279/000110465924001804/tm2321853d13_ex10-13.htm" TargetMode="External"/><Relationship Id="rId45" Type="http://schemas.openxmlformats.org/officeDocument/2006/relationships/hyperlink" Target="https://www.sec.gov/Archives/edgar/data/1868279/000110465924001804/tm2321853d13_ex10-14.htm" TargetMode="External"/><Relationship Id="rId46" Type="http://schemas.openxmlformats.org/officeDocument/2006/relationships/hyperlink" Target="https://www.sec.gov/Archives/edgar/data/1868279/000110465924001804/tm2321853d13_ex10-15.htm" TargetMode="External"/><Relationship Id="rId47" Type="http://schemas.openxmlformats.org/officeDocument/2006/relationships/hyperlink" Target="https://www.sec.gov/Archives/edgar/data/1868279/000110465924001804/tm2321853d13_ex21-1.htm" TargetMode="External"/><Relationship Id="rId48" Type="http://schemas.openxmlformats.org/officeDocument/2006/relationships/hyperlink" Target="https://www.sec.gov/Archives/edgar/data/1868279/000110465924001804/tm2321853d13_ex10-6.htm" TargetMode="External"/><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123798</Words>
  <Characters>692189</Characters>
  <CharactersWithSpaces>814895</CharactersWithSpaces>
  <Paragraphs>6761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