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January 25, 2024.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S-1</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ARRIVENT BIOPHARMA,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60" w:type="dxa"/>
        <w:tblCellMar>
          <w:top w:w="0" w:type="dxa"/>
          <w:left w:w="0" w:type="dxa"/>
          <w:bottom w:w="0" w:type="dxa"/>
          <w:right w:w="0" w:type="dxa"/>
        </w:tblCellMar>
      </w:tblPr>
      <w:tr>
        <w:trPr>
          <w:trHeight w:val="220"/>
        </w:trPr>
        <w:tc>
          <w:tcPr>
            <w:tcW w:w="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88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338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2834</w:t>
            </w:r>
          </w:p>
        </w:tc>
        <w:tc>
          <w:tcPr>
            <w:tcW w:w="2540" w:type="dxa"/>
            <w:vAlign w:val="bottom"/>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rPr>
              <w:t>86-3336099</w:t>
            </w:r>
          </w:p>
        </w:tc>
        <w:tc>
          <w:tcPr>
            <w:tcW w:w="0" w:type="dxa"/>
            <w:vAlign w:val="bottom"/>
          </w:tcPr>
          <w:p>
            <w:pPr>
              <w:spacing w:after="0"/>
              <w:rPr>
                <w:sz w:val="1"/>
                <w:szCs w:val="1"/>
                <w:color w:val="auto"/>
              </w:rPr>
            </w:pPr>
          </w:p>
        </w:tc>
      </w:tr>
      <w:tr>
        <w:trPr>
          <w:trHeight w:val="86"/>
        </w:trPr>
        <w:tc>
          <w:tcPr>
            <w:tcW w:w="420" w:type="dxa"/>
            <w:vAlign w:val="bottom"/>
            <w:vMerge w:val="continue"/>
          </w:tcPr>
          <w:p>
            <w:pPr>
              <w:spacing w:after="0"/>
              <w:rPr>
                <w:sz w:val="7"/>
                <w:szCs w:val="7"/>
                <w:color w:val="auto"/>
              </w:rPr>
            </w:pPr>
          </w:p>
        </w:tc>
        <w:tc>
          <w:tcPr>
            <w:tcW w:w="2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880" w:type="dxa"/>
            <w:vAlign w:val="bottom"/>
            <w:vMerge w:val="continue"/>
          </w:tcPr>
          <w:p>
            <w:pPr>
              <w:spacing w:after="0"/>
              <w:rPr>
                <w:sz w:val="7"/>
                <w:szCs w:val="7"/>
                <w:color w:val="auto"/>
              </w:rPr>
            </w:pPr>
          </w:p>
        </w:tc>
        <w:tc>
          <w:tcPr>
            <w:tcW w:w="3380" w:type="dxa"/>
            <w:vAlign w:val="bottom"/>
            <w:vMerge w:val="restart"/>
          </w:tcPr>
          <w:p>
            <w:pPr>
              <w:jc w:val="center"/>
              <w:ind w:right="470"/>
              <w:spacing w:after="0"/>
              <w:rPr>
                <w:sz w:val="20"/>
                <w:szCs w:val="20"/>
                <w:color w:val="auto"/>
              </w:rPr>
            </w:pPr>
            <w:r>
              <w:rPr>
                <w:rFonts w:ascii="Times New Roman" w:cs="Times New Roman" w:eastAsia="Times New Roman" w:hAnsi="Times New Roman"/>
                <w:sz w:val="18"/>
                <w:szCs w:val="18"/>
                <w:color w:val="auto"/>
                <w:w w:val="99"/>
              </w:rPr>
              <w:t>(Primary Standard Industrial</w:t>
            </w:r>
          </w:p>
        </w:tc>
        <w:tc>
          <w:tcPr>
            <w:tcW w:w="2540" w:type="dxa"/>
            <w:vAlign w:val="bottom"/>
            <w:vMerge w:val="restart"/>
          </w:tcPr>
          <w:p>
            <w:pPr>
              <w:jc w:val="center"/>
              <w:ind w:left="810"/>
              <w:spacing w:after="0"/>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130"/>
        </w:trPr>
        <w:tc>
          <w:tcPr>
            <w:tcW w:w="420" w:type="dxa"/>
            <w:vAlign w:val="bottom"/>
          </w:tcPr>
          <w:p>
            <w:pPr>
              <w:spacing w:after="0"/>
              <w:rPr>
                <w:sz w:val="11"/>
                <w:szCs w:val="11"/>
                <w:color w:val="auto"/>
              </w:rPr>
            </w:pPr>
          </w:p>
        </w:tc>
        <w:tc>
          <w:tcPr>
            <w:tcW w:w="294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3380" w:type="dxa"/>
            <w:vAlign w:val="bottom"/>
            <w:vMerge w:val="continue"/>
          </w:tcPr>
          <w:p>
            <w:pPr>
              <w:spacing w:after="0"/>
              <w:rPr>
                <w:sz w:val="11"/>
                <w:szCs w:val="11"/>
                <w:color w:val="auto"/>
              </w:rPr>
            </w:pPr>
          </w:p>
        </w:tc>
        <w:tc>
          <w:tcPr>
            <w:tcW w:w="2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880" w:type="dxa"/>
            <w:vAlign w:val="bottom"/>
          </w:tcPr>
          <w:p>
            <w:pPr>
              <w:spacing w:after="0"/>
              <w:rPr>
                <w:sz w:val="20"/>
                <w:szCs w:val="20"/>
                <w:color w:val="auto"/>
              </w:rPr>
            </w:pPr>
          </w:p>
        </w:tc>
        <w:tc>
          <w:tcPr>
            <w:tcW w:w="33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254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Identification Number)</w:t>
            </w: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Campus Boulevard, Suite 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Newtown Square, PA 19073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(628) 277-4836</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Zhengbin (Bing) Yao, Ph.D.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Campus Boulevard, Suite 100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Newtown Square, PA 19073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(628) 277-4836</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Copies to:</w:t>
      </w:r>
    </w:p>
    <w:p>
      <w:pPr>
        <w:sectPr>
          <w:pgSz w:w="11900" w:h="16838" w:orient="portrait"/>
          <w:cols w:equalWidth="0" w:num="1">
            <w:col w:w="11240"/>
          </w:cols>
          <w:pgMar w:left="320" w:top="441" w:right="339" w:bottom="0" w:gutter="0" w:footer="0" w:header="0"/>
        </w:sectPr>
      </w:pPr>
    </w:p>
    <w:p>
      <w:pPr>
        <w:spacing w:after="0" w:line="7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John T. Rudy</w:t>
      </w:r>
    </w:p>
    <w:p>
      <w:pPr>
        <w:spacing w:after="0" w:line="3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Matthew T. Simpson</w:t>
      </w:r>
    </w:p>
    <w:p>
      <w:pPr>
        <w:spacing w:after="0" w:line="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7"/>
          <w:szCs w:val="17"/>
          <w:b w:val="1"/>
          <w:bCs w:val="1"/>
          <w:color w:val="auto"/>
        </w:rPr>
        <w:t>Mintz, Levin, Cohn, Ferris, Glovsky and Popeo, P.C.</w:t>
      </w:r>
    </w:p>
    <w:p>
      <w:pPr>
        <w:spacing w:after="0" w:line="2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One Financial Center</w:t>
      </w:r>
    </w:p>
    <w:p>
      <w:pPr>
        <w:spacing w:after="0" w:line="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Boston, MA 02111</w:t>
      </w:r>
    </w:p>
    <w:p>
      <w:pPr>
        <w:spacing w:after="0" w:line="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(617) 542-6000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-540385</wp:posOffset>
            </wp:positionH>
            <wp:positionV relativeFrom="paragraph">
              <wp:posOffset>151765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Nathan Ajiashvili</w:t>
      </w:r>
    </w:p>
    <w:p>
      <w:pPr>
        <w:spacing w:after="0" w:line="31"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Alison A. Haggerty</w:t>
      </w:r>
    </w:p>
    <w:p>
      <w:pPr>
        <w:spacing w:after="0" w:line="9"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Latham &amp; Watkins LLP</w:t>
      </w:r>
    </w:p>
    <w:p>
      <w:pPr>
        <w:spacing w:after="0" w:line="9"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7"/>
          <w:szCs w:val="17"/>
          <w:b w:val="1"/>
          <w:bCs w:val="1"/>
          <w:color w:val="auto"/>
        </w:rPr>
        <w:t>1271 Avenue of the Americas</w:t>
      </w:r>
    </w:p>
    <w:p>
      <w:pPr>
        <w:spacing w:after="0" w:line="21"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New York, NY 10020</w:t>
      </w:r>
    </w:p>
    <w:p>
      <w:pPr>
        <w:spacing w:after="0" w:line="9"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(212) 906-1200</w:t>
      </w:r>
    </w:p>
    <w:p>
      <w:pPr>
        <w:spacing w:after="0" w:line="200" w:lineRule="exact"/>
        <w:rPr>
          <w:sz w:val="24"/>
          <w:szCs w:val="24"/>
          <w:color w:val="auto"/>
        </w:rPr>
      </w:pPr>
    </w:p>
    <w:p>
      <w:pPr>
        <w:sectPr>
          <w:pgSz w:w="11900" w:h="16838" w:orient="portrait"/>
          <w:cols w:equalWidth="0" w:num="3">
            <w:col w:w="140" w:space="720"/>
            <w:col w:w="5860" w:space="720"/>
            <w:col w:w="3800"/>
          </w:cols>
          <w:pgMar w:left="320" w:top="441" w:right="339" w:bottom="0" w:gutter="0" w:footer="0" w:header="0"/>
          <w:type w:val="continuous"/>
        </w:sectPr>
      </w:pPr>
    </w:p>
    <w:p>
      <w:pPr>
        <w:spacing w:after="0" w:line="246" w:lineRule="exact"/>
        <w:rPr>
          <w:sz w:val="24"/>
          <w:szCs w:val="24"/>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p>
    <w:p>
      <w:pPr>
        <w:spacing w:after="0" w:line="225" w:lineRule="exact"/>
        <w:rPr>
          <w:sz w:val="24"/>
          <w:szCs w:val="24"/>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As soon as practicable after the effective date of this registration statement.</w:t>
      </w:r>
    </w:p>
    <w:p>
      <w:pPr>
        <w:spacing w:after="0" w:line="229" w:lineRule="exact"/>
        <w:rPr>
          <w:sz w:val="24"/>
          <w:szCs w:val="24"/>
          <w:color w:val="auto"/>
        </w:rPr>
      </w:pPr>
    </w:p>
    <w:p>
      <w:pPr>
        <w:ind w:right="80" w:firstLine="441"/>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180" w:firstLine="441"/>
        <w:spacing w:after="0" w:line="222"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Registration No. 333-276397</w:t>
      </w:r>
    </w:p>
    <w:p>
      <w:pPr>
        <w:spacing w:after="0" w:line="199" w:lineRule="exact"/>
        <w:rPr>
          <w:sz w:val="24"/>
          <w:szCs w:val="24"/>
          <w:color w:val="auto"/>
        </w:rPr>
      </w:pPr>
    </w:p>
    <w:p>
      <w:pPr>
        <w:ind w:right="100" w:firstLine="441"/>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80" w:firstLine="441"/>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2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Accelerated filer</w:t>
            </w:r>
          </w:p>
        </w:tc>
        <w:tc>
          <w:tcPr>
            <w:tcW w:w="2100" w:type="dxa"/>
            <w:vAlign w:val="bottom"/>
          </w:tcPr>
          <w:p>
            <w:pPr>
              <w:ind w:left="19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2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100" w:type="dxa"/>
            <w:vAlign w:val="bottom"/>
          </w:tcPr>
          <w:p>
            <w:pPr>
              <w:ind w:left="19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2100" w:type="dxa"/>
            <w:vAlign w:val="bottom"/>
          </w:tcPr>
          <w:p>
            <w:pPr>
              <w:ind w:left="194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40"/>
          </w:cols>
          <w:pgMar w:left="320" w:top="441" w:right="339" w:bottom="0" w:gutter="0" w:footer="0" w:header="0"/>
          <w:type w:val="continuous"/>
        </w:sectPr>
      </w:pPr>
    </w:p>
    <w:bookmarkStart w:id="1" w:name="page2"/>
    <w:bookmarkEnd w:id="1"/>
    <w:p>
      <w:pPr>
        <w:ind w:firstLine="441"/>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6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The Registration Statement shall become effective upon filing in accordance with Rule 462(b) promulgated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584200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EXPLANATORY NOTE AND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07" w:lineRule="exact"/>
        <w:rPr>
          <w:sz w:val="20"/>
          <w:szCs w:val="20"/>
          <w:color w:val="auto"/>
        </w:rPr>
      </w:pPr>
    </w:p>
    <w:p>
      <w:pPr>
        <w:ind w:firstLine="441"/>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Registration Statement (this “Registration Statement”) is being filed with the Securities and Exchange Commission (the “Commission”) with respect to the registration of additional shares of common stock, par value $0.0001 per share (the “Common Stock”), of ArriVent BioPharma, Inc. (the “Registrant”), pursuant to Rule 462(b) under the Securities Act of 1933, as amended (the “Securities Act”). This Registration Statement incorporates by reference the contents of, including all amendments and exhibits thereto, the Registration Statement on </w:t>
      </w:r>
      <w:hyperlink r:id="rId16">
        <w:r>
          <w:rPr>
            <w:rFonts w:ascii="Times New Roman" w:cs="Times New Roman" w:eastAsia="Times New Roman" w:hAnsi="Times New Roman"/>
            <w:sz w:val="18"/>
            <w:szCs w:val="18"/>
            <w:u w:val="single" w:color="auto"/>
            <w:color w:val="0000EE"/>
          </w:rPr>
          <w:t>Form S-1 (File No. 333-276397)</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(the “Prior Registration Statement”), which the Commission declared effective on January 25, 2024. This Registration Statement is being filed solely for the purpose of increasing the number of shares of Common Stock to be offered in the public offering by 1,597,223 shares of Common Stock, which includes 208,334 shares of Common Stock that may be sold pursuant to the underwriters’ option to purchase additional shares. The additional shares of Common Stock that are being registered for sale are in an amount and at a price that together represent no more than 20% of the maximum aggregate offering price set forth in Exhibit 107 of the Prior Registration Statement.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required opinion and consents are listed on an Exhibit Index attached hereto and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900"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360" w:type="dxa"/>
            <w:vAlign w:val="bottom"/>
            <w:gridSpan w:val="5"/>
          </w:tcPr>
          <w:p>
            <w:pPr>
              <w:ind w:left="20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8"/>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1"/>
        </w:trPr>
        <w:tc>
          <w:tcPr>
            <w:tcW w:w="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Opinion of Mintz, Levin, Cohn, Ferris, Glovsky and Popeo, P.C.</w:t>
            </w:r>
          </w:p>
        </w:tc>
        <w:tc>
          <w:tcPr>
            <w:tcW w:w="5460" w:type="dxa"/>
            <w:vAlign w:val="bottom"/>
            <w:gridSpan w:val="4"/>
          </w:tcPr>
          <w:p>
            <w:pPr>
              <w:spacing w:after="0"/>
              <w:rPr>
                <w:sz w:val="24"/>
                <w:szCs w:val="24"/>
                <w:color w:val="auto"/>
              </w:rPr>
            </w:pPr>
          </w:p>
        </w:tc>
      </w:tr>
      <w:tr>
        <w:trPr>
          <w:trHeight w:val="196"/>
        </w:trPr>
        <w:tc>
          <w:tcPr>
            <w:tcW w:w="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8"/>
              </w:rPr>
              <w:t>23.</w:t>
            </w:r>
            <w:r>
              <w:rPr>
                <w:rFonts w:ascii="Times New Roman" w:cs="Times New Roman" w:eastAsia="Times New Roman" w:hAnsi="Times New Roman"/>
                <w:sz w:val="18"/>
                <w:szCs w:val="18"/>
                <w:u w:val="single" w:color="auto"/>
                <w:color w:val="0000EE"/>
                <w:w w:val="88"/>
              </w:rPr>
              <w:t>1</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1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Consent of KPMG LLP.</w:t>
            </w:r>
          </w:p>
        </w:tc>
      </w:tr>
      <w:tr>
        <w:trPr>
          <w:trHeight w:val="20"/>
        </w:trPr>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8"/>
              </w:rPr>
              <w:t>23.</w:t>
            </w:r>
            <w:r>
              <w:rPr>
                <w:rFonts w:ascii="Times New Roman" w:cs="Times New Roman" w:eastAsia="Times New Roman" w:hAnsi="Times New Roman"/>
                <w:sz w:val="18"/>
                <w:szCs w:val="18"/>
                <w:u w:val="single" w:color="auto"/>
                <w:color w:val="0000EE"/>
                <w:w w:val="88"/>
              </w:rPr>
              <w:t>4</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5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Opinion of Mintz, Levin, Cohn, Ferris, Glovsky and Popeo, P.C. (included in Exhibit 5.1).</w:t>
            </w:r>
          </w:p>
        </w:tc>
        <w:tc>
          <w:tcPr>
            <w:tcW w:w="3600" w:type="dxa"/>
            <w:vAlign w:val="bottom"/>
            <w:gridSpan w:val="3"/>
          </w:tcPr>
          <w:p>
            <w:pPr>
              <w:spacing w:after="0"/>
              <w:rPr>
                <w:sz w:val="17"/>
                <w:szCs w:val="17"/>
                <w:color w:val="auto"/>
              </w:rPr>
            </w:pPr>
          </w:p>
        </w:tc>
      </w:tr>
      <w:tr>
        <w:trPr>
          <w:trHeight w:val="196"/>
        </w:trPr>
        <w:tc>
          <w:tcPr>
            <w:tcW w:w="4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8">
              <w:r>
                <w:rPr>
                  <w:rFonts w:ascii="Times New Roman" w:cs="Times New Roman" w:eastAsia="Times New Roman" w:hAnsi="Times New Roman"/>
                  <w:sz w:val="18"/>
                  <w:szCs w:val="18"/>
                  <w:color w:val="0000EE"/>
                  <w:w w:val="98"/>
                </w:rPr>
                <w:t>24.</w:t>
              </w:r>
              <w:r>
                <w:rPr>
                  <w:rFonts w:ascii="Times New Roman" w:cs="Times New Roman" w:eastAsia="Times New Roman" w:hAnsi="Times New Roman"/>
                  <w:sz w:val="18"/>
                  <w:szCs w:val="18"/>
                  <w:u w:val="single" w:color="auto"/>
                  <w:color w:val="0000EE"/>
                  <w:w w:val="98"/>
                </w:rPr>
                <w:t>1*</w:t>
              </w:r>
            </w:hyperlink>
          </w:p>
        </w:tc>
        <w:tc>
          <w:tcPr>
            <w:tcW w:w="720" w:type="dxa"/>
            <w:vAlign w:val="bottom"/>
          </w:tcPr>
          <w:p>
            <w:pPr>
              <w:spacing w:after="0"/>
              <w:rPr>
                <w:sz w:val="17"/>
                <w:szCs w:val="17"/>
                <w:color w:val="auto"/>
              </w:rPr>
            </w:pPr>
          </w:p>
        </w:tc>
        <w:tc>
          <w:tcPr>
            <w:tcW w:w="94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Power of Attorney (included on the signature page of the Registration Statement on Form S-1, as amended (File No. 333-276397),</w:t>
              </w:r>
            </w:hyperlink>
          </w:p>
        </w:tc>
        <w:tc>
          <w:tcPr>
            <w:tcW w:w="70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originally filed with the Commission on January 5, 2024 and incorporated herein by reference).</w:t>
              </w:r>
            </w:hyperlink>
          </w:p>
        </w:tc>
        <w:tc>
          <w:tcPr>
            <w:tcW w:w="3220" w:type="dxa"/>
            <w:vAlign w:val="bottom"/>
            <w:gridSpan w:val="2"/>
          </w:tcPr>
          <w:p>
            <w:pPr>
              <w:spacing w:after="0"/>
              <w:rPr>
                <w:sz w:val="17"/>
                <w:szCs w:val="17"/>
                <w:color w:val="auto"/>
              </w:rPr>
            </w:pPr>
          </w:p>
        </w:tc>
      </w:tr>
      <w:tr>
        <w:trPr>
          <w:trHeight w:val="196"/>
        </w:trPr>
        <w:tc>
          <w:tcPr>
            <w:tcW w:w="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107</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1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Filing Fee Table.</w:t>
            </w:r>
          </w:p>
        </w:tc>
      </w:tr>
      <w:tr>
        <w:trPr>
          <w:trHeight w:val="696"/>
        </w:trPr>
        <w:tc>
          <w:tcPr>
            <w:tcW w:w="2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20" w:type="dxa"/>
            <w:vAlign w:val="bottom"/>
            <w:tcBorders>
              <w:top w:val="single" w:sz="8" w:color="0000EE"/>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992"/>
        <w:spacing w:after="0" w:line="292"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has duly caused this registration statement to be signed on its behalf by the undersigned, thereunto duly authorized, in Newtown Square, Pennsylvania, on the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January, 2024.</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Zhengbin (Bing) Yao,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Zhengbin (Bing) Yao, Ph.D.</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7" w:lineRule="exact"/>
        <w:rPr>
          <w:sz w:val="20"/>
          <w:szCs w:val="20"/>
          <w:color w:val="auto"/>
        </w:rPr>
      </w:pPr>
    </w:p>
    <w:p>
      <w:pPr>
        <w:ind w:right="460" w:firstLine="99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S-1 has been signed by the following persons in the capacities held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color w:val="auto"/>
              </w:rPr>
              <w:t>Signature</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Title</w:t>
            </w:r>
          </w:p>
        </w:tc>
        <w:tc>
          <w:tcPr>
            <w:tcW w:w="120" w:type="dxa"/>
            <w:vAlign w:val="bottom"/>
          </w:tcPr>
          <w:p>
            <w:pPr>
              <w:spacing w:after="0"/>
              <w:rPr>
                <w:sz w:val="20"/>
                <w:szCs w:val="20"/>
                <w:color w:val="auto"/>
              </w:rPr>
            </w:pPr>
          </w:p>
        </w:tc>
        <w:tc>
          <w:tcPr>
            <w:tcW w:w="18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Date</w:t>
            </w:r>
          </w:p>
        </w:tc>
        <w:tc>
          <w:tcPr>
            <w:tcW w:w="100" w:type="dxa"/>
            <w:vAlign w:val="bottom"/>
          </w:tcPr>
          <w:p>
            <w:pPr>
              <w:spacing w:after="0"/>
              <w:rPr>
                <w:sz w:val="20"/>
                <w:szCs w:val="20"/>
                <w:color w:val="auto"/>
              </w:rPr>
            </w:pPr>
          </w:p>
        </w:tc>
      </w:tr>
      <w:tr>
        <w:trPr>
          <w:trHeight w:val="426"/>
        </w:trPr>
        <w:tc>
          <w:tcPr>
            <w:tcW w:w="4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Zhengbin (Bing) Yao, Ph.D.</w:t>
            </w:r>
          </w:p>
        </w:tc>
        <w:tc>
          <w:tcPr>
            <w:tcW w:w="100" w:type="dxa"/>
            <w:vAlign w:val="bottom"/>
          </w:tcPr>
          <w:p>
            <w:pPr>
              <w:spacing w:after="0"/>
              <w:rPr>
                <w:sz w:val="24"/>
                <w:szCs w:val="24"/>
                <w:color w:val="auto"/>
              </w:rPr>
            </w:pPr>
          </w:p>
        </w:tc>
        <w:tc>
          <w:tcPr>
            <w:tcW w:w="4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Chairman, Chief Executive Officer and Director</w:t>
            </w: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January 25, 2024</w:t>
            </w:r>
          </w:p>
        </w:tc>
        <w:tc>
          <w:tcPr>
            <w:tcW w:w="100" w:type="dxa"/>
            <w:vAlign w:val="bottom"/>
          </w:tcPr>
          <w:p>
            <w:pPr>
              <w:spacing w:after="0"/>
              <w:rPr>
                <w:sz w:val="24"/>
                <w:szCs w:val="24"/>
                <w:color w:val="auto"/>
              </w:rPr>
            </w:pPr>
          </w:p>
        </w:tc>
      </w:tr>
      <w:tr>
        <w:trPr>
          <w:trHeight w:val="228"/>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Zhengbin (Bing) Yao, Ph.D.</w:t>
            </w:r>
          </w:p>
        </w:tc>
        <w:tc>
          <w:tcPr>
            <w:tcW w:w="100" w:type="dxa"/>
            <w:vAlign w:val="bottom"/>
          </w:tcPr>
          <w:p>
            <w:pPr>
              <w:spacing w:after="0"/>
              <w:rPr>
                <w:sz w:val="19"/>
                <w:szCs w:val="19"/>
                <w:color w:val="auto"/>
              </w:rPr>
            </w:pPr>
          </w:p>
        </w:tc>
        <w:tc>
          <w:tcPr>
            <w:tcW w:w="438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4"/>
        </w:trPr>
        <w:tc>
          <w:tcPr>
            <w:tcW w:w="4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Winston Kung, MBA</w:t>
            </w:r>
          </w:p>
        </w:tc>
        <w:tc>
          <w:tcPr>
            <w:tcW w:w="100" w:type="dxa"/>
            <w:vAlign w:val="bottom"/>
          </w:tcPr>
          <w:p>
            <w:pPr>
              <w:spacing w:after="0"/>
              <w:rPr>
                <w:sz w:val="24"/>
                <w:szCs w:val="24"/>
                <w:color w:val="auto"/>
              </w:rPr>
            </w:pPr>
          </w:p>
        </w:tc>
        <w:tc>
          <w:tcPr>
            <w:tcW w:w="4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January 25, 2024</w:t>
            </w:r>
          </w:p>
        </w:tc>
        <w:tc>
          <w:tcPr>
            <w:tcW w:w="100" w:type="dxa"/>
            <w:vAlign w:val="bottom"/>
          </w:tcPr>
          <w:p>
            <w:pPr>
              <w:spacing w:after="0"/>
              <w:rPr>
                <w:sz w:val="24"/>
                <w:szCs w:val="24"/>
                <w:color w:val="auto"/>
              </w:rPr>
            </w:pPr>
          </w:p>
        </w:tc>
      </w:tr>
      <w:tr>
        <w:trPr>
          <w:trHeight w:val="176"/>
        </w:trPr>
        <w:tc>
          <w:tcPr>
            <w:tcW w:w="58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8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(Principal Accounting Officer and Principal Financial</w:t>
            </w: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Winston Kung, MBA</w:t>
            </w:r>
          </w:p>
        </w:tc>
        <w:tc>
          <w:tcPr>
            <w:tcW w:w="100" w:type="dxa"/>
            <w:vAlign w:val="bottom"/>
          </w:tcPr>
          <w:p>
            <w:pPr>
              <w:spacing w:after="0"/>
              <w:rPr>
                <w:sz w:val="20"/>
                <w:szCs w:val="20"/>
                <w:color w:val="auto"/>
              </w:rPr>
            </w:pPr>
          </w:p>
        </w:tc>
        <w:tc>
          <w:tcPr>
            <w:tcW w:w="438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January 25, 2024</w:t>
            </w:r>
          </w:p>
        </w:tc>
        <w:tc>
          <w:tcPr>
            <w:tcW w:w="100" w:type="dxa"/>
            <w:vAlign w:val="bottom"/>
          </w:tcPr>
          <w:p>
            <w:pPr>
              <w:spacing w:after="0"/>
              <w:rPr>
                <w:sz w:val="24"/>
                <w:szCs w:val="24"/>
                <w:color w:val="auto"/>
              </w:rPr>
            </w:pPr>
          </w:p>
        </w:tc>
      </w:tr>
      <w:tr>
        <w:trPr>
          <w:trHeight w:val="228"/>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 L. Gordon, Ph.D., CFA</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4"/>
        </w:trPr>
        <w:tc>
          <w:tcPr>
            <w:tcW w:w="5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January 25, 2024</w:t>
            </w:r>
          </w:p>
        </w:tc>
        <w:tc>
          <w:tcPr>
            <w:tcW w:w="100" w:type="dxa"/>
            <w:vAlign w:val="bottom"/>
          </w:tcPr>
          <w:p>
            <w:pPr>
              <w:spacing w:after="0"/>
              <w:rPr>
                <w:sz w:val="24"/>
                <w:szCs w:val="24"/>
                <w:color w:val="auto"/>
              </w:rPr>
            </w:pPr>
          </w:p>
        </w:tc>
      </w:tr>
      <w:tr>
        <w:trPr>
          <w:trHeight w:val="228"/>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Healy, M.D., Ph.D.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4"/>
        </w:trPr>
        <w:tc>
          <w:tcPr>
            <w:tcW w:w="5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January 25, 2024</w:t>
            </w:r>
          </w:p>
        </w:tc>
        <w:tc>
          <w:tcPr>
            <w:tcW w:w="100" w:type="dxa"/>
            <w:vAlign w:val="bottom"/>
          </w:tcPr>
          <w:p>
            <w:pPr>
              <w:spacing w:after="0"/>
              <w:rPr>
                <w:sz w:val="24"/>
                <w:szCs w:val="24"/>
                <w:color w:val="auto"/>
              </w:rPr>
            </w:pPr>
          </w:p>
        </w:tc>
      </w:tr>
      <w:tr>
        <w:trPr>
          <w:trHeight w:val="228"/>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Bahija Jallal, Ph.D.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4"/>
        </w:trPr>
        <w:tc>
          <w:tcPr>
            <w:tcW w:w="5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President of Research and Development and Director</w:t>
            </w: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January 25, 2024</w:t>
            </w:r>
          </w:p>
        </w:tc>
        <w:tc>
          <w:tcPr>
            <w:tcW w:w="100" w:type="dxa"/>
            <w:vAlign w:val="bottom"/>
          </w:tcPr>
          <w:p>
            <w:pPr>
              <w:spacing w:after="0"/>
              <w:rPr>
                <w:sz w:val="24"/>
                <w:szCs w:val="24"/>
                <w:color w:val="auto"/>
              </w:rPr>
            </w:pPr>
          </w:p>
        </w:tc>
      </w:tr>
      <w:tr>
        <w:trPr>
          <w:trHeight w:val="228"/>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Stuart Lutzker, M.D., Ph.D.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4"/>
        </w:trPr>
        <w:tc>
          <w:tcPr>
            <w:tcW w:w="5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January 25, 2024</w:t>
            </w:r>
          </w:p>
        </w:tc>
        <w:tc>
          <w:tcPr>
            <w:tcW w:w="100" w:type="dxa"/>
            <w:vAlign w:val="bottom"/>
          </w:tcPr>
          <w:p>
            <w:pPr>
              <w:spacing w:after="0"/>
              <w:rPr>
                <w:sz w:val="24"/>
                <w:szCs w:val="24"/>
                <w:color w:val="auto"/>
              </w:rPr>
            </w:pPr>
          </w:p>
        </w:tc>
      </w:tr>
      <w:tr>
        <w:trPr>
          <w:trHeight w:val="228"/>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 W. Nolet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Zhengbin (Bing) Yao, Ph.D.</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580" w:type="dxa"/>
            <w:vAlign w:val="bottom"/>
          </w:tcPr>
          <w:p>
            <w:pPr>
              <w:spacing w:after="0"/>
              <w:rPr>
                <w:sz w:val="16"/>
                <w:szCs w:val="16"/>
                <w:color w:val="auto"/>
              </w:rPr>
            </w:pPr>
          </w:p>
        </w:tc>
        <w:tc>
          <w:tcPr>
            <w:tcW w:w="41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Zhengbin (Bing) Yao, Ph.D.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6"/>
        </w:trPr>
        <w:tc>
          <w:tcPr>
            <w:tcW w:w="58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Attorney-in-fact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75"/>
        </w:trPr>
        <w:tc>
          <w:tcPr>
            <w:tcW w:w="5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176530</wp:posOffset>
            </wp:positionV>
            <wp:extent cx="960120" cy="11658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960120" cy="1165860"/>
                    </a:xfrm>
                    <a:prstGeom prst="rect">
                      <a:avLst/>
                    </a:prstGeom>
                    <a:noFill/>
                  </pic:spPr>
                </pic:pic>
              </a:graphicData>
            </a:graphic>
          </wp:anchor>
        </w:drawing>
      </w:r>
    </w:p>
    <w:p>
      <w:pPr>
        <w:spacing w:after="0" w:line="26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One Financial Center</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Boston, MA 02111</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617 542 6000</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mintz.com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25,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ArriVent BioPharma,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Campus Boulevard, Suite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Newtown Square, PA 19073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acted as legal counsel to ArriVent BioPharma, Inc., a Delaware corporation (the “Company”), in connection with the preparation and filing with the Securities and Exchange Commission (the “Commission”) of (i) a Registration Statement (No. 333-276397) on Form S-1, as amended (the “Initial Registration Statement”), and (ii) a second Registration Statement on Form S-1 filed pursuant to Rule 462(b) under the Securities Act of 1933, as amended (the “Securities Act”) (the “462(b) Registration Statement”), pursuant to which the Company is registering the offering for sale under the Securities Act of 1933, as amended (the “Securities Act”), an aggregate of 1,597,223 additional shares (the “Shares”) of the Company’s common stock, par value $0.0001 per share (the “Common Stock”).</w:t>
      </w:r>
    </w:p>
    <w:p>
      <w:pPr>
        <w:spacing w:after="0" w:line="18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The Shares are to be sold by the Company pursuant to an underwriting agreement (the “Underwriting Agreement”) to be entered into by and among the Company and Goldman Sachs &amp; Co. LLC, Jefferies LLC and Citigroup Global Markets Inc. as representatives of the several underwriters to be named therein. The form of the Underwriting Agreement has been filed as Exhibit 1.1 to the Initial Registration Statement. This opinion is being rendered in connection with the filing of the 462(b) Registration Statement with the Commission. All capitalized terms used herein and not otherwise defined shall have the respective meanings given to them in the 462(b) Registration Statement.</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this opinion, we have examined the Company’s Second Amended and Restated Certificate of Incorporation and Second Amended and Restated Bylaws, each as currently in effect, and the form of the Underwriting Agreement; such other records of the corporate proceedings of the Company and certificates of the Company’s officers as we have deemed relevant; the Initial Registration Statement and the exhibits thereto; and the 462(b) Registration Statement and the exhibits thereto.</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our examination, we have assumed the genuineness of all signatures, the legal capacity of natural persons, the authenticity of all documents submitted to us as originals, the conformity to original documents of all documents submitted to us as certified or photostatic copies and the authenticity of the originals of such copies.</w:t>
      </w:r>
    </w:p>
    <w:p>
      <w:pPr>
        <w:spacing w:after="0" w:line="189" w:lineRule="exact"/>
        <w:rPr>
          <w:sz w:val="20"/>
          <w:szCs w:val="20"/>
          <w:color w:val="auto"/>
        </w:rPr>
      </w:pPr>
    </w:p>
    <w:p>
      <w:pPr>
        <w:jc w:val="center"/>
        <w:spacing w:after="0"/>
        <w:tabs>
          <w:tab w:leader="none" w:pos="160" w:val="left"/>
          <w:tab w:leader="none" w:pos="160" w:val="left"/>
          <w:tab w:leader="none" w:pos="160" w:val="left"/>
          <w:tab w:leader="none" w:pos="160" w:val="left"/>
          <w:tab w:leader="none" w:pos="160" w:val="left"/>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BOSTON</w:t>
        <w:tab/>
        <w:t>LOS ANGELES</w:t>
        <w:tab/>
        <w:t>MIAMI</w:t>
        <w:tab/>
        <w:t>NEW YORK</w:t>
        <w:tab/>
        <w:t>SAN DIEGO</w:t>
        <w:tab/>
        <w:t>SAN FRANCISCO</w:t>
        <w:tab/>
        <w:t>TORONTO</w:t>
      </w:r>
      <w:r>
        <w:rPr>
          <w:sz w:val="20"/>
          <w:szCs w:val="20"/>
          <w:color w:val="auto"/>
        </w:rPr>
        <w:tab/>
      </w:r>
      <w:r>
        <w:rPr>
          <w:rFonts w:ascii="Times New Roman" w:cs="Times New Roman" w:eastAsia="Times New Roman" w:hAnsi="Times New Roman"/>
          <w:sz w:val="17"/>
          <w:szCs w:val="17"/>
          <w:color w:val="auto"/>
        </w:rPr>
        <w:t>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6748780</wp:posOffset>
            </wp:positionH>
            <wp:positionV relativeFrom="page">
              <wp:posOffset>586105</wp:posOffset>
            </wp:positionV>
            <wp:extent cx="556895" cy="7029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56895" cy="702945"/>
                    </a:xfrm>
                    <a:prstGeom prst="rect">
                      <a:avLst/>
                    </a:prstGeom>
                    <a:noFill/>
                  </pic:spPr>
                </pic:pic>
              </a:graphicData>
            </a:graphic>
          </wp:anchor>
        </w:drawing>
        <w:t>MINTZ</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ArriVent BioPharma,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opinion is limited to the General Corporation Law of the State of Delaware and we express no opinion with respect to the laws of any other jurisdiction. No opinion is expressed herein with respect to the qualification of the Shares under the securities or blue sky laws of any state or any foreign jurisdiction.</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7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Based upon the foregoing, we are of the opinion that the Shares, when issued and sold in accordance with the form of the Underwriting Agreement most recently filed as an exhibit to the Initial Registration Statement and the prospectus that forms a part of the Initial Registration Statement, will be validly issued, fully paid and non-assessable.</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understand that you wish to file this opinion with the Commission as an exhibit to the 462(b) Registration Statement in accordance with the requirements of Item 601(b)(5) of Regulation S-K promulgated under the Securities Act and to reference the firm’s name under the caption “Legal Matters” in the prospectus which forms part of the 462(b) Registration Statement, and we hereby consent thereto. In giving this consent, we do not admit that we are within the category of persons whose consent is required under Section 7 of the Securities Act or the rules and regulations of the Commission promulgated thereunder.</w:t>
      </w:r>
    </w:p>
    <w:p>
      <w:pPr>
        <w:spacing w:after="0" w:line="18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 w:name="page8"/>
    <w:bookmarkEnd w:id="7"/>
    <w:p>
      <w:pPr>
        <w:ind w:left="1022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use of our report dated August 25, 2023, except for Notes 3(a) and 7, as to which the date is October 31, 2023 and Note 3(k), as to which the date is January 23, 2024, with respect to the financial statements of ArriVent BioPharma, Inc. incorporated herein by reference and to the reference to our firm under the heading “Experts” in the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427"/>
        </w:trPr>
        <w:tc>
          <w:tcPr>
            <w:tcW w:w="500" w:type="dxa"/>
            <w:vAlign w:val="bottom"/>
            <w:tcBorders>
              <w:top w:val="single" w:sz="8" w:color="auto"/>
              <w:left w:val="single" w:sz="8" w:color="auto"/>
              <w:right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1680" w:type="dxa"/>
            <w:vAlign w:val="bottom"/>
            <w:tcBorders>
              <w:top w:val="single" w:sz="8" w:color="auto"/>
              <w:right w:val="single" w:sz="8" w:color="auto"/>
            </w:tcBorders>
          </w:tcPr>
          <w:p>
            <w:pPr>
              <w:spacing w:after="0"/>
              <w:rPr>
                <w:sz w:val="24"/>
                <w:szCs w:val="24"/>
                <w:color w:val="auto"/>
              </w:rPr>
            </w:pPr>
          </w:p>
        </w:tc>
        <w:tc>
          <w:tcPr>
            <w:tcW w:w="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c>
          <w:tcPr>
            <w:tcW w:w="1240" w:type="dxa"/>
            <w:vAlign w:val="bottom"/>
            <w:tcBorders>
              <w:top w:val="single" w:sz="8" w:color="auto"/>
              <w:right w:val="single" w:sz="8" w:color="auto"/>
            </w:tcBorders>
          </w:tcPr>
          <w:p>
            <w:pPr>
              <w:spacing w:after="0"/>
              <w:rPr>
                <w:sz w:val="24"/>
                <w:szCs w:val="24"/>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Proposed</w:t>
            </w:r>
          </w:p>
        </w:tc>
        <w:tc>
          <w:tcPr>
            <w:tcW w:w="23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Maximum</w:t>
            </w:r>
          </w:p>
        </w:tc>
        <w:tc>
          <w:tcPr>
            <w:tcW w:w="1120" w:type="dxa"/>
            <w:vAlign w:val="bottom"/>
            <w:tcBorders>
              <w:top w:val="single" w:sz="8" w:color="auto"/>
              <w:right w:val="single" w:sz="8" w:color="auto"/>
            </w:tcBorders>
          </w:tcPr>
          <w:p>
            <w:pPr>
              <w:spacing w:after="0"/>
              <w:rPr>
                <w:sz w:val="24"/>
                <w:szCs w:val="24"/>
                <w:color w:val="auto"/>
              </w:rPr>
            </w:pPr>
          </w:p>
        </w:tc>
        <w:tc>
          <w:tcPr>
            <w:tcW w:w="14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00" w:type="dxa"/>
            <w:vAlign w:val="bottom"/>
            <w:tcBorders>
              <w:left w:val="single" w:sz="8" w:color="auto"/>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rPr>
              <w:t>Calculation</w:t>
            </w:r>
          </w:p>
        </w:tc>
        <w:tc>
          <w:tcPr>
            <w:tcW w:w="124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Maximum</w:t>
            </w:r>
          </w:p>
        </w:tc>
        <w:tc>
          <w:tcPr>
            <w:tcW w:w="2340" w:type="dxa"/>
            <w:vAlign w:val="bottom"/>
            <w:tcBorders>
              <w:right w:val="single" w:sz="8" w:color="auto"/>
            </w:tcBorders>
            <w:vMerge w:val="continue"/>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 Carry</w:t>
            </w:r>
          </w:p>
        </w:tc>
        <w:tc>
          <w:tcPr>
            <w:tcW w:w="12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Offering</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Aggregate</w:t>
            </w:r>
          </w:p>
        </w:tc>
        <w:tc>
          <w:tcPr>
            <w:tcW w:w="11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Security</w:t>
            </w:r>
          </w:p>
        </w:tc>
        <w:tc>
          <w:tcPr>
            <w:tcW w:w="16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Forward</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Amount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Price Per</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Offering</w:t>
            </w:r>
          </w:p>
        </w:tc>
        <w:tc>
          <w:tcPr>
            <w:tcW w:w="11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Registration</w:t>
            </w:r>
          </w:p>
        </w:tc>
        <w:tc>
          <w:tcPr>
            <w:tcW w:w="0" w:type="dxa"/>
            <w:vAlign w:val="bottom"/>
          </w:tcPr>
          <w:p>
            <w:pPr>
              <w:spacing w:after="0"/>
              <w:rPr>
                <w:sz w:val="1"/>
                <w:szCs w:val="1"/>
                <w:color w:val="auto"/>
              </w:rPr>
            </w:pPr>
          </w:p>
        </w:tc>
      </w:tr>
      <w:tr>
        <w:trPr>
          <w:trHeight w:val="270"/>
        </w:trPr>
        <w:tc>
          <w:tcPr>
            <w:tcW w:w="500" w:type="dxa"/>
            <w:vAlign w:val="bottom"/>
            <w:tcBorders>
              <w:left w:val="single" w:sz="8" w:color="auto"/>
              <w:bottom w:val="single" w:sz="8" w:color="auto"/>
              <w:right w:val="single" w:sz="8" w:color="auto"/>
            </w:tcBorders>
          </w:tcPr>
          <w:p>
            <w:pPr>
              <w:spacing w:after="0"/>
              <w:rPr>
                <w:sz w:val="23"/>
                <w:szCs w:val="23"/>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Type</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Security Class Title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w:t>
            </w:r>
          </w:p>
        </w:tc>
        <w:tc>
          <w:tcPr>
            <w:tcW w:w="1240" w:type="dxa"/>
            <w:vAlign w:val="bottom"/>
            <w:tcBorders>
              <w:bottom w:val="single" w:sz="8" w:color="auto"/>
              <w:right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color w:val="auto"/>
                <w:w w:val="94"/>
              </w:rPr>
              <w:t>Registered</w:t>
            </w:r>
            <w:r>
              <w:rPr>
                <w:rFonts w:ascii="Times New Roman" w:cs="Times New Roman" w:eastAsia="Times New Roman" w:hAnsi="Times New Roman"/>
                <w:sz w:val="29"/>
                <w:szCs w:val="29"/>
                <w:color w:val="auto"/>
                <w:w w:val="94"/>
                <w:vertAlign w:val="superscript"/>
              </w:rPr>
              <w:t>(1)</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Unit</w:t>
            </w:r>
          </w:p>
        </w:tc>
        <w:tc>
          <w:tcPr>
            <w:tcW w:w="2340" w:type="dxa"/>
            <w:vAlign w:val="bottom"/>
            <w:tcBorders>
              <w:bottom w:val="single" w:sz="8" w:color="auto"/>
              <w:right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color w:val="auto"/>
                <w:w w:val="93"/>
              </w:rPr>
              <w:t>Price</w:t>
            </w:r>
            <w:r>
              <w:rPr>
                <w:rFonts w:ascii="Times New Roman" w:cs="Times New Roman" w:eastAsia="Times New Roman" w:hAnsi="Times New Roman"/>
                <w:sz w:val="29"/>
                <w:szCs w:val="29"/>
                <w:color w:val="auto"/>
                <w:w w:val="93"/>
                <w:vertAlign w:val="superscript"/>
              </w:rPr>
              <w:t>(2)</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Fee Rate</w:t>
            </w:r>
          </w:p>
        </w:tc>
        <w:tc>
          <w:tcPr>
            <w:tcW w:w="1460" w:type="dxa"/>
            <w:vAlign w:val="bottom"/>
            <w:tcBorders>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Fee</w:t>
            </w:r>
          </w:p>
        </w:tc>
        <w:tc>
          <w:tcPr>
            <w:tcW w:w="0" w:type="dxa"/>
            <w:vAlign w:val="bottom"/>
          </w:tcPr>
          <w:p>
            <w:pPr>
              <w:spacing w:after="0"/>
              <w:rPr>
                <w:sz w:val="1"/>
                <w:szCs w:val="1"/>
                <w:color w:val="auto"/>
              </w:rPr>
            </w:pPr>
          </w:p>
        </w:tc>
      </w:tr>
      <w:tr>
        <w:trPr>
          <w:trHeight w:val="407"/>
        </w:trPr>
        <w:tc>
          <w:tcPr>
            <w:tcW w:w="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Fees</w:t>
            </w:r>
          </w:p>
        </w:tc>
        <w:tc>
          <w:tcPr>
            <w:tcW w:w="800" w:type="dxa"/>
            <w:vAlign w:val="bottom"/>
            <w:tcBorders>
              <w:right w:val="single" w:sz="8" w:color="auto"/>
            </w:tcBorders>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8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w:t>
            </w:r>
          </w:p>
        </w:tc>
        <w:tc>
          <w:tcPr>
            <w:tcW w:w="9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w:t>
            </w:r>
          </w:p>
        </w:tc>
        <w:tc>
          <w:tcPr>
            <w:tcW w:w="8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value $0.0001 per</w:t>
            </w:r>
          </w:p>
        </w:tc>
        <w:tc>
          <w:tcPr>
            <w:tcW w:w="9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457(a)</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1,597,223</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$18.00</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$28,750,014</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0.00014760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$4,243.51</w:t>
            </w:r>
          </w:p>
        </w:tc>
        <w:tc>
          <w:tcPr>
            <w:tcW w:w="0" w:type="dxa"/>
            <w:vAlign w:val="bottom"/>
          </w:tcPr>
          <w:p>
            <w:pPr>
              <w:spacing w:after="0"/>
              <w:rPr>
                <w:sz w:val="1"/>
                <w:szCs w:val="1"/>
                <w:color w:val="auto"/>
              </w:rPr>
            </w:pPr>
          </w:p>
        </w:tc>
      </w:tr>
      <w:tr>
        <w:trPr>
          <w:trHeight w:val="209"/>
        </w:trPr>
        <w:tc>
          <w:tcPr>
            <w:tcW w:w="500" w:type="dxa"/>
            <w:vAlign w:val="bottom"/>
            <w:tcBorders>
              <w:left w:val="single" w:sz="8" w:color="auto"/>
              <w:bottom w:val="single" w:sz="8" w:color="auto"/>
              <w:right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12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$28,750,014</w:t>
            </w: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$4,243.51</w:t>
            </w:r>
          </w:p>
        </w:tc>
        <w:tc>
          <w:tcPr>
            <w:tcW w:w="0" w:type="dxa"/>
            <w:vAlign w:val="bottom"/>
          </w:tcPr>
          <w:p>
            <w:pPr>
              <w:spacing w:after="0"/>
              <w:rPr>
                <w:sz w:val="1"/>
                <w:szCs w:val="1"/>
                <w:color w:val="auto"/>
              </w:rPr>
            </w:pPr>
          </w:p>
        </w:tc>
      </w:tr>
      <w:tr>
        <w:trPr>
          <w:trHeight w:val="209"/>
        </w:trPr>
        <w:tc>
          <w:tcPr>
            <w:tcW w:w="500" w:type="dxa"/>
            <w:vAlign w:val="bottom"/>
            <w:tcBorders>
              <w:left w:val="single" w:sz="8" w:color="auto"/>
              <w:bottom w:val="single" w:sz="8" w:color="auto"/>
              <w:right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2"/>
          </w:tcPr>
          <w:p>
            <w:pPr>
              <w:jc w:val="center"/>
              <w:ind w:left="330"/>
              <w:spacing w:after="0"/>
              <w:rPr>
                <w:sz w:val="20"/>
                <w:szCs w:val="20"/>
                <w:color w:val="auto"/>
              </w:rPr>
            </w:pPr>
            <w:r>
              <w:rPr>
                <w:rFonts w:ascii="Times New Roman" w:cs="Times New Roman" w:eastAsia="Times New Roman" w:hAnsi="Times New Roman"/>
                <w:sz w:val="18"/>
                <w:szCs w:val="18"/>
                <w:color w:val="auto"/>
                <w:w w:val="99"/>
              </w:rPr>
              <w:t>Total Fees Previously Paid</w:t>
            </w:r>
          </w:p>
        </w:tc>
        <w:tc>
          <w:tcPr>
            <w:tcW w:w="12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00" w:type="dxa"/>
            <w:vAlign w:val="bottom"/>
            <w:tcBorders>
              <w:left w:val="single" w:sz="8" w:color="auto"/>
              <w:bottom w:val="single" w:sz="8" w:color="auto"/>
              <w:right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2"/>
          </w:tcPr>
          <w:p>
            <w:pPr>
              <w:jc w:val="center"/>
              <w:ind w:left="330"/>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12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00" w:type="dxa"/>
            <w:vAlign w:val="bottom"/>
            <w:tcBorders>
              <w:left w:val="single" w:sz="8" w:color="auto"/>
              <w:bottom w:val="single" w:sz="8" w:color="auto"/>
              <w:right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2"/>
          </w:tcPr>
          <w:p>
            <w:pPr>
              <w:jc w:val="center"/>
              <w:ind w:left="330"/>
              <w:spacing w:after="0"/>
              <w:rPr>
                <w:sz w:val="20"/>
                <w:szCs w:val="20"/>
                <w:color w:val="auto"/>
              </w:rPr>
            </w:pPr>
            <w:r>
              <w:rPr>
                <w:rFonts w:ascii="Times New Roman" w:cs="Times New Roman" w:eastAsia="Times New Roman" w:hAnsi="Times New Roman"/>
                <w:sz w:val="18"/>
                <w:szCs w:val="18"/>
                <w:color w:val="auto"/>
              </w:rPr>
              <w:t>Net Fee Due</w:t>
            </w:r>
          </w:p>
        </w:tc>
        <w:tc>
          <w:tcPr>
            <w:tcW w:w="124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234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7"/>
                <w:szCs w:val="17"/>
                <w:color w:val="auto"/>
              </w:rPr>
              <w:t>$4,243.51</w:t>
            </w:r>
            <w:r>
              <w:rPr>
                <w:rFonts w:ascii="Times New Roman" w:cs="Times New Roman" w:eastAsia="Times New Roman" w:hAnsi="Times New Roman"/>
                <w:sz w:val="28"/>
                <w:szCs w:val="28"/>
                <w:color w:val="auto"/>
                <w:vertAlign w:val="superscript"/>
              </w:rPr>
              <w:t>(3)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660" w:hanging="332"/>
        <w:spacing w:after="0" w:line="26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only the additional number of shares being registered and includes 208,334 shares of common stock issuable upon exercise of the underwriters’ option to purchase additional shares. Does not include the securities that the Registrant previously registered on the Registration Statement on Form S-1 (File No. 333-276397), as amended (the “Earlier Registration Statement”).</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public offering price.</w:t>
      </w:r>
    </w:p>
    <w:p>
      <w:pPr>
        <w:spacing w:after="0" w:line="225" w:lineRule="exact"/>
        <w:rPr>
          <w:rFonts w:ascii="Times New Roman" w:cs="Times New Roman" w:eastAsia="Times New Roman" w:hAnsi="Times New Roman"/>
          <w:sz w:val="18"/>
          <w:szCs w:val="18"/>
          <w:color w:val="auto"/>
        </w:rPr>
      </w:pPr>
    </w:p>
    <w:p>
      <w:pPr>
        <w:ind w:left="340" w:right="200" w:hanging="332"/>
        <w:spacing w:after="0" w:line="258"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 is calculated in accordance with Rule 457(a) under the Securities Act of 1933, as amended, based on the proposed maximum aggregate offering price. The registrant previously registered securities on the Earlier Registration Statement having a proposed maximum aggregate offering price of $182,083,308, which was declared effective by the Securities and Exchange Commission on January 25, 2024. In accordance with Rule 462(b) under the Securities Act, an additional amount of securities having a proposed maximum aggregate offering price of $28,750,014 is hereby registered, which includes shares issuable upon the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jpe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jpe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16" Type="http://schemas.openxmlformats.org/officeDocument/2006/relationships/hyperlink" Target="http://www.sec.gov/Archives/edgar/data/1868279/000110465924005933/tm2321853-20_s1a.htm" TargetMode="External"/><Relationship Id="rId18" Type="http://schemas.openxmlformats.org/officeDocument/2006/relationships/hyperlink" Target="http://www.sec.gov/Archives/edgar/data/1868279/000110465924001804/tm2321853-12_s1.htm#tPO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2024-01-25T18:40:36Z</dcterms:created>
  <dcterms:modified xsi:type="dcterms:W3CDTF">2024-01-25T18:40:36Z</dcterms:modified>
</cp:coreProperties>
</file>