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7092d1_8k.htm"/>
      <w:bookmarkStart w:id="1" w:name="kstm262709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1006"/>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18 Campus Boulevard, </w:t>
            </w:r>
            <w:bookmarkStart w:id="9" w:name="xdx_90E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Newtown Square, </w:t>
            </w:r>
            <w:bookmarkStart w:id="11" w:name="xdx_903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2_edei--CityAreaCode_c20261006__20"/>
      <w:bookmarkEnd w:id="13"/>
      <w:r>
        <w:rPr>
          <w:rFonts w:ascii="Times New Roman;Times;Serif" w:hAnsi="Times New Roman;Times;Serif"/>
          <w:b/>
          <w:i w:val="false"/>
          <w:caps w:val="false"/>
          <w:smallCaps w:val="false"/>
          <w:sz w:val="20"/>
        </w:rPr>
        <w:t xml:space="preserve">628) </w:t>
      </w:r>
      <w:bookmarkStart w:id="14" w:name="xdx_90F_edei--LocalPhoneNumber_c20261006"/>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3_edei--Security12bTitle_c20261006"/>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5_edei--TradingSymbol_c20261006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F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B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7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950"/>
        <w:gridCol w:w="2555"/>
      </w:tblGrid>
      <w:tr>
        <w:trPr/>
        <w:tc>
          <w:tcPr>
            <w:tcW w:w="950" w:type="dxa"/>
            <w:tcBorders/>
            <w:vAlign w:val="center"/>
          </w:tcPr>
          <w:p>
            <w:pPr>
              <w:pStyle w:val="TableContents"/>
              <w:bidi w:val="0"/>
              <w:spacing w:before="0" w:after="283"/>
              <w:jc w:val="left"/>
              <w:rPr/>
            </w:pPr>
            <w:r>
              <w:rPr>
                <w:rFonts w:ascii="Times New Roman;Times;Serif" w:hAnsi="Times New Roman;Times;Serif"/>
                <w:b/>
              </w:rPr>
              <w:t>Item</w:t>
            </w:r>
            <w:r>
              <w:rPr/>
              <w:t> </w:t>
            </w:r>
            <w:r>
              <w:rPr>
                <w:b/>
              </w:rPr>
              <w:t>7.01</w:t>
            </w:r>
          </w:p>
        </w:tc>
        <w:tc>
          <w:tcPr>
            <w:tcW w:w="2555" w:type="dxa"/>
            <w:tcBorders/>
            <w:vAlign w:val="center"/>
          </w:tcPr>
          <w:p>
            <w:pPr>
              <w:pStyle w:val="TableContents"/>
              <w:bidi w:val="0"/>
              <w:spacing w:before="0" w:after="283"/>
              <w:jc w:val="left"/>
              <w:rPr/>
            </w:pPr>
            <w:r>
              <w:rPr/>
              <w:t>Regulation FD Disclosure.</w:t>
            </w:r>
          </w:p>
        </w:tc>
      </w:tr>
    </w:tbl>
    <w:p>
      <w:pPr>
        <w:pStyle w:val="TextBody"/>
        <w:bidi w:val="0"/>
        <w:spacing w:before="0" w:after="0"/>
        <w:ind w:left="1005" w:right="0" w:hanging="100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ArriVent BioPharma, Inc. issued a press release announcing an update from the Phase 3 FURVENT trial of firmonertinib in first-line EGFR exon 20 insertion mutant non-small cell lung cancer. A copy of the press release is filed as Exhibit 99.1 hereto and is hereby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Times;Serif" w:hAnsi="Times New Roman;Times;Serif"/>
          <w:b w:val="false"/>
          <w:i w:val="false"/>
          <w:caps w:val="false"/>
          <w:smallCaps w:val="false"/>
          <w:sz w:val="20"/>
        </w:rPr>
        <w:t>.</w:t>
      </w:r>
    </w:p>
    <w:p>
      <w:pPr>
        <w:pStyle w:val="TextBody"/>
        <w:bidi w:val="0"/>
        <w:spacing w:before="0" w:after="0"/>
        <w:ind w:left="1005" w:right="0" w:hanging="1005"/>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950"/>
        <w:gridCol w:w="1325"/>
      </w:tblGrid>
      <w:tr>
        <w:trPr/>
        <w:tc>
          <w:tcPr>
            <w:tcW w:w="950" w:type="dxa"/>
            <w:tcBorders/>
            <w:vAlign w:val="center"/>
          </w:tcPr>
          <w:p>
            <w:pPr>
              <w:pStyle w:val="TableContents"/>
              <w:bidi w:val="0"/>
              <w:spacing w:before="0" w:after="283"/>
              <w:jc w:val="left"/>
              <w:rPr/>
            </w:pPr>
            <w:r>
              <w:rPr>
                <w:rFonts w:ascii="Times New Roman;Times;Serif" w:hAnsi="Times New Roman;Times;Serif"/>
                <w:b/>
              </w:rPr>
              <w:t>Item</w:t>
            </w:r>
            <w:r>
              <w:rPr/>
              <w:t> </w:t>
            </w:r>
            <w:r>
              <w:rPr>
                <w:b/>
              </w:rPr>
              <w:t>8.01</w:t>
            </w:r>
          </w:p>
        </w:tc>
        <w:tc>
          <w:tcPr>
            <w:tcW w:w="1325" w:type="dxa"/>
            <w:tcBorders/>
            <w:vAlign w:val="center"/>
          </w:tcPr>
          <w:p>
            <w:pPr>
              <w:pStyle w:val="TableContents"/>
              <w:bidi w:val="0"/>
              <w:spacing w:before="0" w:after="283"/>
              <w:jc w:val="left"/>
              <w:rPr/>
            </w:pPr>
            <w:r>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press release referred to in Item 7.01 above, other than the second paragraph thereof, is incorporated by reference into this Item 8.01 of this Current Report on Form 8-K.</w:t>
      </w:r>
    </w:p>
    <w:p>
      <w:pPr>
        <w:pStyle w:val="TextBody"/>
        <w:bidi w:val="0"/>
        <w:spacing w:before="0" w:after="283"/>
        <w:jc w:val="left"/>
        <w:rPr/>
      </w:pPr>
      <w:r>
        <w:rPr/>
        <w:t> </w:t>
      </w:r>
    </w:p>
    <w:tbl>
      <w:tblPr>
        <w:tblW w:w="4240" w:type="dxa"/>
        <w:jc w:val="left"/>
        <w:tblInd w:w="0" w:type="dxa"/>
        <w:tblLayout w:type="fixed"/>
        <w:tblCellMar>
          <w:top w:w="0" w:type="dxa"/>
          <w:left w:w="0" w:type="dxa"/>
          <w:bottom w:w="0" w:type="dxa"/>
          <w:right w:w="0" w:type="dxa"/>
        </w:tblCellMar>
      </w:tblPr>
      <w:tblGrid>
        <w:gridCol w:w="965"/>
        <w:gridCol w:w="3275"/>
      </w:tblGrid>
      <w:tr>
        <w:trPr/>
        <w:tc>
          <w:tcPr>
            <w:tcW w:w="9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275" w:type="dxa"/>
            <w:tcBorders/>
            <w:vAlign w:val="center"/>
          </w:tcPr>
          <w:p>
            <w:pPr>
              <w:pStyle w:val="TableContents"/>
              <w:bidi w:val="0"/>
              <w:spacing w:before="0" w:after="283"/>
              <w:jc w:val="left"/>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28" w:type="dxa"/>
          <w:right w:w="0" w:type="dxa"/>
        </w:tblCellMar>
      </w:tblPr>
      <w:tblGrid>
        <w:gridCol w:w="995"/>
        <w:gridCol w:w="65"/>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5"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7092d1_ex99-1.htm">
              <w:r>
                <w:rPr>
                  <w:rStyle w:val="InternetLink"/>
                  <w:rFonts w:ascii="Times New Roman;Times;Serif" w:hAnsi="Times New Roman;Times;Serif"/>
                  <w:sz w:val="20"/>
                </w:rPr>
                <w:t>99.1</w:t>
              </w:r>
            </w:hyperlink>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7092d1_ex99-1.htm">
              <w:r>
                <w:rPr>
                  <w:rStyle w:val="InternetLink"/>
                  <w:rFonts w:ascii="Times New Roman;Times;Serif" w:hAnsi="Times New Roman;Times;Serif"/>
                  <w:sz w:val="20"/>
                </w:rPr>
                <w:t>Press Release dated October 6,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7092d1_ex99-1.htm"/>
      <w:bookmarkStart w:id="25" w:name="kstm2627092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8575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5619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Announces Program Update from the Phase 3 FURVENT Trial of Firmonertinib in First-Line EGFR Exon 20 Insertion Mutant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October 6, 2026 (GLOBE NEWSWIRE) -- ArriVent BioPharma, Inc. (Company or ArriVent) (Nasdaq: AVBP), a clinical-stage company dedicated to accelerating the global development of innovative biopharmaceutical therapeutics, today announced that the FURVENT (NCT05607550) Phase 3 trial evaluating firmonertinib monotherapy in patients with previously untreated, locally advanced or metastatic non-squamous non-small cell lung cancer (NSCLC) harboring EGFR exon 20 insertion mutations did not meet its primary endpoint of progression free survival (PFS) by blinded independent central review (BICR). Clinical benefit was observed with secondary endpoints such as PFS by investigator’s assessment and confirmed objective response rate by BICR. Although not yet mature, a trend toward an improvement in overall survival was also observed.  The safety profile observed in FURVENT was consistent with previous clinical studies of firmonertinib, with no new safety signals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disappointing results are not what we hoped for, particularly for the patients with EGFR exon 20 insertion-mutant NSCLC who urgently need more effective treatment options,” said Bing Yao, Ph.D., Chairman, Chief Executive Officer of ArriVent. “While the safety profile observed with firmonertinib was consistent with previous clinical studies, FURVENT did not show a meaningful improvement in PFS over chemotherapy by BICR in this study. We are deeply grateful to the patients, investigators and clinical teams who made this program possible and are evaluating the full FURVENT dataset as we determine the most appropriate development path for firmonertinib.”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Results from the Phase 3 FURVENT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FURVENT key results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756"/>
        <w:gridCol w:w="1173"/>
        <w:gridCol w:w="1173"/>
        <w:gridCol w:w="864"/>
        <w:gridCol w:w="847"/>
        <w:gridCol w:w="781"/>
        <w:gridCol w:w="838"/>
        <w:gridCol w:w="918"/>
        <w:gridCol w:w="918"/>
        <w:gridCol w:w="937"/>
      </w:tblGrid>
      <w:tr>
        <w:trPr/>
        <w:tc>
          <w:tcPr>
            <w:tcW w:w="17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Firmonertinib </w:t>
              <w:br/>
              <w:t xml:space="preserve">240mg </w:t>
              <w:br/>
              <w:t xml:space="preserve">Median PFS </w:t>
              <w:br/>
              <w:t>(months)</w:t>
            </w:r>
          </w:p>
        </w:tc>
        <w:tc>
          <w:tcPr>
            <w:tcW w:w="11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Firmonertinib </w:t>
              <w:br/>
              <w:t xml:space="preserve">160mg </w:t>
              <w:br/>
              <w:t xml:space="preserve">Median PFS </w:t>
              <w:br/>
              <w:t>(months)</w:t>
            </w:r>
          </w:p>
        </w:tc>
        <w:tc>
          <w:tcPr>
            <w:tcW w:w="8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Control </w:t>
              <w:br/>
              <w:t xml:space="preserve">Median </w:t>
              <w:br/>
              <w:t xml:space="preserve">PFS </w:t>
              <w:br/>
              <w:t>(months)</w:t>
            </w:r>
          </w:p>
        </w:tc>
        <w:tc>
          <w:tcPr>
            <w:tcW w:w="84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p-value </w:t>
              <w:br/>
              <w:t xml:space="preserve">(240mg vs. </w:t>
              <w:br/>
              <w:t>control)</w:t>
            </w:r>
          </w:p>
        </w:tc>
        <w:tc>
          <w:tcPr>
            <w:tcW w:w="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HR (95% </w:t>
              <w:br/>
              <w:t>CI)</w:t>
              <w:br/>
              <w:t xml:space="preserve">240mg vs </w:t>
              <w:br/>
              <w:t>Control</w:t>
            </w:r>
          </w:p>
        </w:tc>
        <w:tc>
          <w:tcPr>
            <w:tcW w:w="83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HR (95% </w:t>
              <w:br/>
              <w:t>CI)</w:t>
              <w:br/>
              <w:t xml:space="preserve">160mg vs </w:t>
              <w:br/>
              <w:t>Control</w:t>
            </w:r>
          </w:p>
        </w:tc>
        <w:tc>
          <w:tcPr>
            <w:tcW w:w="9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Confirmed </w:t>
              <w:br/>
              <w:t xml:space="preserve">ORR </w:t>
              <w:br/>
              <w:t>240mg</w:t>
            </w:r>
          </w:p>
        </w:tc>
        <w:tc>
          <w:tcPr>
            <w:tcW w:w="9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Confirmed </w:t>
              <w:br/>
              <w:t xml:space="preserve">ORR </w:t>
              <w:br/>
              <w:t>160mg</w:t>
            </w:r>
          </w:p>
        </w:tc>
        <w:tc>
          <w:tcPr>
            <w:tcW w:w="9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Confirmed </w:t>
              <w:br/>
              <w:t xml:space="preserve">ORR </w:t>
              <w:br/>
              <w:t>control</w:t>
            </w:r>
          </w:p>
        </w:tc>
      </w:tr>
      <w:tr>
        <w:trPr/>
        <w:tc>
          <w:tcPr>
            <w:tcW w:w="17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BICR</w:t>
            </w:r>
          </w:p>
        </w:tc>
        <w:tc>
          <w:tcPr>
            <w:tcW w:w="11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months</w:t>
            </w:r>
          </w:p>
        </w:tc>
        <w:tc>
          <w:tcPr>
            <w:tcW w:w="11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months</w:t>
            </w:r>
          </w:p>
        </w:tc>
        <w:tc>
          <w:tcPr>
            <w:tcW w:w="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9.5 months </w:t>
            </w:r>
          </w:p>
        </w:tc>
        <w:tc>
          <w:tcPr>
            <w:tcW w:w="8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0.0654</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(0.55, </w:t>
              <w:br/>
              <w:t>1.02)</w:t>
            </w:r>
          </w:p>
        </w:tc>
        <w:tc>
          <w:tcPr>
            <w:tcW w:w="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(0.67, 1.25)</w:t>
            </w:r>
          </w:p>
        </w:tc>
        <w:tc>
          <w:tcPr>
            <w:tcW w:w="9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60% </w:t>
            </w:r>
          </w:p>
        </w:tc>
        <w:tc>
          <w:tcPr>
            <w:tcW w:w="9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35% </w:t>
            </w:r>
          </w:p>
        </w:tc>
        <w:tc>
          <w:tcPr>
            <w:tcW w:w="9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 </w:t>
            </w:r>
          </w:p>
        </w:tc>
      </w:tr>
      <w:tr>
        <w:trPr/>
        <w:tc>
          <w:tcPr>
            <w:tcW w:w="17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Investigator’s Assessment</w:t>
            </w:r>
          </w:p>
        </w:tc>
        <w:tc>
          <w:tcPr>
            <w:tcW w:w="11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months</w:t>
            </w:r>
          </w:p>
        </w:tc>
        <w:tc>
          <w:tcPr>
            <w:tcW w:w="11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months</w:t>
            </w:r>
          </w:p>
        </w:tc>
        <w:tc>
          <w:tcPr>
            <w:tcW w:w="8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7.1 </w:t>
              <w:br/>
              <w:t xml:space="preserve">months </w:t>
            </w:r>
          </w:p>
        </w:tc>
        <w:tc>
          <w:tcPr>
            <w:tcW w:w="8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(0.46, </w:t>
              <w:br/>
              <w:t>0.81)</w:t>
            </w:r>
          </w:p>
        </w:tc>
        <w:tc>
          <w:tcPr>
            <w:tcW w:w="8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(0.65, </w:t>
              <w:br/>
              <w:t>1.14)</w:t>
            </w:r>
          </w:p>
        </w:tc>
        <w:tc>
          <w:tcPr>
            <w:tcW w:w="9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61% </w:t>
            </w:r>
          </w:p>
        </w:tc>
        <w:tc>
          <w:tcPr>
            <w:tcW w:w="9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 </w:t>
            </w:r>
          </w:p>
        </w:tc>
        <w:tc>
          <w:tcPr>
            <w:tcW w:w="9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28%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profile observed in FURVENT was consistent with previous clinical studies of firmonertinib, with no new safety signals identified. Treatment-emergent adverse events (TEAE) Grade ≥ 3 were 52% with firmonertinib 240mg, 53% with firmonertinib 160mg, and 55% with the control arm. Treatment-related adverse events (TRAE) Grade ≥ 3 were 26% with firmonertinib 240mg, 22% with firmonertinib 160mg, and 40% with the control 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FURVENT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FURVENT (NCT05607550) is a global, pivotal 3 arm Phase 3 clinical trial of firmonertinib in first-line non-squamous locally advanced or metastatic NSCLC patients with exon 20 insertion mutations being conducted jointly with our partner Allist. The FURVENT clinical trial is designed to assess the safety and efficacy of firmonertinib administered at either 160 mg or 240 mg, once-daily with each dose being compared to platinum-based chemotherapy with pemetrexed, the current first-line standard of care. The primary endpoint of this study is PFS by BICR per RECIST 1.1. Secondary endpoints include overall survival (OS), PFS by investigator’s assessment, confirmed objective response rate by BICR, and in patients with brain metastases at baseline, brain-specific CNS overall response rate (CNS-ORR) and CNS-PFS by modified RECIST (mRECIST). The study enrolled 398 patients globally, including from sites in the United States, Europe and certain Asian countries including Japan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85750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Firmonertinib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an oral, highly brain-penetrant, and broadly active mutation-selective epidermal growth factor receptor (EGFR) inhibitor active against both classical and uncommon EGFR mutations, including PACC and exon 20 insertion mutations. Firmonertinib is approved in China for first-line advanced non-small-cell lung cancer (NSCLC) patients with EGFR exon 19 deletion or L858R mutations, with previously treated locally advanced or metastatic NSCLC with EGFR T790M mutation, both known as EGFR classical mutations, as well as for with exon 20 insertion mutations who have experienced disease progression during or after platinum-containing chemotherapy, or who are intolerant to platinum-containing chemotherapy.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currently being studied in a global Phase 3 trial for first-line NSCLC patients with EGFR exon 20 insertion mutations (FURVENT; NCT05607550) and in a global Phase 3 study in first line NSCLC patients with EGFR PACC mutations (ALPACCA; NCT07185997).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EGFR mutant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85750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75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business strategy, our plans, our evaluation of the full FURVENT dataset, and our determination of the appropriate development path for firmonertinib,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2025,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br/>
        <w:t>Joyce Allaire</w:t>
        <w:br/>
        <w:t>LifeSci Advisors, LLC</w:t>
        <w:b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1740</Words>
  <Characters>10072</Characters>
  <CharactersWithSpaces>11832</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