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46" w:lineRule="exact"/>
        <w:rPr>
          <w:sz w:val="24"/>
          <w:szCs w:val="24"/>
          <w:color w:val="auto"/>
        </w:rPr>
      </w:pPr>
    </w:p>
    <w:p>
      <w:pPr>
        <w:ind w:left="3200" w:right="1340" w:hanging="3192"/>
        <w:spacing w:after="0" w:line="353" w:lineRule="auto"/>
        <w:tabs>
          <w:tab w:leader="none" w:pos="33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20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9" w:lineRule="exact"/>
        <w:rPr>
          <w:sz w:val="24"/>
          <w:szCs w:val="24"/>
          <w:color w:val="auto"/>
        </w:rPr>
      </w:pPr>
    </w:p>
    <w:p>
      <w:pPr>
        <w:jc w:val="center"/>
        <w:ind w:right="-19"/>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001-41929</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ARRIVENT BIOPHARMA,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500" w:type="dxa"/>
        <w:tblCellMar>
          <w:top w:w="0" w:type="dxa"/>
          <w:left w:w="0" w:type="dxa"/>
          <w:bottom w:w="0" w:type="dxa"/>
          <w:right w:w="0" w:type="dxa"/>
        </w:tblCellMar>
      </w:tblPr>
      <w:tr>
        <w:trPr>
          <w:trHeight w:val="204"/>
        </w:trPr>
        <w:tc>
          <w:tcPr>
            <w:tcW w:w="486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86-3336099</w:t>
            </w:r>
          </w:p>
        </w:tc>
      </w:tr>
      <w:tr>
        <w:trPr>
          <w:trHeight w:val="210"/>
        </w:trPr>
        <w:tc>
          <w:tcPr>
            <w:tcW w:w="4860" w:type="dxa"/>
            <w:vAlign w:val="bottom"/>
          </w:tcPr>
          <w:p>
            <w:pPr>
              <w:jc w:val="center"/>
              <w:ind w:right="819"/>
              <w:spacing w:after="0"/>
              <w:rPr>
                <w:sz w:val="20"/>
                <w:szCs w:val="20"/>
                <w:color w:val="auto"/>
              </w:rPr>
            </w:pPr>
            <w:r>
              <w:rPr>
                <w:rFonts w:ascii="Times New Roman" w:cs="Times New Roman" w:eastAsia="Times New Roman" w:hAnsi="Times New Roman"/>
                <w:sz w:val="16"/>
                <w:szCs w:val="16"/>
                <w:color w:val="auto"/>
              </w:rPr>
              <w:t>(State of Other Jurisdiction of incorporation or Organization)</w:t>
            </w:r>
          </w:p>
        </w:tc>
        <w:tc>
          <w:tcPr>
            <w:tcW w:w="32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76"/>
        </w:trPr>
        <w:tc>
          <w:tcPr>
            <w:tcW w:w="4860" w:type="dxa"/>
            <w:vAlign w:val="bottom"/>
          </w:tcPr>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18 Campus Boulevard Suite 100, Newtown Square, PA</w:t>
            </w:r>
          </w:p>
        </w:tc>
        <w:tc>
          <w:tcPr>
            <w:tcW w:w="32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19073</w:t>
            </w:r>
          </w:p>
        </w:tc>
      </w:tr>
      <w:tr>
        <w:trPr>
          <w:trHeight w:val="210"/>
        </w:trPr>
        <w:tc>
          <w:tcPr>
            <w:tcW w:w="4860" w:type="dxa"/>
            <w:vAlign w:val="bottom"/>
          </w:tcPr>
          <w:p>
            <w:pPr>
              <w:jc w:val="center"/>
              <w:ind w:right="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(628) 277-4836</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60"/>
        </w:trPr>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20" w:type="dxa"/>
            <w:vAlign w:val="bottom"/>
            <w:gridSpan w:val="3"/>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178"/>
        </w:trPr>
        <w:tc>
          <w:tcPr>
            <w:tcW w:w="1020" w:type="dxa"/>
            <w:vAlign w:val="bottom"/>
          </w:tcPr>
          <w:p>
            <w:pPr>
              <w:spacing w:after="0"/>
              <w:rPr>
                <w:sz w:val="15"/>
                <w:szCs w:val="15"/>
                <w:color w:val="auto"/>
              </w:rPr>
            </w:pPr>
          </w:p>
        </w:tc>
        <w:tc>
          <w:tcPr>
            <w:tcW w:w="13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2000" w:type="dxa"/>
            <w:vAlign w:val="bottom"/>
          </w:tcPr>
          <w:p>
            <w:pPr>
              <w:spacing w:after="0"/>
              <w:rPr>
                <w:sz w:val="15"/>
                <w:szCs w:val="15"/>
                <w:color w:val="auto"/>
              </w:rPr>
            </w:pPr>
          </w:p>
        </w:tc>
        <w:tc>
          <w:tcPr>
            <w:tcW w:w="12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20" w:type="dxa"/>
            <w:vAlign w:val="bottom"/>
            <w:gridSpan w:val="3"/>
          </w:tcPr>
          <w:p>
            <w:pPr>
              <w:jc w:val="center"/>
              <w:ind w:left="1639"/>
              <w:spacing w:after="0" w:line="178" w:lineRule="exact"/>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
        </w:trPr>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4320" w:type="dxa"/>
            <w:vAlign w:val="bottom"/>
            <w:gridSpan w:val="3"/>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AVBP</w:t>
            </w:r>
          </w:p>
        </w:tc>
        <w:tc>
          <w:tcPr>
            <w:tcW w:w="3620" w:type="dxa"/>
            <w:vAlign w:val="bottom"/>
            <w:gridSpan w:val="3"/>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bl>
    <w:p>
      <w:pPr>
        <w:spacing w:after="0" w:line="60"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Accelerated filer</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number of outstanding shares of the registrant’s common stock as of November 12, 2024 was 33,697,161.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106045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60" w:right="119" w:firstLine="36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that involve risks and uncertainties. All statements other than statements of historical facts contained in this Quarterly Report,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60" w:right="199" w:firstLine="36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0" w:lineRule="exact"/>
        <w:rPr>
          <w:sz w:val="20"/>
          <w:szCs w:val="20"/>
          <w:color w:val="auto"/>
        </w:rPr>
      </w:pPr>
    </w:p>
    <w:p>
      <w:pPr>
        <w:ind w:left="720" w:right="1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firmonertinib (rINN; also known as furmonertinib) or any of our other current or future product candidates, including our product development plans and strategies;</w:t>
      </w:r>
    </w:p>
    <w:p>
      <w:pPr>
        <w:spacing w:after="0" w:line="175"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future revenue, key performance indicators, expenses, capital requirements and our needs for additional financing;</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 and approvals;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 candidates and technology;</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sufficient clinical product for our clinical trials and, if our product candidates are approved and commercialized, commercial product;</w:t>
      </w:r>
    </w:p>
    <w:p>
      <w:pPr>
        <w:spacing w:after="0" w:line="16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health epidemics and outbreaks, including the novel coronavirus (COVID-19), on our business;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“Risk Factors” section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9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In addition, statements that “we believe” and similar statements reflect our beliefs and opinions on the relevant subject and are based on information available to us as of the date of this Quarterly Report. Although we believe such information forms a reasonable basis for the expectations reflected in the forward-looking statements, such information may be limited or incomplete, and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new information, actual results or to changes in our expectations, except as required by law.</w:t>
      </w:r>
    </w:p>
    <w:p>
      <w:pPr>
        <w:spacing w:after="0" w:line="19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with the Securities and Exchange Commission as exhibits to this Quarterly Report with the understanding that our actual future results, levels of activity, performance, and events and circumstances may be materially different from what we expect.</w:t>
      </w:r>
    </w:p>
    <w:p>
      <w:pPr>
        <w:spacing w:after="0" w:line="180"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contains references to our trademarks and to trademarks belonging to other entities. Solely for convenience, trademarks and trade names referred to in this Quarterly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8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tcPr>
          <w:p>
            <w:pPr>
              <w:spacing w:after="0"/>
              <w:rPr>
                <w:sz w:val="20"/>
                <w:szCs w:val="20"/>
                <w:color w:val="auto"/>
              </w:rPr>
            </w:pPr>
          </w:p>
        </w:tc>
      </w:tr>
      <w:tr>
        <w:trPr>
          <w:trHeight w:val="44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tcBorders>
              <w:bottom w:val="single" w:sz="8" w:color="0000EE"/>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1440" w:type="dxa"/>
            <w:vAlign w:val="bottom"/>
            <w:gridSpan w:val="2"/>
          </w:tcPr>
          <w:p>
            <w:pPr>
              <w:spacing w:after="0"/>
              <w:rPr>
                <w:sz w:val="24"/>
                <w:szCs w:val="24"/>
                <w:color w:val="auto"/>
              </w:rPr>
            </w:pPr>
          </w:p>
        </w:tc>
        <w:tc>
          <w:tcPr>
            <w:tcW w:w="1680" w:type="dxa"/>
            <w:vAlign w:val="bottom"/>
          </w:tcPr>
          <w:p>
            <w:pPr>
              <w:spacing w:after="0"/>
              <w:rPr>
                <w:sz w:val="24"/>
                <w:szCs w:val="24"/>
                <w:color w:val="auto"/>
              </w:rPr>
            </w:pP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4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Balance Sheets</w:t>
            </w:r>
          </w:p>
        </w:tc>
        <w:tc>
          <w:tcPr>
            <w:tcW w:w="1380" w:type="dxa"/>
            <w:vAlign w:val="bottom"/>
            <w:tcBorders>
              <w:top w:val="single" w:sz="8" w:color="0000EE"/>
            </w:tcBorders>
            <w:gridSpan w:val="7"/>
          </w:tcPr>
          <w:p>
            <w:pPr>
              <w:spacing w:after="0"/>
              <w:rPr>
                <w:sz w:val="17"/>
                <w:szCs w:val="17"/>
                <w:color w:val="auto"/>
              </w:rPr>
            </w:pPr>
          </w:p>
        </w:tc>
        <w:tc>
          <w:tcPr>
            <w:tcW w:w="3980" w:type="dxa"/>
            <w:vAlign w:val="bottom"/>
            <w:gridSpan w:val="6"/>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Convertible Preferred Stock and Stockholders’ Equity (Deficit)</w:t>
            </w:r>
          </w:p>
        </w:tc>
        <w:tc>
          <w:tcPr>
            <w:tcW w:w="86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w:t>
            </w:r>
          </w:p>
        </w:tc>
        <w:tc>
          <w:tcPr>
            <w:tcW w:w="4580" w:type="dxa"/>
            <w:vAlign w:val="bottom"/>
            <w:gridSpan w:val="9"/>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Interim Financial Statements</w:t>
            </w:r>
          </w:p>
        </w:tc>
        <w:tc>
          <w:tcPr>
            <w:tcW w:w="3720" w:type="dxa"/>
            <w:vAlign w:val="bottom"/>
            <w:gridSpan w:val="5"/>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41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40" w:type="dxa"/>
            <w:vAlign w:val="bottom"/>
            <w:gridSpan w:val="8"/>
          </w:tcPr>
          <w:p>
            <w:pPr>
              <w:jc w:val="center"/>
              <w:ind w:right="160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1680" w:type="dxa"/>
            <w:vAlign w:val="bottom"/>
          </w:tcPr>
          <w:p>
            <w:pPr>
              <w:spacing w:after="0"/>
              <w:rPr>
                <w:sz w:val="24"/>
                <w:szCs w:val="24"/>
                <w:color w:val="auto"/>
              </w:rPr>
            </w:pP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940" w:type="dxa"/>
            <w:vAlign w:val="bottom"/>
            <w:tcBorders>
              <w:top w:val="single" w:sz="8" w:color="0000EE"/>
            </w:tcBorders>
            <w:gridSpan w:val="5"/>
          </w:tcPr>
          <w:p>
            <w:pPr>
              <w:spacing w:after="0"/>
              <w:rPr>
                <w:sz w:val="24"/>
                <w:szCs w:val="24"/>
                <w:color w:val="auto"/>
              </w:rPr>
            </w:pPr>
          </w:p>
        </w:tc>
        <w:tc>
          <w:tcPr>
            <w:tcW w:w="160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4660" w:type="dxa"/>
            <w:vAlign w:val="bottom"/>
            <w:gridSpan w:val="1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140" w:type="dxa"/>
            <w:vAlign w:val="bottom"/>
            <w:gridSpan w:val="1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 operating leases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292,711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163,098</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amount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150,000,000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150,000,000 shares issued and outstanding at December 31, 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$0.0001 par value, 147,619,034 shares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147,619,034 shares issued and outstanding at December 31, 2023</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154,625</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33,694,355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2,745,480 shares issued and outstanding at September 30, 2024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277,493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(153,193)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292,711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163,098</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28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CCEEFF"/>
            </w:tcBorders>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20,088</w:t>
            </w: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58,841</w:t>
            </w:r>
          </w:p>
        </w:tc>
        <w:tc>
          <w:tcPr>
            <w:tcW w:w="4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20" w:type="dxa"/>
            <w:vAlign w:val="bottom"/>
          </w:tcPr>
          <w:p>
            <w:pPr>
              <w:spacing w:after="0"/>
              <w:rPr>
                <w:sz w:val="18"/>
                <w:szCs w:val="18"/>
                <w:color w:val="auto"/>
              </w:rPr>
            </w:pPr>
          </w:p>
        </w:tc>
      </w:tr>
      <w:tr>
        <w:trPr>
          <w:trHeight w:val="216"/>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20" w:type="dxa"/>
            <w:vAlign w:val="bottom"/>
            <w:shd w:val="clear" w:color="auto" w:fill="CCEEFF"/>
          </w:tcPr>
          <w:p>
            <w:pPr>
              <w:spacing w:after="0"/>
              <w:rPr>
                <w:sz w:val="18"/>
                <w:szCs w:val="18"/>
                <w:color w:val="auto"/>
              </w:rPr>
            </w:pPr>
          </w:p>
        </w:tc>
      </w:tr>
      <w:tr>
        <w:trPr>
          <w:trHeight w:val="210"/>
        </w:trPr>
        <w:tc>
          <w:tcPr>
            <w:tcW w:w="3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51,472</w:t>
            </w:r>
          </w:p>
        </w:tc>
        <w:tc>
          <w:tcPr>
            <w:tcW w:w="20" w:type="dxa"/>
            <w:vAlign w:val="bottom"/>
            <w:tcBorders>
              <w:bottom w:val="single" w:sz="8" w:color="CCEEFF"/>
            </w:tcBorders>
          </w:tcPr>
          <w:p>
            <w:pPr>
              <w:spacing w:after="0"/>
              <w:rPr>
                <w:sz w:val="18"/>
                <w:szCs w:val="18"/>
                <w:color w:val="auto"/>
              </w:rPr>
            </w:pPr>
          </w:p>
        </w:tc>
      </w:tr>
      <w:tr>
        <w:trPr>
          <w:trHeight w:val="209"/>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(16,716)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(51,472)</w:t>
            </w:r>
          </w:p>
        </w:tc>
        <w:tc>
          <w:tcPr>
            <w:tcW w:w="20" w:type="dxa"/>
            <w:vAlign w:val="bottom"/>
            <w:shd w:val="clear" w:color="auto" w:fill="CCEEFF"/>
          </w:tcPr>
          <w:p>
            <w:pPr>
              <w:spacing w:after="0"/>
              <w:rPr>
                <w:sz w:val="18"/>
                <w:szCs w:val="18"/>
                <w:color w:val="auto"/>
              </w:rPr>
            </w:pPr>
          </w:p>
        </w:tc>
      </w:tr>
      <w:tr>
        <w:trPr>
          <w:trHeight w:val="216"/>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0" w:type="dxa"/>
            <w:vAlign w:val="bottom"/>
            <w:tcBorders>
              <w:bottom w:val="single" w:sz="8" w:color="CCEEFF"/>
            </w:tcBorders>
          </w:tcPr>
          <w:p>
            <w:pPr>
              <w:spacing w:after="0"/>
              <w:rPr>
                <w:sz w:val="18"/>
                <w:szCs w:val="18"/>
                <w:color w:val="auto"/>
              </w:rPr>
            </w:pPr>
          </w:p>
        </w:tc>
      </w:tr>
      <w:tr>
        <w:trPr>
          <w:trHeight w:val="21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(14,401)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(59,855)</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(48,140)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513" w:right="1440" w:bottom="1440" w:gutter="0" w:footer="0" w:header="0"/>
        </w:sectPr>
      </w:pPr>
    </w:p>
    <w:p>
      <w:pPr>
        <w:ind w:left="60"/>
        <w:spacing w:after="0"/>
        <w:rPr>
          <w:sz w:val="20"/>
          <w:szCs w:val="20"/>
          <w:color w:val="auto"/>
        </w:rPr>
      </w:pPr>
      <w:r>
        <w:rPr>
          <w:rFonts w:ascii="Times New Roman" w:cs="Times New Roman" w:eastAsia="Times New Roman" w:hAnsi="Times New Roman"/>
          <w:sz w:val="18"/>
          <w:szCs w:val="18"/>
          <w:color w:val="auto"/>
        </w:rPr>
        <w:t>Share information:</w:t>
      </w:r>
    </w:p>
    <w:p>
      <w:pPr>
        <w:spacing w:after="0" w:line="27" w:lineRule="exact"/>
        <w:rPr>
          <w:sz w:val="20"/>
          <w:szCs w:val="20"/>
          <w:color w:val="auto"/>
        </w:rPr>
      </w:pPr>
    </w:p>
    <w:p>
      <w:pPr>
        <w:ind w:left="60" w:right="20"/>
        <w:spacing w:after="0" w:line="250" w:lineRule="auto"/>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p>
      <w:pPr>
        <w:spacing w:after="0" w:line="1" w:lineRule="exact"/>
        <w:rPr>
          <w:sz w:val="20"/>
          <w:szCs w:val="20"/>
          <w:color w:val="auto"/>
        </w:rPr>
      </w:pPr>
    </w:p>
    <w:p>
      <w:pPr>
        <w:ind w:left="60"/>
        <w:spacing w:after="0" w:line="260" w:lineRule="auto"/>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tabs>
          <w:tab w:leader="none" w:pos="560" w:val="left"/>
          <w:tab w:leader="none" w:pos="1160" w:val="left"/>
          <w:tab w:leader="none" w:pos="1640" w:val="left"/>
          <w:tab w:leader="none" w:pos="2240" w:val="left"/>
          <w:tab w:leader="none" w:pos="2820" w:val="left"/>
          <w:tab w:leader="none" w:pos="3400" w:val="left"/>
          <w:tab w:leader="none" w:pos="3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(0.61)</w:t>
        <w:tab/>
        <w:t>$</w:t>
      </w:r>
      <w:r>
        <w:rPr>
          <w:sz w:val="20"/>
          <w:szCs w:val="20"/>
          <w:color w:val="auto"/>
        </w:rPr>
        <w:tab/>
      </w:r>
      <w:r>
        <w:rPr>
          <w:rFonts w:ascii="Times New Roman" w:cs="Times New Roman" w:eastAsia="Times New Roman" w:hAnsi="Times New Roman"/>
          <w:sz w:val="18"/>
          <w:szCs w:val="18"/>
          <w:color w:val="auto"/>
        </w:rPr>
        <w:t>(5.52)</w:t>
        <w:tab/>
        <w:t>$</w:t>
      </w:r>
      <w:r>
        <w:rPr>
          <w:sz w:val="20"/>
          <w:szCs w:val="20"/>
          <w:color w:val="auto"/>
        </w:rPr>
        <w:tab/>
      </w: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7"/>
          <w:szCs w:val="17"/>
          <w:u w:val="single" w:color="auto"/>
          <w:color w:val="auto"/>
        </w:rPr>
        <w:t>(24.69)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-384810</wp:posOffset>
            </wp:positionV>
            <wp:extent cx="56489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17145</wp:posOffset>
            </wp:positionV>
            <wp:extent cx="564896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282575"/>
                    </a:xfrm>
                    <a:prstGeom prst="rect">
                      <a:avLst/>
                    </a:prstGeom>
                    <a:noFill/>
                  </pic:spPr>
                </pic:pic>
              </a:graphicData>
            </a:graphic>
          </wp:anchor>
        </w:drawing>
      </w:r>
    </w:p>
    <w:p>
      <w:pPr>
        <w:spacing w:after="0" w:line="205" w:lineRule="exact"/>
        <w:rPr>
          <w:sz w:val="20"/>
          <w:szCs w:val="20"/>
          <w:color w:val="auto"/>
        </w:rPr>
      </w:pPr>
    </w:p>
    <w:p>
      <w:pPr>
        <w:ind w:left="160"/>
        <w:spacing w:after="0"/>
        <w:tabs>
          <w:tab w:leader="none" w:pos="1300" w:val="left"/>
          <w:tab w:leader="none" w:pos="2400" w:val="left"/>
          <w:tab w:leader="none" w:pos="3560" w:val="left"/>
        </w:tabs>
        <w:rPr>
          <w:sz w:val="20"/>
          <w:szCs w:val="20"/>
          <w:color w:val="auto"/>
        </w:rPr>
      </w:pPr>
      <w:r>
        <w:rPr>
          <w:rFonts w:ascii="Times New Roman" w:cs="Times New Roman" w:eastAsia="Times New Roman" w:hAnsi="Times New Roman"/>
          <w:sz w:val="18"/>
          <w:szCs w:val="18"/>
          <w:color w:val="auto"/>
        </w:rPr>
        <w:t>33,581,810</w:t>
      </w:r>
      <w:r>
        <w:rPr>
          <w:sz w:val="20"/>
          <w:szCs w:val="20"/>
          <w:color w:val="auto"/>
        </w:rPr>
        <w:tab/>
      </w:r>
      <w:r>
        <w:rPr>
          <w:rFonts w:ascii="Times New Roman" w:cs="Times New Roman" w:eastAsia="Times New Roman" w:hAnsi="Times New Roman"/>
          <w:sz w:val="18"/>
          <w:szCs w:val="18"/>
          <w:color w:val="auto"/>
        </w:rPr>
        <w:t>2,607,192</w:t>
      </w:r>
      <w:r>
        <w:rPr>
          <w:sz w:val="20"/>
          <w:szCs w:val="20"/>
          <w:color w:val="auto"/>
        </w:rPr>
        <w:tab/>
      </w:r>
      <w:r>
        <w:rPr>
          <w:rFonts w:ascii="Times New Roman" w:cs="Times New Roman" w:eastAsia="Times New Roman" w:hAnsi="Times New Roman"/>
          <w:sz w:val="18"/>
          <w:szCs w:val="18"/>
          <w:color w:val="auto"/>
        </w:rPr>
        <w:t>30,720,711</w:t>
      </w:r>
      <w:r>
        <w:rPr>
          <w:sz w:val="20"/>
          <w:szCs w:val="20"/>
          <w:color w:val="auto"/>
        </w:rPr>
        <w:tab/>
      </w:r>
      <w:r>
        <w:rPr>
          <w:rFonts w:ascii="Times New Roman" w:cs="Times New Roman" w:eastAsia="Times New Roman" w:hAnsi="Times New Roman"/>
          <w:sz w:val="18"/>
          <w:szCs w:val="18"/>
          <w:color w:val="auto"/>
        </w:rPr>
        <w:t>1,949,597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2768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4080" w:space="500"/>
            <w:col w:w="4439"/>
          </w:cols>
          <w:pgMar w:left="1440" w:top="513" w:right="1440"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20" w:type="dxa"/>
            <w:vAlign w:val="bottom"/>
            <w:gridSpan w:val="4"/>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12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3"/>
                <w:szCs w:val="3"/>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8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8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0" w:type="dxa"/>
            <w:vAlign w:val="bottom"/>
            <w:shd w:val="clear" w:color="auto" w:fill="000000"/>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7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January</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147,619,034</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154,625</w:t>
            </w:r>
          </w:p>
        </w:tc>
        <w:tc>
          <w:tcPr>
            <w:tcW w:w="20" w:type="dxa"/>
            <w:vAlign w:val="bottom"/>
            <w:shd w:val="clear" w:color="auto" w:fill="000000"/>
          </w:tcPr>
          <w:p>
            <w:pPr>
              <w:spacing w:after="0"/>
              <w:rPr>
                <w:sz w:val="9"/>
                <w:szCs w:val="9"/>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2,745,480</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(157,845)</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1, 2024</w:t>
            </w:r>
          </w:p>
        </w:tc>
        <w:tc>
          <w:tcPr>
            <w:tcW w:w="88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tcBorders>
              <w:left w:val="single" w:sz="8" w:color="CCEEFF"/>
            </w:tcBorders>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 initial public</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offering, net of</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costs of</w:t>
            </w:r>
          </w:p>
        </w:tc>
        <w:tc>
          <w:tcPr>
            <w:tcW w:w="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11,180,555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183,216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183,217</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$18,032</w:t>
            </w: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w:t>
            </w: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into common</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(147,619,034)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(154,625)</w:t>
            </w: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19,567,306</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304,488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304,490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w:t>
            </w: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tcBorders>
              <w:lef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tcBorders>
              <w:lef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(17,417)</w:t>
            </w: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March</w:t>
            </w:r>
          </w:p>
        </w:tc>
        <w:tc>
          <w:tcPr>
            <w:tcW w:w="4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33,493,750</w:t>
            </w: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492,982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(175,262)</w:t>
            </w:r>
          </w:p>
        </w:tc>
        <w:tc>
          <w:tcPr>
            <w:tcW w:w="140" w:type="dxa"/>
            <w:vAlign w:val="bottom"/>
            <w:vMerge w:val="restart"/>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31, 2024</w:t>
            </w:r>
          </w:p>
        </w:tc>
        <w:tc>
          <w:tcPr>
            <w:tcW w:w="40" w:type="dxa"/>
            <w:vAlign w:val="bottom"/>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740" w:type="dxa"/>
            <w:vAlign w:val="bottom"/>
            <w:tcBorders>
              <w:left w:val="single" w:sz="8" w:color="CCEEFF"/>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Exercise of</w:t>
            </w:r>
          </w:p>
        </w:tc>
        <w:tc>
          <w:tcPr>
            <w:tcW w:w="4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15,340</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9"/>
                <w:szCs w:val="9"/>
                <w:color w:val="auto"/>
              </w:rPr>
            </w:pP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tcBorders>
              <w:lef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(21,874)</w:t>
            </w: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June</w:t>
            </w:r>
          </w:p>
        </w:tc>
        <w:tc>
          <w:tcPr>
            <w:tcW w:w="4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33,509,090</w:t>
            </w: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493,792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(197,136)</w:t>
            </w:r>
          </w:p>
        </w:tc>
        <w:tc>
          <w:tcPr>
            <w:tcW w:w="140" w:type="dxa"/>
            <w:vAlign w:val="bottom"/>
            <w:vMerge w:val="restart"/>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30, 2024</w:t>
            </w:r>
          </w:p>
        </w:tc>
        <w:tc>
          <w:tcPr>
            <w:tcW w:w="40" w:type="dxa"/>
            <w:vAlign w:val="bottom"/>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740" w:type="dxa"/>
            <w:vAlign w:val="bottom"/>
            <w:tcBorders>
              <w:left w:val="single" w:sz="8" w:color="CCEEFF"/>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Exercise of</w:t>
            </w:r>
          </w:p>
        </w:tc>
        <w:tc>
          <w:tcPr>
            <w:tcW w:w="4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185,265</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9"/>
                <w:szCs w:val="9"/>
                <w:color w:val="auto"/>
              </w:rPr>
            </w:pP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tcBorders>
              <w:lef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(20,564)</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(20,564)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4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740" w:type="dxa"/>
            <w:vAlign w:val="bottom"/>
            <w:tcBorders>
              <w:top w:val="single" w:sz="8" w:color="auto"/>
              <w:left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33,694,355</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495,190</w:t>
            </w:r>
          </w:p>
        </w:tc>
        <w:tc>
          <w:tcPr>
            <w:tcW w:w="8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(217,700)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$ 277,493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2024</w:t>
            </w:r>
          </w:p>
        </w:tc>
        <w:tc>
          <w:tcPr>
            <w:tcW w:w="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66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40" w:type="dxa"/>
            <w:vAlign w:val="bottom"/>
            <w:tcBorders>
              <w:left w:val="single" w:sz="8" w:color="CCEEFF"/>
            </w:tcBorders>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gridSpan w:val="4"/>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40" w:type="dxa"/>
            <w:vAlign w:val="bottom"/>
          </w:tcPr>
          <w:p>
            <w:pPr>
              <w:spacing w:after="0"/>
              <w:rPr>
                <w:sz w:val="3"/>
                <w:szCs w:val="3"/>
                <w:color w:val="auto"/>
              </w:rPr>
            </w:pPr>
          </w:p>
        </w:tc>
        <w:tc>
          <w:tcPr>
            <w:tcW w:w="170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60" w:type="dxa"/>
            <w:vAlign w:val="bottom"/>
          </w:tcPr>
          <w:p>
            <w:pPr>
              <w:spacing w:after="0"/>
              <w:rPr>
                <w:sz w:val="3"/>
                <w:szCs w:val="3"/>
                <w:color w:val="auto"/>
              </w:rPr>
            </w:pPr>
          </w:p>
        </w:tc>
        <w:tc>
          <w:tcPr>
            <w:tcW w:w="21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   Subscriptions</w:t>
            </w:r>
          </w:p>
        </w:tc>
        <w:tc>
          <w:tcPr>
            <w:tcW w:w="8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vMerge w:val="continue"/>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2140" w:type="dxa"/>
            <w:vAlign w:val="bottom"/>
            <w:gridSpan w:val="6"/>
            <w:vMerge w:val="continue"/>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60" w:type="dxa"/>
            <w:vAlign w:val="bottom"/>
            <w:tcBorders>
              <w:left w:val="single" w:sz="8" w:color="auto"/>
            </w:tcBorders>
          </w:tcPr>
          <w:p>
            <w:pPr>
              <w:spacing w:after="0"/>
              <w:rPr>
                <w:sz w:val="15"/>
                <w:szCs w:val="15"/>
                <w:color w:val="auto"/>
              </w:rPr>
            </w:pPr>
          </w:p>
        </w:tc>
        <w:tc>
          <w:tcPr>
            <w:tcW w:w="2140" w:type="dxa"/>
            <w:vAlign w:val="bottom"/>
            <w:gridSpan w:val="6"/>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left w:val="single" w:sz="8" w:color="auto"/>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98"/>
              </w:rPr>
              <w:t>receivable</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January</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104,761,894</w:t>
            </w: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109,706</w:t>
            </w:r>
          </w:p>
        </w:tc>
        <w:tc>
          <w:tcPr>
            <w:tcW w:w="68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2,597,738</w:t>
            </w:r>
          </w:p>
        </w:tc>
        <w:tc>
          <w:tcPr>
            <w:tcW w:w="3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8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(88,512)</w:t>
            </w:r>
          </w:p>
        </w:tc>
        <w:tc>
          <w:tcPr>
            <w:tcW w:w="14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1, 2023</w:t>
            </w:r>
          </w:p>
        </w:tc>
        <w:tc>
          <w:tcPr>
            <w:tcW w:w="88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680" w:type="dxa"/>
            <w:vAlign w:val="bottom"/>
            <w:tcBorders>
              <w:left w:val="single" w:sz="8" w:color="auto"/>
            </w:tcBorders>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Series B</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preferred stock at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$1.05 per share,</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of issuance</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42,857,140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44,943</w:t>
            </w:r>
          </w:p>
        </w:tc>
        <w:tc>
          <w:tcPr>
            <w:tcW w:w="60" w:type="dxa"/>
            <w:vAlign w:val="bottom"/>
            <w:tcBorders>
              <w:lef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 of $57</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Borders>
              <w:left w:val="single" w:sz="8" w:color="auto"/>
            </w:tcBorders>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stock</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11,417</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680" w:type="dxa"/>
            <w:vAlign w:val="bottom"/>
            <w:tcBorders>
              <w:lef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Borders>
              <w:left w:val="single" w:sz="8" w:color="auto"/>
            </w:tcBorders>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(12,172)</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Balance, March</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147,619,034</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154,649</w:t>
            </w:r>
          </w:p>
        </w:tc>
        <w:tc>
          <w:tcPr>
            <w:tcW w:w="680" w:type="dxa"/>
            <w:vAlign w:val="bottom"/>
            <w:tcBorders>
              <w:lef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2,609,155</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(100,684)</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(97,089)</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31, 2023</w:t>
            </w: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Borders>
              <w:lef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Issuance costs of</w:t>
            </w:r>
          </w:p>
        </w:tc>
        <w:tc>
          <w:tcPr>
            <w:tcW w:w="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right w:val="single" w:sz="8" w:color="CCEEFF"/>
            </w:tcBorders>
            <w:shd w:val="clear" w:color="auto" w:fill="CCEEFF"/>
          </w:tcPr>
          <w:p>
            <w:pPr>
              <w:spacing w:after="0"/>
              <w:rPr>
                <w:sz w:val="9"/>
                <w:szCs w:val="9"/>
                <w:color w:val="auto"/>
              </w:rPr>
            </w:pPr>
          </w:p>
        </w:tc>
        <w:tc>
          <w:tcPr>
            <w:tcW w:w="60" w:type="dxa"/>
            <w:vAlign w:val="bottom"/>
            <w:tcBorders>
              <w:top w:val="single" w:sz="8" w:color="CCEEFF"/>
              <w:lef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Series B</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6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Borders>
              <w:left w:val="single" w:sz="8" w:color="auto"/>
            </w:tcBorders>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60" w:type="dxa"/>
            <w:vAlign w:val="bottom"/>
            <w:tcBorders>
              <w:left w:val="single" w:sz="8" w:color="auto"/>
            </w:tcBorders>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Repurchase of</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lef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(7,387)</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Borders>
              <w:lef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stock</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680" w:type="dxa"/>
            <w:vAlign w:val="bottom"/>
            <w:tcBorders>
              <w:lef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Borders>
              <w:left w:val="single" w:sz="8" w:color="auto"/>
            </w:tcBorders>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(21,567)</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(21,567)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Balance, June</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147,619,034</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154,625</w:t>
            </w:r>
          </w:p>
        </w:tc>
        <w:tc>
          <w:tcPr>
            <w:tcW w:w="680" w:type="dxa"/>
            <w:vAlign w:val="bottom"/>
            <w:tcBorders>
              <w:lef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2,603,415</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(122,251)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(118,459)</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30, 2023</w:t>
            </w: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Borders>
              <w:lef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Exercise of stock</w:t>
            </w:r>
          </w:p>
        </w:tc>
        <w:tc>
          <w:tcPr>
            <w:tcW w:w="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left w:val="single" w:sz="8" w:color="auto"/>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63,714</w:t>
            </w:r>
          </w:p>
        </w:tc>
        <w:tc>
          <w:tcPr>
            <w:tcW w:w="1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60" w:type="dxa"/>
            <w:vAlign w:val="bottom"/>
            <w:tcBorders>
              <w:left w:val="single" w:sz="8" w:color="auto"/>
            </w:tcBorders>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Borders>
              <w:left w:val="single" w:sz="8" w:color="auto"/>
            </w:tcBorders>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0" w:type="dxa"/>
            <w:vAlign w:val="bottom"/>
            <w:tcBorders>
              <w:left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147,619,034</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154,625</w:t>
            </w:r>
          </w:p>
        </w:tc>
        <w:tc>
          <w:tcPr>
            <w:tcW w:w="680" w:type="dxa"/>
            <w:vAlign w:val="bottom"/>
            <w:tcBorders>
              <w:lef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2,667,129</w:t>
            </w: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80" w:type="dxa"/>
            <w:vAlign w:val="bottom"/>
          </w:tcPr>
          <w:p>
            <w:pPr>
              <w:spacing w:after="0"/>
              <w:rPr>
                <w:sz w:val="12"/>
                <w:szCs w:val="12"/>
                <w:color w:val="auto"/>
              </w:rPr>
            </w:pP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(136,652)</w:t>
            </w:r>
          </w:p>
        </w:tc>
        <w:tc>
          <w:tcPr>
            <w:tcW w:w="1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(132,604)</w:t>
            </w:r>
          </w:p>
        </w:tc>
        <w:tc>
          <w:tcPr>
            <w:tcW w:w="0" w:type="dxa"/>
            <w:vAlign w:val="bottom"/>
          </w:tcPr>
          <w:p>
            <w:pPr>
              <w:spacing w:after="0"/>
              <w:rPr>
                <w:sz w:val="1"/>
                <w:szCs w:val="1"/>
                <w:color w:val="auto"/>
              </w:rPr>
            </w:pPr>
          </w:p>
        </w:tc>
      </w:tr>
      <w:tr>
        <w:trPr>
          <w:trHeight w:val="158"/>
        </w:trPr>
        <w:tc>
          <w:tcPr>
            <w:tcW w:w="110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2023</w:t>
            </w:r>
          </w:p>
        </w:tc>
        <w:tc>
          <w:tcPr>
            <w:tcW w:w="88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80" w:type="dxa"/>
            <w:vAlign w:val="bottom"/>
            <w:tcBorders>
              <w:left w:val="single" w:sz="8" w:color="auto"/>
            </w:tcBorders>
            <w:gridSpan w:val="2"/>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3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(59,855)</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in an initial public offering, net of issuance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the sale of Series B convertible preferred stock, net of issuance costs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186,526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282,855</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141,359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in accounts payable</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transferred to additional paid in capital</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firmonertinib or any of its derivatives as an active ingredient, for all uses, in all countries and territories other than greater China, which includes mainland China, Hong Kong, Macau and Taiwan (See Note 9). The Company’s lead development candidate, firmonertinib, is a third-generation tyrosine kinase inhibitor currently being evaluated in multiple clinical trials across a range of epidermal growth factor receptor (“EGFR”) mutations in non-small cell lung cancer, many for which there are limited treatment options.</w:t>
      </w:r>
    </w:p>
    <w:p>
      <w:pPr>
        <w:spacing w:after="0" w:line="194"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January 30, 2024, the Company completed the closing of its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The Company received net proceeds of $183.2 million, after deducting underwriting discounts and commissions and other offering expenses. In addition, as a result of the closing of the Company’s initial public offering, the Company’s Series A and Series B convertible preferred stock converted into 19,567,306 shares of common stock in January 2024.</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Development-Stage Risks and Liquidity</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Company has incurred losses since inception and has an accumulated deficit of $217.7 million as of September 30, 2024. The Company anticipates incurring additional losses until such time, if ever, that it can generate significant sales from its product candidates currently in development. Management believes that cash and cash equivalents of $282.9 million as of September 30, 2024 are sufficient to sustain planned operations through at least twelve months from the issuance date of these financial statements.</w:t>
      </w:r>
    </w:p>
    <w:p>
      <w:pPr>
        <w:spacing w:after="0" w:line="18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those risks associated with any specialty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summary of significant accounting policies included in the Company’s Annual Report on Form 10-K for the year ended December 31, 2023, filed with the Securities and Exchange Commission on March 28, 2024 (the “Annual Report”) has not materially changed, except as set forth below.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Interim Financial Statements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In the opinion of management, the accompanying interim financial statements include all the normal and recurring adjustments (which consist primarily of accruals, estimates, and assumptions that impact financial statements) considered necessary to present fairly the Company’s financial position as of September 30, 2024 and its results of operations for the three and nine months ended September 30, 2024 and 2023. Certain information and disclosures normally included in the annual financial statements prepared in accordance with GAAP, but that is not required for interim reporting purposes, have been condensed or omitted. These interim financial statements should be read in conjunction with the audited financial statements and related notes as of and for the year ended December 31, 2023, which are included in the Annual Report. The December 31, 2023 balance sheet has been derived from the audited financial statements. The results of operations for the interim periods are not necessarily indicative of the results to be expected for a full year, any other interim periods or any future year or period.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p>
    <w:p>
      <w:pPr>
        <w:spacing w:after="0" w:line="18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Significant areas that require management’s estimates include the fair value of the Company’s common stock prior to the completion of the Company’s initial public offering, stock-based compensation expense assumptions and accrued research and development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  Fair Value Measurements</w:t>
      </w:r>
    </w:p>
    <w:p>
      <w:pPr>
        <w:spacing w:after="0" w:line="229" w:lineRule="exact"/>
        <w:rPr>
          <w:sz w:val="20"/>
          <w:szCs w:val="20"/>
          <w:color w:val="auto"/>
        </w:rPr>
      </w:pPr>
    </w:p>
    <w:p>
      <w:pPr>
        <w:ind w:left="60" w:right="499"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ind w:left="720" w:right="53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Management believes that the carrying amounts of the Company’s financial instruments, principally cash equivalents and accounts payable, approximate fair value due to the short-term nature of those instruments.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 Net Loss per Share</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jc w:val="both"/>
        <w:ind w:left="60" w:right="139"/>
        <w:spacing w:after="0" w:line="277" w:lineRule="auto"/>
        <w:rPr>
          <w:sz w:val="20"/>
          <w:szCs w:val="20"/>
          <w:color w:val="auto"/>
        </w:rPr>
      </w:pPr>
      <w:r>
        <w:rPr>
          <w:rFonts w:ascii="Times New Roman" w:cs="Times New Roman" w:eastAsia="Times New Roman" w:hAnsi="Times New Roman"/>
          <w:sz w:val="17"/>
          <w:szCs w:val="17"/>
          <w:color w:val="auto"/>
        </w:rPr>
        <w:t>average number of shares of common stock is the same for basic net loss per share since when a net loss exists, potentially dilutive securities are not included in the calculation as their impact is anti-dilutive. The Company’s convertible preferred stock entitled the holder to participate in dividends and earnings of the Company, and, if the Company had recognized net income, it would have used the two-class method to calculate earnings per share. The two-class method was not applicable during periods with a net loss, as the holders of the convertible preferred stock had no obligation to fund losses.</w:t>
      </w:r>
    </w:p>
    <w:p>
      <w:pPr>
        <w:spacing w:after="0" w:line="16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net loss, basic and diluted (in thousands, except share and per share data):</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(59,855)</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33,581,810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2,607,192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30,720,711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2,603,861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Less: Weighted-average shares of common stock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subject to repurchase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(654,264)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33,581,810</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2,607,192</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30,720,711</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1,949,597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u w:val="single" w:color="auto"/>
                <w:color w:val="auto"/>
              </w:rPr>
              <w:t>69)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1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760" w:type="dxa"/>
            <w:vAlign w:val="bottom"/>
          </w:tcPr>
          <w:p>
            <w:pPr>
              <w:spacing w:after="0"/>
              <w:rPr>
                <w:sz w:val="15"/>
                <w:szCs w:val="15"/>
                <w:color w:val="auto"/>
              </w:rPr>
            </w:pPr>
          </w:p>
        </w:tc>
        <w:tc>
          <w:tcPr>
            <w:tcW w:w="21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7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 (as converted to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9,861,923</w:t>
            </w:r>
          </w:p>
        </w:tc>
        <w:tc>
          <w:tcPr>
            <w:tcW w:w="1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 (as converted to common stock)</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9,705,383</w:t>
            </w: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2,527,417</w:t>
            </w:r>
          </w:p>
        </w:tc>
        <w:tc>
          <w:tcPr>
            <w:tcW w:w="1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1,777,093</w:t>
            </w:r>
          </w:p>
        </w:tc>
        <w:tc>
          <w:tcPr>
            <w:tcW w:w="180" w:type="dxa"/>
            <w:vAlign w:val="bottom"/>
            <w:shd w:val="clear" w:color="auto" w:fill="CCEEFF"/>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2,527,417</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21,344,399</w:t>
            </w:r>
          </w:p>
        </w:tc>
        <w:tc>
          <w:tcPr>
            <w:tcW w:w="1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  Accounting Pronouncements Not Yet Adopted</w:t>
      </w:r>
    </w:p>
    <w:p>
      <w:pPr>
        <w:spacing w:after="0" w:line="22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This standard includes the requirements that a public entity disclose, on an annual and interim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segment expenses that are regularly provided to the chief operating decision maker and included within each reported measure of segment profit or loss, the title and position of the chief operating decision maker, and an explanation of how the chief operating decision maker uses the reported measure(s) of segment profit or loss in assessing segment performance and deciding how to allocate resources. It also requires that a public entity that has a single reportable segment provide all the disclosures required by the guidance and all existing segment disclosures in ASC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This standard is effective for fiscal years beginning after December 15, 2023, and interim periods within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beginning after December 15, 2024. Early adoption is permitted. A public entity should apply the amendments in the guidance retrospectively to all prior periods presented in the financial statements. Upon transition, the segment expense categories and amounts disclosed in the prior periods should be based on the significant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segment expense categories identified and disclosed in the period of adoption. The Company is currently evaluating the impact that this standard may have on its financial statements.</w:t>
      </w:r>
    </w:p>
    <w:p>
      <w:pPr>
        <w:spacing w:after="0" w:line="160"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standard includes the requirement that public business entities, on an annual basis, disclose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state, and foreign. Lastly, this standard eliminates the requirement for all entities to disclose the nature and estimate of the range of the reasonably possible change in the unrecognized tax benefits balance in the next 12 months or make a statement that an estimate of the range cannot be made. This standard is effective for the Company for the annual period beginning January 1, 2026. Early adoption is permitted. This standard should be applied on a prospective basis. Retrospective application is permitted. The Company is currently evaluating the impact that this standard may have on its financial statements.</w:t>
      </w:r>
    </w:p>
    <w:p>
      <w:pPr>
        <w:spacing w:after="0" w:line="195" w:lineRule="exact"/>
        <w:rPr>
          <w:sz w:val="20"/>
          <w:szCs w:val="20"/>
          <w:color w:val="auto"/>
        </w:rPr>
      </w:pPr>
    </w:p>
    <w:p>
      <w:pPr>
        <w:ind w:left="60" w:right="11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Disaggregation of Income Statement Expenses</w:t>
      </w:r>
      <w:r>
        <w:rPr>
          <w:rFonts w:ascii="Times New Roman" w:cs="Times New Roman" w:eastAsia="Times New Roman" w:hAnsi="Times New Roman"/>
          <w:sz w:val="18"/>
          <w:szCs w:val="18"/>
          <w:color w:val="auto"/>
        </w:rPr>
        <w:t>. This standard requires the disclosure of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information about the types of expenses in commonly presented expense captions, such as research and development, and general and administrative expenses. This standard will be effective for annual periods beginning after December 15, 2026 and interim periods beginning after December 15, 2027 and may be applied either prospectively or retrospectively. The Company is currently evaluating the impact that this standard may have on its financial statements.</w:t>
      </w:r>
    </w:p>
    <w:p>
      <w:pPr>
        <w:spacing w:after="0" w:line="180"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Reverse Stock Split</w:t>
      </w:r>
    </w:p>
    <w:p>
      <w:pPr>
        <w:spacing w:after="0" w:line="229"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January 23, 2024, the Company filed an amendment to its Articles of Incorporation and effected a 15.21-for-1 reverse stock split of its issued and outstanding shares of common stock. All common stock share and per-share amounts presented in the financial statements and related notes have been retroactively adjusted to reflect the reverse stock split.</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 License and Collaboration Agreements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analyzes its license and collaborative agreements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are within the scope of other accounting literature. If the Company concludes that some or all aspects of the arrangement represent a transaction with a customer, it accounts for those aspects of the arrangement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None of the license and collaborative agreements discussed in Note 9 represent transactions with customers.</w:t>
      </w:r>
    </w:p>
    <w:p>
      <w:pPr>
        <w:spacing w:after="0" w:line="192" w:lineRule="exact"/>
        <w:rPr>
          <w:sz w:val="20"/>
          <w:szCs w:val="20"/>
          <w:color w:val="auto"/>
        </w:rPr>
      </w:pPr>
    </w:p>
    <w:p>
      <w:pPr>
        <w:ind w:left="60" w:right="379" w:firstLine="324"/>
        <w:spacing w:after="0" w:line="277" w:lineRule="auto"/>
        <w:rPr>
          <w:sz w:val="20"/>
          <w:szCs w:val="20"/>
          <w:color w:val="auto"/>
        </w:rPr>
      </w:pPr>
      <w:r>
        <w:rPr>
          <w:rFonts w:ascii="Times New Roman" w:cs="Times New Roman" w:eastAsia="Times New Roman" w:hAnsi="Times New Roman"/>
          <w:sz w:val="17"/>
          <w:szCs w:val="17"/>
          <w:color w:val="auto"/>
        </w:rPr>
        <w:t>If the Company concludes that some or all aspects of the arrangement are within the scope of ASC 808 and do not represent a transaction with a customer, it recognizes costs incurred as a component of the related expense in the period incurred. The arrangements may also require the Company to make payments on achievement of certain milestones, including clinical, regulatory, and development milestones. Clinical, regulatory, and development milestones are recognized as research and development expense only when such milestones are deemed probable of being achieved.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jc w:val="right"/>
              <w:ind w:right="2850"/>
              <w:spacing w:after="0"/>
              <w:rPr>
                <w:sz w:val="20"/>
                <w:szCs w:val="20"/>
                <w:color w:val="auto"/>
              </w:rPr>
            </w:pPr>
            <w:r>
              <w:rPr>
                <w:rFonts w:ascii="Times New Roman" w:cs="Times New Roman" w:eastAsia="Times New Roman" w:hAnsi="Times New Roman"/>
                <w:sz w:val="18"/>
                <w:szCs w:val="18"/>
                <w:color w:val="auto"/>
                <w:w w:val="97"/>
              </w:rPr>
              <w:t>Current assets: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277,855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277,855</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277,855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209"/>
        </w:trPr>
        <w:tc>
          <w:tcPr>
            <w:tcW w:w="4020" w:type="dxa"/>
            <w:vAlign w:val="bottom"/>
            <w:gridSpan w:val="2"/>
            <w:shd w:val="clear" w:color="auto" w:fill="CCEEFF"/>
          </w:tcPr>
          <w:p>
            <w:pPr>
              <w:jc w:val="right"/>
              <w:ind w:right="2850"/>
              <w:spacing w:after="0"/>
              <w:rPr>
                <w:sz w:val="20"/>
                <w:szCs w:val="20"/>
                <w:color w:val="auto"/>
              </w:rPr>
            </w:pPr>
            <w:r>
              <w:rPr>
                <w:rFonts w:ascii="Times New Roman" w:cs="Times New Roman" w:eastAsia="Times New Roman" w:hAnsi="Times New Roman"/>
                <w:sz w:val="18"/>
                <w:szCs w:val="18"/>
                <w:color w:val="auto"/>
                <w:w w:val="99"/>
              </w:rPr>
              <w:t>Current assets: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124,322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124,322</w:t>
            </w:r>
          </w:p>
        </w:tc>
        <w:tc>
          <w:tcPr>
            <w:tcW w:w="20" w:type="dxa"/>
            <w:vAlign w:val="bottom"/>
          </w:tcPr>
          <w:p>
            <w:pPr>
              <w:spacing w:after="0"/>
              <w:rPr>
                <w:sz w:val="18"/>
                <w:szCs w:val="18"/>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w w:val="98"/>
              </w:rPr>
              <w:t>Total assets measured at fair value</w:t>
            </w:r>
          </w:p>
        </w:tc>
        <w:tc>
          <w:tcPr>
            <w:tcW w:w="1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124,322</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Money market accounts are highly liquid investments. The pricing information on the Company’s money market account is based on quoted prices in active markets. This approach results in a classification of these securities as Level 1 of the fair value hierarchy.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90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credit receivable</w:t>
            </w:r>
          </w:p>
        </w:tc>
        <w:tc>
          <w:tcPr>
            <w:tcW w:w="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90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7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5" w:lineRule="exact"/>
        <w:rPr>
          <w:sz w:val="20"/>
          <w:szCs w:val="20"/>
          <w:color w:val="auto"/>
        </w:rPr>
      </w:pPr>
    </w:p>
    <w:p>
      <w:pPr>
        <w:ind w:left="420" w:right="6099" w:hanging="370"/>
        <w:spacing w:after="0" w:line="503" w:lineRule="auto"/>
        <w:tabs>
          <w:tab w:leader="none" w:pos="38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Operating lease expense was less than $0.1 million for the three months ended September 30, 2024 and 2023, respectively. Operating lease expense was $0.1 million and less than $0.1 million for the nine months ended September 30, 2024 and 2023, respectively. The Company’s remaining lease term and discount rate for its operating lease as of September 30, 2024 were 1.25 years and 10.0%, respectively.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Future maturities of operating lease liabilities were as follows as of September 30, 2024 (in thousands):</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2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Remainder of 2024</w:t>
            </w:r>
          </w:p>
        </w:tc>
        <w:tc>
          <w:tcPr>
            <w:tcW w:w="318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2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7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2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27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7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5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Cash paid for rent expense recorded during the three months ended September 30, 2024 and 2023 was less than $0.1 million. Cash paid for rent expense recorded during the nine months ended September 30, 2024 and 2023 was $0.1 million and less than $0.1 million,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9"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In June 2021, the Company adopted the 2021 Employee, Director and Consultant Equity Incentive Plan, as amended (the “2021 Plan”), that authorized the Company to grant up to 803,564 shares of common stock. In 2022, the Company amended the 2021 Plan and increased the total number of shares authorized under the Plan to 2,748,818. In January 2024, the Company adopted the 2024 Employee, Director and Consultant Equity Incentive Plan (the “2024 Plan”) that authorized the Company to grant up to 3,900,000 shares of common stock plus any remaining ungranted or forfeited shares from the 2021 Plan. As of September 30, 2024, there were 3,758,647 shares available to be granted. The Company’s stock options vest based on the terms in the awards agreements and generally vest over four years. The Company recorded stock-based compensation expense in the following expense categories in its accompanying statements of operations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stock options activity:</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8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1,683,156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10.83</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2,527,417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September 30, 2024</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630,058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2,527,417</w:t>
            </w:r>
          </w:p>
        </w:tc>
        <w:tc>
          <w:tcPr>
            <w:tcW w:w="2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6.60</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8.52</w:t>
            </w:r>
          </w:p>
        </w:tc>
        <w:tc>
          <w:tcPr>
            <w:tcW w:w="280" w:type="dxa"/>
            <w:vAlign w:val="bottom"/>
            <w:tcBorders>
              <w:bottom w:val="single" w:sz="8" w:color="CCEEFF"/>
            </w:tcBorders>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42,866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in the first nine months of 2024 and 2023 were $8.53 and $3.50 per share, respectively. The fair value was estimated using the Black-Scholes option-pricing model based on the following assumptions:</w:t>
      </w:r>
    </w:p>
    <w:p>
      <w:pPr>
        <w:spacing w:after="0" w:line="18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0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53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- 4.66%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3.45% - 4.46%</w:t>
            </w:r>
          </w:p>
        </w:tc>
        <w:tc>
          <w:tcPr>
            <w:tcW w:w="14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5.5 - 6.1 years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6.0 years</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 - 98.6%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87.0% - 89.5%</w:t>
            </w:r>
          </w:p>
        </w:tc>
        <w:tc>
          <w:tcPr>
            <w:tcW w:w="14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the Company's common stock per share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5.85 - 20.79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3.65 - 6.24</w:t>
            </w:r>
          </w:p>
        </w:tc>
        <w:tc>
          <w:tcPr>
            <w:tcW w:w="1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cost for awards not vested as of September 30, 2024 was $10.0 million and will be expensed over a weighted-average period of 2.69 years.</w:t>
      </w:r>
    </w:p>
    <w:p>
      <w:pPr>
        <w:spacing w:after="0" w:line="374" w:lineRule="exact"/>
        <w:rPr>
          <w:sz w:val="20"/>
          <w:szCs w:val="20"/>
          <w:color w:val="auto"/>
        </w:rPr>
      </w:pPr>
    </w:p>
    <w:p>
      <w:pPr>
        <w:ind w:left="380" w:right="5679" w:hanging="330"/>
        <w:spacing w:after="0" w:line="503" w:lineRule="auto"/>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 and Collaborative Agreements </w:t>
      </w:r>
      <w:r>
        <w:rPr>
          <w:rFonts w:ascii="Times New Roman" w:cs="Times New Roman" w:eastAsia="Times New Roman" w:hAnsi="Times New Roman"/>
          <w:sz w:val="18"/>
          <w:szCs w:val="18"/>
          <w:i w:val="1"/>
          <w:iCs w:val="1"/>
          <w:color w:val="auto"/>
        </w:rPr>
        <w:t>Allist</w:t>
      </w: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a Global Technology Transfer and License Agreement with Allist (“Allist Agreement”). Pursuant to the Allist Agreement, the Company was granted an exclusive license under certain intellectual property to develop, manufacture and commercialize certain licensed products in the field in the licensed territory. Upon execution of the Allist Agreement, the Company paid Allist a non-refundable cash payment of $40.0 million and issued 1,276,250 shares of its common stock.</w:t>
      </w:r>
    </w:p>
    <w:p>
      <w:pPr>
        <w:spacing w:after="0" w:line="183" w:lineRule="exact"/>
        <w:rPr>
          <w:sz w:val="20"/>
          <w:szCs w:val="20"/>
          <w:color w:val="auto"/>
        </w:rPr>
      </w:pPr>
    </w:p>
    <w:p>
      <w:pPr>
        <w:jc w:val="both"/>
        <w:ind w:left="60" w:right="359" w:firstLine="324"/>
        <w:spacing w:after="0" w:line="272" w:lineRule="auto"/>
        <w:rPr>
          <w:sz w:val="20"/>
          <w:szCs w:val="20"/>
          <w:color w:val="auto"/>
        </w:rPr>
      </w:pPr>
      <w:r>
        <w:rPr>
          <w:rFonts w:ascii="Times New Roman" w:cs="Times New Roman" w:eastAsia="Times New Roman" w:hAnsi="Times New Roman"/>
          <w:sz w:val="17"/>
          <w:szCs w:val="17"/>
          <w:color w:val="auto"/>
        </w:rPr>
        <w:t>Upon the achievement of certain clinical, regulatory and commercial milestones using the licensed technology, the Company is obligated to make future milestone payments to Allist. The Company is obligated to make future milestone payments of up to $105.0 million in clinical and regulatory milestones and up to $655.0 million in sales milestones.</w:t>
      </w:r>
    </w:p>
    <w:p>
      <w:pPr>
        <w:spacing w:after="0" w:line="2" w:lineRule="exact"/>
        <w:rPr>
          <w:sz w:val="20"/>
          <w:szCs w:val="20"/>
          <w:color w:val="auto"/>
        </w:rPr>
      </w:pPr>
    </w:p>
    <w:p>
      <w:pPr>
        <w:ind w:left="60" w:right="219"/>
        <w:spacing w:after="0" w:line="260" w:lineRule="auto"/>
        <w:rPr>
          <w:sz w:val="20"/>
          <w:szCs w:val="20"/>
          <w:color w:val="auto"/>
        </w:rPr>
      </w:pPr>
      <w:r>
        <w:rPr>
          <w:rFonts w:ascii="Times New Roman" w:cs="Times New Roman" w:eastAsia="Times New Roman" w:hAnsi="Times New Roman"/>
          <w:sz w:val="18"/>
          <w:szCs w:val="18"/>
          <w:color w:val="auto"/>
        </w:rPr>
        <w:t>Furthermore royalties, ranging from high single digit percentages to low mid-teen percentage will be payable on net sales of licensed products in licensed territories.</w:t>
      </w:r>
    </w:p>
    <w:p>
      <w:pPr>
        <w:spacing w:after="0" w:line="181"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During the nine months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60" w:right="99"/>
        <w:spacing w:after="0" w:line="277" w:lineRule="auto"/>
        <w:rPr>
          <w:sz w:val="20"/>
          <w:szCs w:val="20"/>
          <w:color w:val="auto"/>
        </w:rPr>
      </w:pPr>
      <w:r>
        <w:rPr>
          <w:rFonts w:ascii="Times New Roman" w:cs="Times New Roman" w:eastAsia="Times New Roman" w:hAnsi="Times New Roman"/>
          <w:sz w:val="17"/>
          <w:szCs w:val="17"/>
          <w:color w:val="auto"/>
        </w:rPr>
        <w:t>ended September 30, 2024 and 2023, the Company incurred $0.5 million and $1.4 million, respectively, in cost reimbursements to Allist which have been recorded as research and development expense under the Clinical Collaboration. The Company also was entitled to cost reimbursement from Allist of $0.3 million for each of the nine months ended September 30, 2024 and 2023, which has been recorded as a reduction of research and development expenses. During the nine months ended September 30, 2024 and 2023, no milestones were met or achieved, or were probable of achievement.</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Alphamab</w:t>
      </w:r>
    </w:p>
    <w:p>
      <w:pPr>
        <w:spacing w:after="0" w:line="22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collaboration agreement with Jiangsu Alphamab Biopharmaceuticals Co., Ltd. (“Alphamab”) to discover, develop and commercialize novel antibody drug conjugates (“ADCs”) for the treatment of cancers.</w:t>
      </w:r>
    </w:p>
    <w:p>
      <w:pPr>
        <w:spacing w:after="0" w:line="176"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Under the agreement, both companies seek to leverage Alphamab’s proprietary linker-payload platform and glycan-conjugation technology to identify novel ADCs for oncology indications. The agreement gives the Company exclusive rights to develop and commercialize ADCs globally, except greater China, which includes mainland China, Hong Kong, Macau and Taiwan where Alphamab retains the right to develop and commercialize the ADCs.</w:t>
      </w:r>
    </w:p>
    <w:p>
      <w:pPr>
        <w:spacing w:after="0" w:line="180" w:lineRule="exact"/>
        <w:rPr>
          <w:sz w:val="20"/>
          <w:szCs w:val="20"/>
          <w:color w:val="auto"/>
        </w:rPr>
      </w:pPr>
    </w:p>
    <w:p>
      <w:pPr>
        <w:ind w:left="60" w:right="179" w:firstLine="324"/>
        <w:spacing w:after="0" w:line="289" w:lineRule="auto"/>
        <w:rPr>
          <w:sz w:val="20"/>
          <w:szCs w:val="20"/>
          <w:color w:val="auto"/>
        </w:rPr>
      </w:pPr>
      <w:r>
        <w:rPr>
          <w:rFonts w:ascii="Times New Roman" w:cs="Times New Roman" w:eastAsia="Times New Roman" w:hAnsi="Times New Roman"/>
          <w:sz w:val="17"/>
          <w:szCs w:val="17"/>
          <w:color w:val="auto"/>
        </w:rPr>
        <w:t>The terms of the agreement include combined upfront and potential milestone payments to Alphamab of up to $615.5 million in aggregate for the potential programs, based on the achievement of certain regulatory, development, and sales milestones. In addition, Alphamab is entitled to receive tiered sales royalties from the Company for each ADC product</w:t>
      </w:r>
    </w:p>
    <w:p>
      <w:pPr>
        <w:spacing w:after="0" w:line="158"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upfront payment was recorded to research and development expense during the three-month period ending June 30, 2024. No milestones have been met or achieved, or are probable of achievement, since the inception of the agreement.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Aarvik</w:t>
      </w:r>
    </w:p>
    <w:p>
      <w:pPr>
        <w:spacing w:after="0" w:line="22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December 2021, the Company entered into a Research Collaboration Agreement, as amended, effective June 30, 2023 (the “Aarvik Collaboration Agreement”), with Aarvik Pharmaceuticals, Inc. (“Aarvik”), under which the Company is required to pay Aarvik up to $3.1 million on statements of work (“SOWs”) and an initiation fee of $0.3 million predefined in the Aarvik Collaboration Agreement. After the completion of the SOWs, the Company has an exclusive option to license the Aarvik intellectual property, and the option to acquire certain of Aarvik’s intellectual property, after which it is the Company’s sole responsibility to research, develop, manufacture and commercialize any applicable compound and product in the field and territory. If the Company exercises that option, it would be obligated to pay up to $18.0 million per product upon the achievement of certain clinical and regulatory milestone events and up to $80.0 million per product in commercial milestones. Additionally, the Company would be obligated to pay Aarvik royalties in the mid-single digits based on net sales of licensed products.</w:t>
      </w:r>
    </w:p>
    <w:p>
      <w:pPr>
        <w:spacing w:after="0" w:line="194" w:lineRule="exact"/>
        <w:rPr>
          <w:sz w:val="20"/>
          <w:szCs w:val="20"/>
          <w:color w:val="auto"/>
        </w:rPr>
      </w:pPr>
    </w:p>
    <w:p>
      <w:pPr>
        <w:jc w:val="both"/>
        <w:ind w:left="60" w:right="59" w:firstLine="441"/>
        <w:spacing w:after="0" w:line="270" w:lineRule="auto"/>
        <w:rPr>
          <w:sz w:val="20"/>
          <w:szCs w:val="20"/>
          <w:color w:val="auto"/>
        </w:rPr>
      </w:pPr>
      <w:r>
        <w:rPr>
          <w:rFonts w:ascii="Times New Roman" w:cs="Times New Roman" w:eastAsia="Times New Roman" w:hAnsi="Times New Roman"/>
          <w:sz w:val="17"/>
          <w:szCs w:val="17"/>
          <w:color w:val="auto"/>
        </w:rPr>
        <w:t>On August 9, 2024, the Company entered into an amendment and restatement of the Aarvik Collaboration Agreement (the “Amended and Restated Aarvik Collaboration Agreement”). Under the Amended and Restated Aarvik Collaboration Agreement, Aarvik granted the Company an exclusive option to obtain exclusive rights to certain of Aarvik’s intellectual property for the research, development, manufacture, use, commercialization, or other exploitation of the ADCs related to (i) the two agreed targets to which the compounds being developed under the collaboration bind, which is referred to as the Target Pair, and (ii) the acquisition of exclusive rights to certain intellectual property generated during the collaboration. The Company has not yet selected the indication or indications that it would pursue in the collaboration and anticipates doing so in connection with the identification of a lead candidate for IND-enabling studies. Under the Amended and Restated Aarvik Collaboration Agreement, the Company is required to pay Aarvik a collaboration initiation fee and research fees as provided in the SOWs in an aggregate of up to $4.7 million (based on estimated research fees).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Company incurred $1.7 million and $0.4 million in research and development expenses related to the Aarvik SOWs during the three months ended September 30, 2024 and 2023, respectively. The Company incurred $2.7 million and $1.1 million in research and development expenses related to the Aarvik SOWs during the nine months ended September 30, 2024 and 2023, respectively. With the exception of a $1.0 million payment to exercise an option which was recorded to research and development expense during the three month period ending September 30, 2024, no milestones have been met or achieved since the inception of the Aarvik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interim financial statements and related notes appearing elsewhere in this Quarterly Report on Form 10-Q and the audited financial information and the notes thereto included in our Annual Report on Form 10-K for fiscal year ended December 31, 2023, which was filed with the Securities and Exchange Commission (SEC) on March 28, 2024 (Annual Report). Some of the information contained in this discussion and analysis or set forth elsewhere, including information with respect to our plans and strategy for our business and related financing, includes forward-looking statements that involve risks and uncertainties. As a result of many factors, including those factors set forth in the “Risk Factors” sections of this Quarterly Report on Form 10-Q as well as our Annual Report, our actual results could differ materially from the results described in or implied by the forward-looking statements contained in the following discussion and analysis. You should carefully read the “Risk Factors” sections of this Quarterly Report on Form 10-Q and our Annual Report to gain an understanding of the important factors that could cause actual results to differ materially from our forward-looking statements. Please also see the section titled “Special Note Regarding Forward-Looking Statements” included elsewhere in this Quarterly Report on Form 10-Q. Investors and others should note that we routinely use the Investor Relations section of our website to announce material information to investors and the marketplace. While not all of the information that we post on the Investor Relations section of our website is of a material nature, some information could be deemed to be material. Accordingly, we encourage investors, the media, and others interested in us to review the information that we share on the Investors section of our website, https://ir.arrivent.com/.</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firmonertinib, and advance a pipeline of novel therapeutics, such as next-generation antibody drug conjugates, through approval and commercialization in patients suffering from cancer, with an initial focus on solid tumors. Firmonertinib is currently being evaluated in multiple clinical trials across a range of epidermal growth factor receptor mutant (EGFRm) in non-small cell lung cancer (NSCLC), including a pivotal Phase 3 clinical trial in treatment naïve, or first-line, patients with locally advanced or metastatic EGFRm NSCLC with exon 20 insertion mutations. We received Breakthrough Therapy Designation for firmonertinib for this disease from the United States Food and Drug Administration (FDA) in</w:t>
      </w:r>
    </w:p>
    <w:p>
      <w:pPr>
        <w:spacing w:after="0" w:line="6"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October 2023, and Orphan Drug Designation for treatment of NSCLC with EGFRm or human epidermal growth factor receptor 2 (HER2) mutations or human epidermal growth factor receptor 4 (HER4) mutations in February 2024.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The receipt of a Breakthrough Therapy Designation for a product candidate may not result in a faster development process, review or approval compared to product candidates considered for approval under conventional FDA procedures and does not increase the likelihood that the product candidate will ultimately receive FDA approval for any indication.</w:t>
      </w:r>
    </w:p>
    <w:p>
      <w:pPr>
        <w:spacing w:after="0" w:line="19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Firmonertinib is an investigational, novel, epidermal growth factor receptor (EGFR) mutant-selective tyrosine kinase inhibitor (TKI) that we are developing for the treatment of NSCLC patients across a broader set of EGFRm than are currently served by approved EGFR TKIs. Firmonertinib is currently only approved and commercially distributed by Shanghai Allist Pharmaceuticals Co. Ltd.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EGFR P-loop and-alpha-c-helix compressing (PACC) mutations, each a subtype of uncommon mutation. In a subsequent interim data readout from the FAVOUR trial of firmonertinib in first-line patients with locally advanced or metastatic EGFRm NSCLC with exon 20 insertion mutations, 79% of patients (n=22 out of 28 patients) were observed to experience a reduction in tumor size of at least 30%. If the future clinical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trial results of the FAVOUR trial are unfavorable, our clinical development plans for firmonertinib, which include conducting our global, pivotal Phase 3 FURVENT clinical trial in first-line non-squamous locally advanced or metastatic EGFRm NSCLC patients with exon 20 insertion mutations, may be adversely affected. In 2021, we licensed from Allist the right to develop and commercialize firmonertinib worldwide, with the exception of greater China, which includes mainland China, Hong Kong, Macau and Taiwan.</w:t>
      </w:r>
    </w:p>
    <w:p>
      <w:pPr>
        <w:spacing w:after="0" w:line="183"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firmonertinib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blinded independent central review utilizing Response Evaluation Criteria in Solid Tumors (RECIST) 1.1 criteria, which measurement of reduction is the threshold in this trial for a partial response and for inclusion in determination of the overall response rate (ORR), which is the primary endpoint of this trial. In the same interim data readout, those 79% of patients were observed to experience a 15.2-month median duration of response (DOR). Interim results may not be indicative of final results; however, we believe these interim clinical results underscore firmonertinib’s potential in patients whose tumors contain an uncommon EGFRm.</w:t>
      </w:r>
    </w:p>
    <w:p>
      <w:pPr>
        <w:spacing w:after="0" w:line="19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September 2024, we announced positive interim proof-of-concept data from the FURTHER trial of firmonertinib in first-line patients with locally advanced or metastatic EGFRm NSCLC with PACC mutations. In this interim readout, 64% of patients (n=14 out of 22 patients) were observed to experience a reduction in tumor size of at least 30% from the baseline in a patient without evidence of progression as measured by RECIST 1.1 criteria, which measurement of reduction is the threshold in this trial for a partial response and for inclusion in determination of the ORR, which is the primary endpoint of this trial. Median DOR had not yet been reached, with 90.9% (n=20/22) of patients with confirmed responses remaining on study. Interim results may not be indicative of final results; however, we believe these interim clinical results underscore firmonertinib’s potential in patients whose tumors contain an uncommon EGFRm.</w:t>
      </w:r>
    </w:p>
    <w:p>
      <w:pPr>
        <w:spacing w:after="0" w:line="192"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7"/>
          <w:szCs w:val="17"/>
          <w:color w:val="auto"/>
        </w:rPr>
        <w:t>We entered into the Global Technology Transfer and License Agreement (Allist License Agreement), pursuant to which, we have, among other things, secured an exclusive, royalty bearing and sublicensable license under certain intellectual property, including patents and know-how, owned or controlled by Allist to develop and commercialize any product containing firmonertinib or any of its salts or derivatives as an active ingredient of a product, which is led by a joint collaboration committee, comprising of representatives from both Allist and us. Under the Allist License Agreement, we are obligated to pay Allist milestone payments up to an aggregate of $765.0 million upon the achievement of certain development, regulatory and sales milestone events as set forth in the Allist License Agreement. During the nine months ended September 30, 2024 and 2023, no milestones were met or achieved. We are also obligated under the Allist License Agreement to pay Allist tiered royalties based on net sales of Licensed Products (as defined in the Allist License Agreement). See “Business — Licenses, Partnerships and Collaborations — Allist Agreements” in our Annual Report.</w:t>
      </w:r>
    </w:p>
    <w:p>
      <w:pPr>
        <w:spacing w:after="0" w:line="17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Since our inception in April 2021, we have devoted substantially all of our resources to organizing and staffing our company, acquiring the rights to develop firmonertinib, clinical development of firmonertinib, business planning, raising capital, identifying potential product candidates, enhancing our intellectual property portfolio and undertaking research and clinical and preclinical studies for our development programs. We do not have any products approved for sale and have not generated any revenue from product sales or otherwise. We have funded our operations to date primarily through the private placement of convertible preferred stock and our initial public offering in January 2024.</w:t>
      </w:r>
    </w:p>
    <w:p>
      <w:pPr>
        <w:spacing w:after="0" w:line="18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On January 30, 2024, we completed the closing of our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We received net proceeds of $183.2 million, after deducting underwriting discounts and commissions and other offering expenses. In addition, as a result of the closing of our initial public offering, our convertible preferred stock converted into 19,567,306 shares of common stock in January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have not yet generated any revenue. Our net losses were $59.9 million and $48.1 million for the nine months ended September 30, 2024 and 2023, respectively. As of September 30, 2024, we had an accumulated deficit of $217.7 million. Our net losses may fluctuate significantly from quarter-to-quarter and year-to-year, depending on the timing of our preclinical studies, clinical trials and our expenditures on other research and development activities. We expect to continue to incur losses for the foreseeable future. We anticipate these losses will increase substantially as we:</w:t>
      </w:r>
    </w:p>
    <w:p>
      <w:pPr>
        <w:spacing w:after="0" w:line="187"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firmonertinib, through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programs to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invest in our pipeline;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support our external partners’ manufacturing capabilities;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commercialization of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defend our intellectual property portfolio;</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headcount to support our development efforts and to expand our clinical development team;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and headcount associated with operating as a public company.</w:t>
      </w:r>
    </w:p>
    <w:p>
      <w:pPr>
        <w:spacing w:after="0" w:line="22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if we obtain regulatory approval for firmonertinib or any product candidates, we expect to incur significant commercialization expenses related to product manufacturing, marketing, sales and distribution.</w:t>
      </w:r>
    </w:p>
    <w:p>
      <w:pPr>
        <w:spacing w:after="0" w:line="16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revenues from product sales unless and until we successfully complete development and obtain regulatory approval for one or more product candidates. Accordingly, until such time as we can generate significant revenue from sales of our product candidates, if ever, we expect to finance our cash needs through public or private equity offerings, debt financings, collaborations and licensing arrangements or other capital 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To date, our research and development expenses have been related primarily to the development of firmonertinib, preclinical studies and other clinical activities related to our portfolio. Research and development costs are expensed as incurred and payments made prior to the receipt of goods or services to be used in research and development are deferred and recognized when the goods or services are received.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225" w:lineRule="exact"/>
        <w:rPr>
          <w:sz w:val="20"/>
          <w:szCs w:val="20"/>
          <w:color w:val="auto"/>
        </w:rPr>
      </w:pPr>
    </w:p>
    <w:p>
      <w:pPr>
        <w:ind w:left="720" w:right="1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those individuals involved in research and development efforts;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costs incurred under agreements with contract research organizations (CROs) and consultants to conduct our clinical trials and other preclinical studies;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our product candidates, including fees paid to third-party manufacturers and raw material suppliers;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research funding;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insurance, equipment and other supplies.</w:t>
      </w:r>
    </w:p>
    <w:p>
      <w:pPr>
        <w:spacing w:after="0" w:line="225" w:lineRule="exact"/>
        <w:rPr>
          <w:sz w:val="20"/>
          <w:szCs w:val="20"/>
          <w:color w:val="auto"/>
        </w:rPr>
      </w:pPr>
    </w:p>
    <w:p>
      <w:pPr>
        <w:ind w:left="60" w:right="319" w:firstLine="324"/>
        <w:spacing w:after="0" w:line="256" w:lineRule="auto"/>
        <w:rPr>
          <w:sz w:val="20"/>
          <w:szCs w:val="20"/>
          <w:color w:val="auto"/>
        </w:rPr>
      </w:pPr>
      <w:r>
        <w:rPr>
          <w:rFonts w:ascii="Times New Roman" w:cs="Times New Roman" w:eastAsia="Times New Roman" w:hAnsi="Times New Roman"/>
          <w:sz w:val="18"/>
          <w:szCs w:val="18"/>
          <w:color w:val="auto"/>
        </w:rPr>
        <w:t>Our direct research and development expenses consist principally of external costs, such as fees paid to CROs and consultants in connection with our clinical trials for firmonertinib, preclinical and toxicology studies and costs related to manufacturing materials for clinical and preclinical studies. Prior to our identification of potential product candidates in 2022, we did not track external costs by program. Subsequent to the identification of potential product candidates, a significant majority of our direct research and development costs have been related to firmonertinib. We deploy our personnel resources across all of our research and development activities.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plan to substantially increase our research and development expenses for the foreseeable future as we continue the development of firmonertinib and the identification and development of new product candidates. We cannot determine with certainty the timing of initiation, the duration or the completion costs of future clinical trials and preclinical studies of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22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needed to determine a recommended dose;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payroll taxes, employee benefits and stock-based compensation expenses for those individuals in executive, finance and other administrative functions. Other significant costs include legal fees relating to intellectual property and corporate matters, professional fees for accounting and consulting services, and insurance costs. We anticipate that our general and administrative expenses will increase in the future to support our continued research and development activities and, if any product candidates receive marketing approval, commercialization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equivalents.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5"/>
                <w:szCs w:val="15"/>
                <w:color w:val="auto"/>
              </w:rPr>
            </w:pPr>
          </w:p>
        </w:tc>
        <w:tc>
          <w:tcPr>
            <w:tcW w:w="272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track outsourced clinical and preclinical costs and other external research and development costs associated with our lead product candidate, firmonertinib, and other discovery-stage programs. We do not track internal research and development costs by product candidate. The following table summarizes our research and development expenses for the three months ended September 30, 2024 and 2023:</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5"/>
                <w:szCs w:val="15"/>
                <w:color w:val="auto"/>
              </w:rPr>
            </w:pPr>
          </w:p>
        </w:tc>
        <w:tc>
          <w:tcPr>
            <w:tcW w:w="270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Firmonertinib:</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FURVENT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FAVOUR</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Firmonertinib</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Discovery-stage programs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Personnel-related and other internal costs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$20.1 million and $14.3 million for the three months ended September 30, 2024 and 2023, respectively. The increase of $5.8 million was primarily due to an increase of $2.1 million related to our lead product candidate, firmonertinib, as well as increases of $1.9 million in preclinical discovery work and $1.8 million in personnel-related costs due to increased headcount. Costs related to firmonertinib increased as a result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increased costs related to our FURVENT Phase 3 clinical trial of $4.2 million, offset by a decrease of $0.9 million in our FURTHER Phase 1 clinical trial, a decrease in costs related to our FAVOUR trial, and a decrease in general firmonertinib costs. Discovery-stage program costs increased due to an option exercise payment to Aarvik Pharmaceuticals, Inc. (Aarvik) related to our collaboration with them.</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jc w:val="both"/>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$4.1 million and $2.4 million for the three months ended September 30, 2024 and 2023, respectively. The increase of $1.7 million was due primarily to increases of $0.8 million in personnel-related costs, and $0.9 million in insurance, taxes, and outside services.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jc w:val="both"/>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Interest income was $3.7 million and $2.3 million for the three months ended September 30, 2024 and 2023, respectively. The increase in interest income is due to increased invested balances and increased average market yields.</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2023:</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CCEEFF"/>
            </w:tcBorders>
            <w:vMerge w:val="continue"/>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track outsourced clinical and preclinical costs and other external research and development costs associated with our lead product candidate, firmonertinib, and other discovery-stage programs. We do not track internal research and development costs by product candidate. The following table summarizes our research and development expenses for the nine months ended September 30, 2024 and 2023:</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vMerge w:val="continue"/>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Firmonertinib:</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FURVENT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FAVOUR</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Firmonertinib</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Discovery-stage programs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Personnel-related and other internal costs</w:t>
            </w:r>
          </w:p>
        </w:tc>
        <w:tc>
          <w:tcPr>
            <w:tcW w:w="1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$58.8 million and $44.9 million for the nine months ended September 30, 2024 and 2023, respectively. The increase of $14.0 million was primarily due to an increase of $2.9 million related to our lead product candidate, firmonertinib, an increase of $3.3 million in personnel-related costs due to increased headcount, and an increase of $7.8 million in preclinical discovery work. Costs related to firmonertinib increased as a</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result of increased costs related to our FURVENT Phase 3 clinical trial of $5.9 million, offset by a decrease of $1.9 million related to our FURTHER Phase 1b clinical trial, a decrease of $1.1 million related to our FAVOUR trial, and a decrease in other general firmonertinib costs.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$11.8 million and $6.6 million for the nine months ended September 30, 2024 and 2023, respectively. The increase of $5.1 million was due primarily to increases of $2.4 million in personnel-related costs, $1.2 million in outside services, and $1.4 million in software, insurance, and taxes.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Interest income was $10.7 million and $3.3 million for the nine months ended September 30, 2024 and 2023, respectively. The increase in interest income is due to increased invested balances and increased average market yields.</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jc w:val="both"/>
        <w:ind w:left="60" w:right="159" w:firstLine="324"/>
        <w:spacing w:after="0" w:line="257" w:lineRule="auto"/>
        <w:rPr>
          <w:sz w:val="20"/>
          <w:szCs w:val="20"/>
          <w:color w:val="auto"/>
        </w:rPr>
      </w:pPr>
      <w:r>
        <w:rPr>
          <w:rFonts w:ascii="Times New Roman" w:cs="Times New Roman" w:eastAsia="Times New Roman" w:hAnsi="Times New Roman"/>
          <w:sz w:val="18"/>
          <w:szCs w:val="18"/>
          <w:color w:val="auto"/>
        </w:rPr>
        <w:t>We have previously funded our operations primarily through the private placement of convertible preferred stock and our initial public offering of common stock. To date, we have raised gross proceeds of $305.0 million from the issuance of convertible preferred stock. Additionally, in the first quarter of 2024, we completed our initial public offering of</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11,180,555 shares of our common stock at a price to the public of $18.00 per share, including the exercise in full by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underwriters of their option to purchase 1,458,333 additional shares of our common stock, for aggregate proceeds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$183.2 million, net of underwriting discounts, commissions and other offering expenses. As of September 30, 2024, we had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and cash equivalents of $282.9 million.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1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plan to continue to fund our operating expenses and capital expenditure requirements through additional public or private equity offerings, debt financings, collaborations and licensing arrangements or other capital sources. Debt or equity financing or collaborations and partnerships with other entities may not be available on a timely basis, on acceptable terms, or at all. In addition, we may be required to scale back or discontinue the advancement of product candidates, reduce headcount or reduce other operating expenses. This could have an adverse impact on our ability to achieve certain of our planned objectives, and thus, materially harm our business. Our ability to successfully transition to profitability will depend upon obtaining additional financing and achieving a level of product sales adequate to support our cost structure. We cannot be assured that we will ever be profitable or generate positive cash flows from operating activities.</w:t>
      </w:r>
    </w:p>
    <w:p>
      <w:pPr>
        <w:spacing w:after="0" w:line="165"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September 30, 2024 will be sufficient to meet our anticipated cash requirements into 2026.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12" w:lineRule="exact"/>
        <w:rPr>
          <w:sz w:val="20"/>
          <w:szCs w:val="20"/>
          <w:color w:val="auto"/>
        </w:rPr>
      </w:pPr>
    </w:p>
    <w:p>
      <w:pPr>
        <w:ind w:left="720" w:right="3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drug discovery, preclinical studies and clinical trials of our lead product candidate, firmonertinib, and any other product candidates;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117"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firmonertinib, if approved, and future product candidates for clinical trials in preparation for marketing approval and in preparation for commercialization;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third-party products used in our combination clinical trials that are not covered by such third party or other sources;</w:t>
      </w:r>
    </w:p>
    <w:p>
      <w:pPr>
        <w:spacing w:after="0" w:line="53"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53"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 and revenue received from any potential commercial sales of firmonertinib or other product candidates;</w:t>
      </w:r>
    </w:p>
    <w:p>
      <w:pPr>
        <w:spacing w:after="0" w:line="5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firmonertinib and future product candidates we develop if we receive marketing approval, including marketing, sales and distribution costs;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and other adverse market developments;</w:t>
      </w:r>
    </w:p>
    <w:p>
      <w:pPr>
        <w:spacing w:after="0" w:line="117"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and maintain strategic licensing or other arrangements and the financial terms of such agreements;</w:t>
      </w:r>
    </w:p>
    <w:p>
      <w:pPr>
        <w:spacing w:after="0" w:line="53"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1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public or private equity offerings, debt financings, collaborations and licensing arrangements or other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(54,060)</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186,526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43,916</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$54.1 million for the nine months ended September 30, 2024 reflecting our net loss of $59.9 million, offset by $2.3 million in stock-based compensation and a $3.5 million net increase in our operating assets and liabilities attributable to the timing in which we pay our vendors for research and development activities.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$41.0 million for the nine months ended September 30, 2023 reflecting our net loss of $48.1 million, offset by $0.6 million in stock-based compensation, and a $6.6 million net decrease in our operating assets and liabilities attributable to the timing in which we pay our vendors for research and development activities.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No net cash was provided by investing activities for the nine months ended September 30, 2024. Net cash used in investing activities was $25.0 million for the nine months ended September 30, 2023. This was attributable to the purchase of short-term investments.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$186.5 million for the nine months ended September 30, 2024, due to the net proceeds from our initial public offering.</w:t>
      </w:r>
    </w:p>
    <w:p>
      <w:pPr>
        <w:spacing w:after="0" w:line="14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$44.0 million for the nine months ended September 30, 2023, primarily due to the issuance of Series B convertible preferred stock.</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ind w:left="60" w:right="79" w:firstLine="500"/>
        <w:spacing w:after="0" w:line="25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third-party CROs and clinical trial sites for our clinical trials, and with supply vendors for other services and products for operating purposes. These contracts generally provide for termination after a notice period, and, therefore, are cancelable contracts. We have leases for office space in Gaithersburg, Maryland and Burlingame, California that extend through January 2025 and January 2026, respectively. Amounts related to future lease payments as of September 30, 2024 totaled $0.2 million, to be paid within the next 12 months.</w:t>
      </w:r>
    </w:p>
    <w:p>
      <w:pPr>
        <w:spacing w:after="0" w:line="187"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except for the operating leases, we did not have any long-term obligations, capital lease obligations, purchase obligations or long-term liabilities.</w:t>
      </w:r>
    </w:p>
    <w:p>
      <w:pPr>
        <w:spacing w:after="0" w:line="148"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also have commitments for obligations under our agreements with Allist, Jiangsu Alphamab Biopharmaceuticals Co., Ltd. and Aarvik. Under these agreements we are required to make milestone payments upon successful completion of certain clinical, regulatory, development, sales and commercial milestones. Additionally, we are required to make royalty payments in connection with the sale of products developed under these agreements. Because the achievement of these milestones and royalties is not probable and payment is not required as of September 30, 2024, such contingencies have not been recorded in our consolidated financial statements. For additional information regarding our agreements, see Note 9 to our accompanying financial statements in Part I, Item 1 of this Quarterly Report on Form 10-Q.</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0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and stock-based compensation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5"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Use of Estimates” included in the Annual Report.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JOBS Act and Emerging Growth Company Status</w:t>
      </w:r>
    </w:p>
    <w:p>
      <w:pPr>
        <w:spacing w:after="0" w:line="216"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the Sarbanes-Oxley Act (Sarbanes-Oxley).</w:t>
      </w:r>
    </w:p>
    <w:p>
      <w:pPr>
        <w:spacing w:after="0" w:line="178"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initial public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(Exchange Act), which would occur if, among other factors, the market value of our common stock held by non-affiliates exceeded $700.0 million as of the last business day of the second fiscal quarter of such year (subject to certain conditions) or (iv) the date on which we have issued more than $1.0 billion in non-convertible debt securities during the prior three-year period.</w:t>
      </w:r>
    </w:p>
    <w:p>
      <w:pPr>
        <w:spacing w:after="0" w:line="162"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6"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is disclosed in Note 3 to our accompanying financial statements appearing elsewhere in this Quarterly Report on Form 10-Q.</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Our cash and cash equivalents consist of cash held in an interest-bearing savings account and money market account. As a result, we believe that our exposure to interest rate risk is not significant, and a hypothetical 1.0% change in market interest rates during any of the periods presented would not have had a material impact on the total value of our portfolio.</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0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do not regularly incur any material expenses with vendors outside the United States or that are denominated in currencies other than the U.S. dollar. We may incur such expenses in the future at which point exchange rate fluctuations might adversely affect our expenses, results of operations, financial position and cash flows. To date, exchange rate fluctuations have not had a material effect on our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1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inflation has had a material effect on our results of operations during the periods presented and do not anticipate a material impact going forward.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8"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September 30, 2024. As of September 30, 2024, our disclosure controls and procedures were not effective as a result of our material weaknesses in our internal control over financial reporting. You should read this description of our controls and procedures together with “Item 9A. Controls and Procedures” included in our Annual Report.</w:t>
      </w:r>
    </w:p>
    <w:p>
      <w:pPr>
        <w:spacing w:after="0" w:line="160"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However, our management, including our Chief Executive Officer and our Chief Financial Officer, has concluded that, notwithstanding the identified material weaknesses in our internal control over financial reporting, the financial statements in this Quarterly Report on Form 10-Q fairly present, in all material respects, our financial position, results of operations and cash flows for the periods presented in conformity with GAAP.</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than the material weakness remediation activities described below, there were no changes in our internal control over financial reporting, as identified in connection with evaluation required by Rules 13a-15(e) and 15d-15(e) under the Exchange Act, that occurred during the three months ended September 30, 2024 that have materially affected, or are reasonably likely to materially affect, our internal control over financial reporting.</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2024, we have taken steps of implementing our remediation plans with respect to the material weaknesses identified in our internal control over financial reporting. Specifically, with the oversight of senior management, including our Chief Financial Officer and our audit committee, we continued implementing processes and controls to address the material weaknesses. We have increased the number of resources (internal and third-party) dedicated to our accounting and finance team, including personnel with additional knowledge, experience, and training, to ensure we have adequate staff, to segregate key duties, and to comply with company policies and procedures. We have also engaged a third-party provider to help us assess and improve our internal controls in preparation for compliance with Sarbanes-Oxley. Additionally, we continue to make progress on implementing written policies and implementing process level and management review controls for our manual journal entries. However, we cannot assure you that we will be successful in remediating the material weaknesses we identified or that our internal control over financial reporting, as modified, will enable us to identify or avoid material weaknesses in the future.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 over financial reporting in accordance with GAAP and SEC reporting requirements, the implementation of these measures is ongoing and will require validation and testing of the design and operating effectiveness of internal controls over a sustained period of financial reporting cycles. The material weaknesses will not be considered remediated until our management designs and implements effective controls that operate for a sufficient period of time and our management has concluded through testing that these controls are effective. We cannot assure you that the measures we have taken to date, and are continuing to implement, will be sufficient to establish and maintain effective internal control over financial reporting.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99"/>
        <w:spacing w:after="0" w:line="261" w:lineRule="auto"/>
        <w:rPr>
          <w:sz w:val="20"/>
          <w:szCs w:val="20"/>
          <w:color w:val="auto"/>
        </w:rPr>
      </w:pPr>
      <w:r>
        <w:rPr>
          <w:rFonts w:ascii="Times New Roman" w:cs="Times New Roman" w:eastAsia="Times New Roman" w:hAnsi="Times New Roman"/>
          <w:sz w:val="18"/>
          <w:szCs w:val="18"/>
          <w:color w:val="auto"/>
        </w:rPr>
        <w:t>Other than as described below, there have been no additional material changes to our risk factors as set forth in Part I, Item 1A of our Annual Report. You should carefully review and consider the information regarding certain factors which could materially affect our business, financial condition or future results set forth under the heading “Risk Factors” in our Annual Report.</w:t>
      </w:r>
    </w:p>
    <w:p>
      <w:pPr>
        <w:spacing w:after="0" w:line="176"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commercialize technologies or product candidates more rapidly than we do, or their technologies or product candidates are more effective, safer, or less expensive than firmonertinib or any future product candidates we develop, our business and our ability to develop and successfully commercialize products will be adversely affected.</w:t>
      </w:r>
    </w:p>
    <w:p>
      <w:pPr>
        <w:spacing w:after="0" w:line="18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firmonertinib. Firmonertinib and any future product candidates that we successfully develop and commercialize will compete with existing therapies and new therapies that may become available in the future. Our competitors include larger and better-funded pharmaceutical, biopharmaceutical, biotechnological and therapeutics companies. Moreover, we may also compete with universities and other research institutions who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subjects for clinical trials and in identifying and in-licensing intellectual property related to new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spacing w:after="0" w:line="18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believe that our current and future competition for resources and eventually for customers comes from companies that are commercializing or developing candidates targeting EGFRm-positive NSCLC, including, but not limited to, AstraZeneca, Johnson &amp; Johnson, , Dizal Pharmaceutical, Oric Pharmaceuticals, Inc., Black Diamond Therapeutics, Inc., Taiho Pharmaceutical Co., Ltd. (Taiho Pharmaceutical), Boehringer Ingelheim Bayer AG, and Pierre Fabre. In October 2023, Johnson &amp; Johnson presented the results of their Phase 3 PAPILLON study of chemotherapy in combination with the anti-EGFR anti-MET (mesenchymal epithelial transition) bispecific antibody amivantamab in first-line NSCLC patients with EGFR exon 20 insertion mutations, and in July 2023 announced that the PAPILLON study met its primary endpoint. In March 2024, the FDA approved Johnson &amp; Johnson’s chemotherapy in combination with amivantamab in first-line NSCLC patients with EGFR exon 20 insertion mutations, and similar approvals were granted to Johnson &amp; Johnson by the European Medicines Agency in June 2024 and by Japan’s Pharmaceuticals and Medical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Devices Agency in September 2024. Johnson &amp; Johnson has also received FDA approvals for amivantamab in combination with lazertinib in first-line NSCLC patients with classical EGFR mutations and is seeking or has received similar approvals from other regulatory bodies globally. In addition, Dizal Pharmaceutical and Cullinan Therapeutics, Inc., in a partnership with Taiho Pharmaceutical, have initiated Phase 3 trials for sunvozertinib and zipalertinib in combination with chemotherapy, respectively, in first-line NSCLC patients with EGFR exon 20 insertion mutations. Black Diamond Therapeutics and Oric Pharmaceuticals have presented initial Phase 1 data on BDTX-1535 and ORIC-114, respectively, in NSCLC patients with uncommon EGFR mutations, which includes some PACC mutations.</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firmonertinib or any future product candidate, we will face competition based on many different factors, including the safety and effectiveness of our products, the ease with which our products can be administered,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Competing products may render firmonertinib or any future product candidates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 See the section entitled, “Business — Competition” in our Annual Report for more information.</w:t>
      </w:r>
    </w:p>
    <w:p>
      <w:pPr>
        <w:spacing w:after="0" w:line="188"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Chinese third party for the manufacture of furmonertinib for clinical development and expect to continue to rely on third parties for the foreseeable future. This reliance on third parties increases the risk that we will not have sufficient quantities of furmonertinib or such quantities at an acceptable cost, which could delay, prevent or impair our development or potential commercialization efforts.</w:t>
      </w:r>
    </w:p>
    <w:p>
      <w:pPr>
        <w:spacing w:after="0" w:line="18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do not own or operate manufacturing facilities and have no plans to develop our own clinical or commercial-scale manufacturing capabilities. We rely on a third party, and expect to continue to rely, on third parties for the manufacture of furmonertinib and related raw materials for clinical development, as well as for commercial manufacture if furmonertinib receives marketing approval. The facilities used by third-party manufacturers to manufacture furmonertinib must be approved by the FDA and any comparable foreign regulatory authority pursuant to inspections that will be conducted after we submit an NDA to the FDA or make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w:t>
      </w:r>
    </w:p>
    <w:p>
      <w:pPr>
        <w:spacing w:after="0" w:line="19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 addition, we have no control over the ability of third-party manufacturers to maintain adequate quality control, quality assurance and qualified personnel. If the FDA or any comparable foreign regulatory authority does not approve these facilities for the manufacture of furmonertinib or if it withdraws any such approval in the future, we may need to find alternative manufacturing facilities, which would significantly impact our ability to develop, obtain regulatory approval for or market furmonertinib, if approved. Our failure, or the failure of our third-party manufacturers, to comply with applicable regulations also could result in sanctions being imposed on us, including clinical holds, fines, injunctions, civil penalties, delays, suspension or withdrawal of approvals, seizures or recalls of furmonertinib or other future products, operating restrictions and criminal prosecutions, any of which could significantly and adversely affect supplies of our products and our financial position.</w:t>
      </w:r>
    </w:p>
    <w:p>
      <w:pPr>
        <w:spacing w:after="0" w:line="188"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on commercially reasonable terms, in a timely manner and in compliance with cGMP or other regulatory requirements could adversely affect our business in a number of ways, including:</w:t>
      </w:r>
    </w:p>
    <w:p>
      <w:pPr>
        <w:spacing w:after="0" w:line="176" w:lineRule="exact"/>
        <w:rPr>
          <w:sz w:val="20"/>
          <w:szCs w:val="20"/>
          <w:color w:val="auto"/>
        </w:rPr>
      </w:pPr>
    </w:p>
    <w:p>
      <w:pPr>
        <w:ind w:left="720" w:right="43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complete clinical trials of furmonertinib or any future product candidates in a timely manner;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1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marketing approvals, for furmonertinib or any future product candidates;</w:t>
      </w:r>
    </w:p>
    <w:p>
      <w:pPr>
        <w:ind w:left="720" w:right="639" w:hanging="319"/>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potential future manufacturing facilities to additional inspections by regulatory authorities;</w:t>
      </w: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furmonertinib or any future product candidates; and</w:t>
      </w:r>
    </w:p>
    <w:p>
      <w:pPr>
        <w:spacing w:after="0" w:line="9" w:lineRule="exact"/>
        <w:rPr>
          <w:rFonts w:ascii="Times New Roman" w:cs="Times New Roman" w:eastAsia="Times New Roman" w:hAnsi="Times New Roman"/>
          <w:sz w:val="18"/>
          <w:szCs w:val="18"/>
          <w:color w:val="auto"/>
        </w:rPr>
      </w:pPr>
    </w:p>
    <w:p>
      <w:pPr>
        <w:ind w:left="720" w:right="119" w:hanging="319"/>
        <w:spacing w:after="0" w:line="26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furmonertinib or any future product candidates, an inability to meet commercial demands for furmonertinib or any future product candidates.</w:t>
      </w:r>
    </w:p>
    <w:p>
      <w:pPr>
        <w:spacing w:after="0" w:line="181"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addition, we do not have any long-term commitments or supply agreements with any third-party manufacturers. We may be unable to establish any long-term supply agreements with third-party manufacturers or to do so on acceptable terms, which increases the risk of failing to timely obtain sufficient quantities of furmonertinib or such quantities at an acceptable cost. Even if we are able to establish agreements with third-party manufacturers, reliance on third-party manufacturers entails additional risks, including:</w:t>
      </w:r>
    </w:p>
    <w:p>
      <w:pPr>
        <w:spacing w:after="0" w:line="183"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candidates according to our specifications;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 raw materials and other materials required for manufacturing;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schedule or at all;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scale up manufacturing capacity, if required;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any potential trade secrets and know-how;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20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jeopardize our ability to commence or continue commercialization of furmonertinib or any future product candidates, and any related remedial measures may be costly or time 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Without additional suppliers of required raw materials, we may also be unable to meet the commercial needs of a commercial launch of any future product candidates.</w:t>
      </w:r>
    </w:p>
    <w:p>
      <w:pPr>
        <w:spacing w:after="0" w:line="19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In addition, our current and anticipated future dependence upon others for the manufacture of furmonertinib and any future product candidates may adversely affect our future profit margins and our ability to commercialize any products that receive marketing approval on a timely and competitive basis.</w:t>
      </w:r>
    </w:p>
    <w:p>
      <w:pPr>
        <w:spacing w:after="0" w:line="1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 portion of our product development and manufacturing for our product candidate furmonertinib takes place in China through third-party manufacturers. A significant disruption in the operation of those manufacturers, a trade war or political unrest in China, or a change in the regulatory framework in the United States or China, could materially adversely affect our business, financial condition and results of operations.</w:t>
      </w:r>
    </w:p>
    <w:p>
      <w:pPr>
        <w:spacing w:after="0" w:line="18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Currently, we rely on and have agreements with two third-party contract manufacturers, Raybow and WuXi STA to supply the drug substance for furmonertinib to be used in planned clinical trials and with WuXi STA, with whom we have executed technology transfer related to the manufacture of drug product, to manufacture the clinical trial supplies of furmonertinib drug product. Both of third-party contract manufacturers are located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U.S. or Chinese governments, political unrest or unstable economic conditions in China. For example, a trade war could lead to tariffs on the chemical intermediates we use that are manufactured in China.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1" w:lineRule="auto"/>
        <w:rPr>
          <w:sz w:val="20"/>
          <w:szCs w:val="20"/>
          <w:color w:val="auto"/>
        </w:rPr>
      </w:pPr>
      <w:r>
        <w:rPr>
          <w:rFonts w:ascii="Times New Roman" w:cs="Times New Roman" w:eastAsia="Times New Roman" w:hAnsi="Times New Roman"/>
          <w:sz w:val="18"/>
          <w:szCs w:val="18"/>
          <w:color w:val="auto"/>
        </w:rPr>
        <w:t>Recently, the Biden administration has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I In February 2024, certain U.S. Senators and Representatives sent a letter to the Biden administration requesting that both WuXi AppTec, WuXi STA’s parent company, and the affiliated WuXi Biologics be added to the Department of Defense’s Chinese Military Companies List (1260H list), the Department of Commerce’s Bureau of Industry and Security Entity List, and the Department of Treasury’s Non-SDN Chinese Military-Industrial Complex Companies List. While the Biden administration has yet to take action on this letter, adding WuXi STA on any or all of the aforementioned lists could materially impact supply of furmonertinib from WuXi STA. In addition, there have been Congressional legislative proposals, such as a bill titled the BIOSECURE Act, to discourage contracting with certain Chinese companies, including two WuXi affiliates, on the development or manufacturing of pharmaceutical products. The BIOSECURE Act passed the U.S. House of Representatives on September 9, 2024. The version of the BIOSECURE Act that passed the U.S. House of Representatives included a grandfather clause that would allow contracts entered into with the Chinese companies named therein prior to the effective date of such legislation until January 1, 2032. The BIOSECURE Act must also pass the U.S. Senate before going to the President for either his veto or signature, and it is uncertain whether the bill will be brought to the floor for a vote by the U.S. Senate before the current legislative session expires on January 3, 2025. There can be no assurance that the final text of the BIOSECURE Act, to the extent it is signed into law, will contain the “grandfather” clause described above, or any other provision contained in the version of the BIOSECURE Act that passed the U.S. House of Representatives. If this bill becomes law, or similar laws are passed, these regulations would have the potential to restrict our ability to contract with certain Chinese biotechnology companies. Such restrictions could cause delays or have other adverse effects on the development of certain of our research programs. If we are required to change manufacturers for any reason, we will be required to verify that the new manufacturer maintains facilities and procedures that comply with quality standards and with all applicable regulations and guidelines. For example, in the event that we need to switch our third-party manufacturer of furmonertinib from WuXi STA, we anticipate that the complexity of the manufacturing process may impact the amount of time it may take to secure a replacement manufacturer. The delays associated with the verification of a new manufacturer, once we are able to identify an alternative source, could negatively affect our ability to develop product candidates in a timely manner or within budget, which could materially adversely affect our business, financial condition and results of operations.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Sales of Unregistered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Proceeds from Public Offering of Common Stock</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January 25, 2024, our registration statement on Form S-1 (File No 333-276397) relating to our initial public offering of common stock was declared effective by the SEC. Upon the closing of the initial public offering, we issued 11,180,555 shares of common stock (including the exercise in full by the underwriters of their option to purchase an additional 1,458,333 shares of common stock) at a public offering price of $18.00 per share. We received net proceeds from the initial public offering of $183.2 million, after deducting underwriting discounts and commissions and other offering expenses. None of the expenses associated with our initial public offering were paid to directors, officers, persons owning 10% or more of any class of equity securities, or to our affiliates.</w:t>
      </w:r>
    </w:p>
    <w:p>
      <w:pPr>
        <w:spacing w:after="0" w:line="18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initial public offering from that described in the prospectus filed with the SEC pursuant to Rule 424(b)(4) under the Securities Act of 1933, as amended, on January 26,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Rule 10b5-1 Trading Plans</w:t>
      </w:r>
    </w:p>
    <w:p>
      <w:pPr>
        <w:spacing w:after="0" w:line="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the fiscal quarter ended September 30, 2024,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32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6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32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40" w:right="539" w:hanging="884"/>
        <w:spacing w:after="0" w:line="298" w:lineRule="auto"/>
        <w:tabs>
          <w:tab w:leader="none" w:pos="153" w:val="left"/>
        </w:tabs>
        <w:numPr>
          <w:ilvl w:val="0"/>
          <w:numId w:val="1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hyperlink r:id="rId47">
        <w:r>
          <w:rPr>
            <w:rFonts w:ascii="Times New Roman" w:cs="Times New Roman" w:eastAsia="Times New Roman" w:hAnsi="Times New Roman"/>
            <w:sz w:val="17"/>
            <w:szCs w:val="17"/>
            <w:u w:val="single" w:color="auto"/>
            <w:color w:val="0000EE"/>
          </w:rPr>
          <w:t>Amended and Restated Certificate of Incorporation (incorporated by reference to Exhibit 3.1 of the</w:t>
        </w:r>
      </w:hyperlink>
      <w:r>
        <w:rPr>
          <w:rFonts w:ascii="Times New Roman" w:cs="Times New Roman" w:eastAsia="Times New Roman" w:hAnsi="Times New Roman"/>
          <w:sz w:val="17"/>
          <w:szCs w:val="17"/>
          <w:u w:val="single" w:color="auto"/>
          <w:color w:val="0000EE"/>
        </w:rPr>
        <w:t xml:space="preserve"> </w:t>
      </w:r>
      <w:hyperlink r:id="rId47">
        <w:r>
          <w:rPr>
            <w:rFonts w:ascii="Times New Roman" w:cs="Times New Roman" w:eastAsia="Times New Roman" w:hAnsi="Times New Roman"/>
            <w:sz w:val="17"/>
            <w:szCs w:val="17"/>
            <w:u w:val="single" w:color="auto"/>
            <w:color w:val="0000EE"/>
          </w:rPr>
          <w:t>Registrant’s Current Report on Form 8-K (File No. 001-41929) filed with the SEC on January 30, 2024).</w:t>
        </w:r>
      </w:hyperlink>
    </w:p>
    <w:p>
      <w:pPr>
        <w:ind w:left="940" w:right="139" w:hanging="884"/>
        <w:spacing w:after="0" w:line="281" w:lineRule="auto"/>
        <w:tabs>
          <w:tab w:leader="none" w:pos="153" w:val="left"/>
        </w:tabs>
        <w:numPr>
          <w:ilvl w:val="0"/>
          <w:numId w:val="1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hyperlink r:id="rId48">
        <w:r>
          <w:rPr>
            <w:rFonts w:ascii="Times New Roman" w:cs="Times New Roman" w:eastAsia="Times New Roman" w:hAnsi="Times New Roman"/>
            <w:sz w:val="18"/>
            <w:szCs w:val="18"/>
            <w:u w:val="single" w:color="auto"/>
            <w:color w:val="0000EE"/>
          </w:rPr>
          <w:t>Amended and Restated Bylaws (incorporated by reference to Exhibit 3.2 of the Registrant’s Current Report on</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Form 8-K (File No. 001-41929) filed with the SEC on January 30,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39370</wp:posOffset>
            </wp:positionH>
            <wp:positionV relativeFrom="paragraph">
              <wp:posOffset>-612775</wp:posOffset>
            </wp:positionV>
            <wp:extent cx="5648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95"/>
        </w:trPr>
        <w:tc>
          <w:tcPr>
            <w:tcW w:w="8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794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9"/>
              </w:rPr>
              <w:t>Amended and Restated Research and Collaboration Agreement, dated August 9, 2024, by and between Aarvik</w:t>
            </w:r>
          </w:p>
        </w:tc>
      </w:tr>
      <w:tr>
        <w:trPr>
          <w:trHeight w:val="196"/>
        </w:trPr>
        <w:tc>
          <w:tcPr>
            <w:tcW w:w="880" w:type="dxa"/>
            <w:vAlign w:val="bottom"/>
          </w:tcPr>
          <w:p>
            <w:pPr>
              <w:spacing w:after="0"/>
              <w:rPr>
                <w:sz w:val="17"/>
                <w:szCs w:val="17"/>
                <w:color w:val="auto"/>
              </w:rPr>
            </w:pPr>
          </w:p>
        </w:tc>
        <w:tc>
          <w:tcPr>
            <w:tcW w:w="79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Therapeutics, Inc. and the Registrant.</w:t>
            </w:r>
          </w:p>
        </w:tc>
      </w:tr>
      <w:tr>
        <w:trPr>
          <w:trHeight w:val="20"/>
        </w:trPr>
        <w:tc>
          <w:tcPr>
            <w:tcW w:w="88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13a-15(e) or Rule 15d-15(e) under the Securities</w:t>
            </w:r>
          </w:p>
        </w:tc>
      </w:tr>
      <w:tr>
        <w:trPr>
          <w:trHeight w:val="196"/>
        </w:trPr>
        <w:tc>
          <w:tcPr>
            <w:tcW w:w="88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780" w:type="dxa"/>
            <w:vAlign w:val="bottom"/>
            <w:tcBorders>
              <w:top w:val="single" w:sz="8" w:color="0000EE"/>
            </w:tcBorders>
            <w:gridSpan w:val="2"/>
          </w:tcPr>
          <w:p>
            <w:pPr>
              <w:spacing w:after="0"/>
              <w:rPr>
                <w:sz w:val="17"/>
                <w:szCs w:val="17"/>
                <w:color w:val="auto"/>
              </w:rPr>
            </w:pPr>
          </w:p>
        </w:tc>
        <w:tc>
          <w:tcPr>
            <w:tcW w:w="280" w:type="dxa"/>
            <w:vAlign w:val="bottom"/>
            <w:gridSpan w:val="3"/>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13a-15(e) or Rule 15d-15(e) under the Securities</w:t>
            </w:r>
          </w:p>
        </w:tc>
        <w:tc>
          <w:tcPr>
            <w:tcW w:w="320" w:type="dxa"/>
            <w:vAlign w:val="bottom"/>
            <w:gridSpan w:val="4"/>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6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1060" w:type="dxa"/>
            <w:vAlign w:val="bottom"/>
            <w:gridSpan w:val="5"/>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of Periodic Report Pursuant to 18 U.S.C. Section 1350, as Adopted</w:t>
            </w:r>
          </w:p>
        </w:tc>
        <w:tc>
          <w:tcPr>
            <w:tcW w:w="18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620" w:type="dxa"/>
            <w:vAlign w:val="bottom"/>
            <w:gridSpan w:val="6"/>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of Periodic Report Pursuant to 18 U.S.C. Section 1350, as Adopted</w:t>
            </w:r>
          </w:p>
        </w:tc>
      </w:tr>
      <w:tr>
        <w:trPr>
          <w:trHeight w:val="196"/>
        </w:trPr>
        <w:tc>
          <w:tcPr>
            <w:tcW w:w="8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380" w:type="dxa"/>
            <w:vAlign w:val="bottom"/>
            <w:tcBorders>
              <w:top w:val="single" w:sz="8" w:color="0000EE"/>
            </w:tcBorders>
            <w:gridSpan w:val="4"/>
          </w:tcPr>
          <w:p>
            <w:pPr>
              <w:spacing w:after="0"/>
              <w:rPr>
                <w:sz w:val="17"/>
                <w:szCs w:val="17"/>
                <w:color w:val="auto"/>
              </w:rPr>
            </w:pPr>
          </w:p>
        </w:tc>
        <w:tc>
          <w:tcPr>
            <w:tcW w:w="240" w:type="dxa"/>
            <w:vAlign w:val="bottom"/>
            <w:gridSpan w:val="2"/>
          </w:tcPr>
          <w:p>
            <w:pPr>
              <w:spacing w:after="0"/>
              <w:rPr>
                <w:sz w:val="17"/>
                <w:szCs w:val="17"/>
                <w:color w:val="auto"/>
              </w:rPr>
            </w:pPr>
          </w:p>
        </w:tc>
      </w:tr>
      <w:tr>
        <w:trPr>
          <w:trHeight w:val="27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94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w:t>
            </w:r>
          </w:p>
        </w:tc>
      </w:tr>
      <w:tr>
        <w:trPr>
          <w:trHeight w:val="234"/>
        </w:trPr>
        <w:tc>
          <w:tcPr>
            <w:tcW w:w="880" w:type="dxa"/>
            <w:vAlign w:val="bottom"/>
          </w:tcPr>
          <w:p>
            <w:pPr>
              <w:spacing w:after="0"/>
              <w:rPr>
                <w:sz w:val="20"/>
                <w:szCs w:val="20"/>
                <w:color w:val="auto"/>
              </w:rPr>
            </w:pPr>
          </w:p>
        </w:tc>
        <w:tc>
          <w:tcPr>
            <w:tcW w:w="7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spacing w:after="0" w:line="36" w:lineRule="exact"/>
        <w:rPr>
          <w:rFonts w:ascii="Times New Roman" w:cs="Times New Roman" w:eastAsia="Times New Roman" w:hAnsi="Times New Roman"/>
          <w:sz w:val="18"/>
          <w:szCs w:val="18"/>
          <w:color w:val="auto"/>
        </w:rPr>
      </w:pPr>
    </w:p>
    <w:p>
      <w:pPr>
        <w:ind w:left="940" w:right="199" w:hanging="884"/>
        <w:spacing w:after="0" w:line="282" w:lineRule="auto"/>
        <w:tabs>
          <w:tab w:leader="none" w:pos="9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9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Filed with this Quarterly Report on Form 10-Q.</w:t>
      </w:r>
    </w:p>
    <w:p>
      <w:pPr>
        <w:spacing w:after="0" w:line="95" w:lineRule="exact"/>
        <w:rPr>
          <w:rFonts w:ascii="Times New Roman" w:cs="Times New Roman" w:eastAsia="Times New Roman" w:hAnsi="Times New Roman"/>
          <w:sz w:val="18"/>
          <w:szCs w:val="18"/>
          <w:color w:val="auto"/>
        </w:rPr>
      </w:pPr>
    </w:p>
    <w:p>
      <w:pPr>
        <w:ind w:left="380" w:right="79" w:hanging="330"/>
        <w:spacing w:after="0" w:line="236"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ArriVent BioPharma, Inc.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-609600</wp:posOffset>
            </wp:positionV>
            <wp:extent cx="141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49" w:lineRule="exact"/>
        <w:rPr>
          <w:rFonts w:ascii="Times New Roman" w:cs="Times New Roman" w:eastAsia="Times New Roman" w:hAnsi="Times New Roman"/>
          <w:sz w:val="18"/>
          <w:szCs w:val="18"/>
          <w:color w:val="auto"/>
        </w:rPr>
      </w:pPr>
    </w:p>
    <w:p>
      <w:pPr>
        <w:ind w:left="380" w:right="619" w:hanging="330"/>
        <w:spacing w:after="0" w:line="180" w:lineRule="auto"/>
        <w:tabs>
          <w:tab w:leader="none" w:pos="380" w:val="left"/>
        </w:tabs>
        <w:numPr>
          <w:ilvl w:val="0"/>
          <w:numId w:val="20"/>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2"/>
          <w:szCs w:val="12"/>
          <w:color w:val="auto"/>
        </w:rPr>
        <w:t>Certain confidential portions of this Exhibit were omitted by means of marking such portions with brackets (“[***]”) because the identified confidential portions (i) are not material and (ii) would be competitively harmful if publicly disclosed.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56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ARRIVENT BIOPHARMA, INC.</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17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Zhengbin (Bing) Yao, Ph.D.</w:t>
            </w:r>
          </w:p>
        </w:tc>
      </w:tr>
      <w:tr>
        <w:trPr>
          <w:trHeight w:val="191"/>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Zhengbin (Bing) Yao, Ph.D.</w:t>
            </w:r>
          </w:p>
        </w:tc>
      </w:tr>
      <w:tr>
        <w:trPr>
          <w:trHeight w:val="216"/>
        </w:trPr>
        <w:tc>
          <w:tcPr>
            <w:tcW w:w="3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17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Winston Kung</w:t>
            </w:r>
          </w:p>
        </w:tc>
      </w:tr>
      <w:tr>
        <w:trPr>
          <w:trHeight w:val="211"/>
        </w:trPr>
        <w:tc>
          <w:tcPr>
            <w:tcW w:w="3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Winston Kung</w:t>
            </w:r>
          </w:p>
        </w:tc>
      </w:tr>
    </w:tbl>
    <w:p>
      <w:pPr>
        <w:jc w:val="center"/>
        <w:ind w:left="49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7"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jc w:val="right"/>
        <w:ind w:right="259"/>
        <w:spacing w:after="0"/>
        <w:rPr>
          <w:sz w:val="20"/>
          <w:szCs w:val="20"/>
          <w:color w:val="auto"/>
        </w:rPr>
      </w:pPr>
      <w:r>
        <w:rPr>
          <w:rFonts w:ascii="Times New Roman" w:cs="Times New Roman" w:eastAsia="Times New Roman" w:hAnsi="Times New Roman"/>
          <w:sz w:val="22"/>
          <w:szCs w:val="22"/>
          <w:i w:val="1"/>
          <w:iCs w:val="1"/>
          <w:color w:val="auto"/>
        </w:rPr>
        <w:t>Exhibit 10.1</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RESEARCH COLLABORATION AGREEMENT</w:t>
      </w:r>
    </w:p>
    <w:p>
      <w:pPr>
        <w:spacing w:after="0" w:line="182" w:lineRule="exact"/>
        <w:rPr>
          <w:sz w:val="20"/>
          <w:szCs w:val="20"/>
          <w:color w:val="auto"/>
        </w:rPr>
      </w:pPr>
    </w:p>
    <w:p>
      <w:pPr>
        <w:jc w:val="both"/>
        <w:ind w:left="240" w:right="259" w:firstLine="648"/>
        <w:spacing w:after="0" w:line="235" w:lineRule="auto"/>
        <w:rPr>
          <w:sz w:val="20"/>
          <w:szCs w:val="20"/>
          <w:color w:val="auto"/>
        </w:rPr>
      </w:pPr>
      <w:r>
        <w:rPr>
          <w:rFonts w:ascii="Times New Roman" w:cs="Times New Roman" w:eastAsia="Times New Roman" w:hAnsi="Times New Roman"/>
          <w:sz w:val="22"/>
          <w:szCs w:val="22"/>
          <w:color w:val="auto"/>
        </w:rPr>
        <w:t>This AMENDED AND RESTATED RESEARCH COLLABORATION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effective as of August 9, 2024 (the “</w:t>
      </w:r>
      <w:r>
        <w:rPr>
          <w:rFonts w:ascii="Times New Roman" w:cs="Times New Roman" w:eastAsia="Times New Roman" w:hAnsi="Times New Roman"/>
          <w:sz w:val="22"/>
          <w:szCs w:val="22"/>
          <w:b w:val="1"/>
          <w:bCs w:val="1"/>
          <w:color w:val="auto"/>
        </w:rPr>
        <w:t>Restated Agreement Effective Date</w:t>
      </w:r>
      <w:r>
        <w:rPr>
          <w:rFonts w:ascii="Times New Roman" w:cs="Times New Roman" w:eastAsia="Times New Roman" w:hAnsi="Times New Roman"/>
          <w:sz w:val="22"/>
          <w:szCs w:val="22"/>
          <w:color w:val="auto"/>
        </w:rPr>
        <w:t>”) by and between Aarvik Therapeutics, Inc., a company incorporated in Delaware, having a place of business at 31363 Medallion Drive, Hayward, CA 94544 (“</w:t>
      </w:r>
      <w:r>
        <w:rPr>
          <w:rFonts w:ascii="Times New Roman" w:cs="Times New Roman" w:eastAsia="Times New Roman" w:hAnsi="Times New Roman"/>
          <w:sz w:val="22"/>
          <w:szCs w:val="22"/>
          <w:b w:val="1"/>
          <w:bCs w:val="1"/>
          <w:color w:val="auto"/>
        </w:rPr>
        <w:t>Aarvik</w:t>
      </w:r>
      <w:r>
        <w:rPr>
          <w:rFonts w:ascii="Times New Roman" w:cs="Times New Roman" w:eastAsia="Times New Roman" w:hAnsi="Times New Roman"/>
          <w:sz w:val="22"/>
          <w:szCs w:val="22"/>
          <w:color w:val="auto"/>
        </w:rPr>
        <w:t>”), and ArriVent BioPharma, Inc., a company incorporated in Delaware, with offices located at 18 Campus Blvd. Suite 100, Newtown Square, PA 19073-3269 (“</w:t>
      </w:r>
      <w:r>
        <w:rPr>
          <w:rFonts w:ascii="Times New Roman" w:cs="Times New Roman" w:eastAsia="Times New Roman" w:hAnsi="Times New Roman"/>
          <w:sz w:val="22"/>
          <w:szCs w:val="22"/>
          <w:b w:val="1"/>
          <w:bCs w:val="1"/>
          <w:color w:val="auto"/>
        </w:rPr>
        <w:t>ArriVent</w:t>
      </w:r>
      <w:r>
        <w:rPr>
          <w:rFonts w:ascii="Times New Roman" w:cs="Times New Roman" w:eastAsia="Times New Roman" w:hAnsi="Times New Roman"/>
          <w:sz w:val="22"/>
          <w:szCs w:val="22"/>
          <w:color w:val="auto"/>
        </w:rPr>
        <w:t>”). ArriVent and Aarvik are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10" w:lineRule="exact"/>
        <w:rPr>
          <w:sz w:val="20"/>
          <w:szCs w:val="20"/>
          <w:color w:val="auto"/>
        </w:rPr>
      </w:pPr>
    </w:p>
    <w:p>
      <w:pPr>
        <w:jc w:val="both"/>
        <w:ind w:left="240" w:right="259" w:firstLine="648"/>
        <w:spacing w:after="0" w:line="233" w:lineRule="auto"/>
        <w:rPr>
          <w:sz w:val="20"/>
          <w:szCs w:val="20"/>
          <w:color w:val="auto"/>
        </w:rPr>
      </w:pPr>
      <w:r>
        <w:rPr>
          <w:rFonts w:ascii="Times New Roman" w:cs="Times New Roman" w:eastAsia="Times New Roman" w:hAnsi="Times New Roman"/>
          <w:sz w:val="22"/>
          <w:szCs w:val="22"/>
          <w:color w:val="auto"/>
        </w:rPr>
        <w:t>Aarvik has expertise in, and platforms for, the discovery of novel molecules for oncology targets. ArriVent has expertise in the research, development and commercialization of pharmaceutical products. Aarvik and ArriVent previously entered into that certain Research Collaboration Agreement dated December 21, 2021, as amended pursuant to an Amendment No. 1 to Research Collaboration Agreement dated June 30, 2023 (the “</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 pursuant to which the Parties agreed to collaborate to use the Aarvik IP to discover novel bispecific ADCs in the Field, from which Compound(s) may be selected and further developed, and pursuant to which Aarvik granted to ArriVent certain exclusive rights to Research, Develop, use, Manufacture, Commercialize the Compounds and Products in the Field in the Territory. The Parties desire now desire to amend and restate the Original Agreement in its entirety pursuant to the terms and conditions set forth in this Agreement.</w:t>
      </w:r>
    </w:p>
    <w:p>
      <w:pPr>
        <w:spacing w:after="0" w:line="187" w:lineRule="exact"/>
        <w:rPr>
          <w:sz w:val="20"/>
          <w:szCs w:val="20"/>
          <w:color w:val="auto"/>
        </w:rPr>
      </w:pPr>
    </w:p>
    <w:p>
      <w:pPr>
        <w:jc w:val="both"/>
        <w:ind w:left="240" w:right="259"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provided herein below and other consideration the receipt and sufficiency of which is hereby acknowledged, ArriVent and Aarvik hereby agree as follows: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jc w:val="both"/>
        <w:ind w:left="240" w:right="259" w:firstLine="648"/>
        <w:spacing w:after="0" w:line="258" w:lineRule="auto"/>
        <w:rPr>
          <w:sz w:val="20"/>
          <w:szCs w:val="20"/>
          <w:color w:val="auto"/>
        </w:rPr>
      </w:pPr>
      <w:r>
        <w:rPr>
          <w:rFonts w:ascii="Times New Roman" w:cs="Times New Roman" w:eastAsia="Times New Roman" w:hAnsi="Times New Roman"/>
          <w:sz w:val="22"/>
          <w:szCs w:val="22"/>
          <w:color w:val="auto"/>
        </w:rPr>
        <w:t>The following capitalized terms shall have the meanings given in this Article 1 when used in this Agreement:</w:t>
      </w:r>
    </w:p>
    <w:p>
      <w:pPr>
        <w:spacing w:after="0" w:line="154" w:lineRule="exact"/>
        <w:rPr>
          <w:sz w:val="20"/>
          <w:szCs w:val="20"/>
          <w:color w:val="auto"/>
        </w:rPr>
      </w:pPr>
    </w:p>
    <w:p>
      <w:pPr>
        <w:ind w:left="900"/>
        <w:spacing w:after="0"/>
        <w:tabs>
          <w:tab w:leader="none" w:pos="180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Aarvik Indemnitees</w:t>
      </w:r>
      <w:r>
        <w:rPr>
          <w:rFonts w:ascii="Times New Roman" w:cs="Times New Roman" w:eastAsia="Times New Roman" w:hAnsi="Times New Roman"/>
          <w:sz w:val="21"/>
          <w:szCs w:val="21"/>
          <w:color w:val="auto"/>
        </w:rPr>
        <w:t>” has the meaning set forth in Section 10.2.</w:t>
      </w:r>
    </w:p>
    <w:p>
      <w:pPr>
        <w:spacing w:after="0" w:line="206" w:lineRule="exact"/>
        <w:rPr>
          <w:sz w:val="20"/>
          <w:szCs w:val="20"/>
          <w:color w:val="auto"/>
        </w:rPr>
      </w:pPr>
    </w:p>
    <w:p>
      <w:pPr>
        <w:ind w:left="900"/>
        <w:spacing w:after="0"/>
        <w:tabs>
          <w:tab w:leader="none" w:pos="180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Aarvik IP</w:t>
      </w:r>
      <w:r>
        <w:rPr>
          <w:rFonts w:ascii="Times New Roman" w:cs="Times New Roman" w:eastAsia="Times New Roman" w:hAnsi="Times New Roman"/>
          <w:sz w:val="21"/>
          <w:szCs w:val="21"/>
          <w:color w:val="auto"/>
        </w:rPr>
        <w:t>” shall mean Aarvik Know-How and Aarvik Patents.</w:t>
      </w:r>
    </w:p>
    <w:p>
      <w:pPr>
        <w:spacing w:after="0" w:line="206" w:lineRule="exact"/>
        <w:rPr>
          <w:sz w:val="20"/>
          <w:szCs w:val="20"/>
          <w:color w:val="auto"/>
        </w:rPr>
      </w:pPr>
    </w:p>
    <w:p>
      <w:pPr>
        <w:jc w:val="both"/>
        <w:ind w:left="240" w:right="259" w:firstLine="648"/>
        <w:spacing w:after="0" w:line="238"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b w:val="1"/>
          <w:bCs w:val="1"/>
          <w:color w:val="auto"/>
        </w:rPr>
        <w:t>Aarvik Know-How</w:t>
      </w:r>
      <w:r>
        <w:rPr>
          <w:rFonts w:ascii="Times New Roman" w:cs="Times New Roman" w:eastAsia="Times New Roman" w:hAnsi="Times New Roman"/>
          <w:sz w:val="22"/>
          <w:szCs w:val="22"/>
          <w:color w:val="auto"/>
        </w:rPr>
        <w:t>” shall mean all Know-How owned or Controlled by Aarvik or any of its Affiliates as of the Original Effective Date or during the Term that is necessary or useful for the Research, Development, Manufacture, or Commercialization of any Compound or Product in the Field. For clarity, Aarvik Know-How shall include all Know-How licensed to Aarvik or any of its Affiliates under the Existing In-License Agreements.</w:t>
      </w:r>
    </w:p>
    <w:p>
      <w:pPr>
        <w:spacing w:after="0" w:line="177" w:lineRule="exact"/>
        <w:rPr>
          <w:sz w:val="20"/>
          <w:szCs w:val="20"/>
          <w:color w:val="auto"/>
        </w:rPr>
      </w:pPr>
    </w:p>
    <w:p>
      <w:pPr>
        <w:jc w:val="both"/>
        <w:ind w:left="240" w:right="259" w:firstLine="648"/>
        <w:spacing w:after="0" w:line="237"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color w:val="auto"/>
        </w:rPr>
        <w:t>Aarvik Patents</w:t>
      </w:r>
      <w:r>
        <w:rPr>
          <w:rFonts w:ascii="Times New Roman" w:cs="Times New Roman" w:eastAsia="Times New Roman" w:hAnsi="Times New Roman"/>
          <w:sz w:val="22"/>
          <w:szCs w:val="22"/>
          <w:color w:val="auto"/>
        </w:rPr>
        <w:t xml:space="preserve">” shall mean all Patents owned or Controlled by Aarvik or any of its Affiliates as of the Original Effective Date or during the Term that are necessary for the Research, Development, Manufacture, use or Commercialization of any Compound or Product in the Field, including the Patents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which shall be updated from time to time. For clarity, Aarvik Patents shall include all Patents, if any, licensed to Aarvik or any of its Affiliates under the Existing In-License Agreements.</w:t>
      </w:r>
    </w:p>
    <w:p>
      <w:pPr>
        <w:sectPr>
          <w:pgSz w:w="11900" w:h="16838" w:orient="portrait"/>
          <w:cols w:equalWidth="0" w:num="1">
            <w:col w:w="9019"/>
          </w:cols>
          <w:pgMar w:left="1440" w:top="110" w:right="1440" w:bottom="1440" w:gutter="0" w:footer="0" w:header="0"/>
        </w:sectPr>
      </w:pPr>
    </w:p>
    <w:p>
      <w:pPr>
        <w:spacing w:after="0" w:line="350" w:lineRule="exact"/>
        <w:rPr>
          <w:sz w:val="20"/>
          <w:szCs w:val="20"/>
          <w:color w:val="auto"/>
        </w:rPr>
      </w:pPr>
    </w:p>
    <w:p>
      <w:pPr>
        <w:ind w:left="240" w:right="279" w:firstLine="6"/>
        <w:spacing w:after="0"/>
        <w:tabs>
          <w:tab w:leader="none" w:pos="549" w:val="left"/>
        </w:tabs>
        <w:numPr>
          <w:ilvl w:val="0"/>
          <w:numId w:val="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335915</wp:posOffset>
            </wp:positionV>
            <wp:extent cx="540067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37" w:name="page38"/>
    <w:bookmarkEnd w:id="37"/>
    <w:p>
      <w:pPr>
        <w:jc w:val="both"/>
        <w:ind w:left="240" w:right="259" w:firstLine="648"/>
        <w:spacing w:after="0" w:line="238"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color w:val="auto"/>
        </w:rPr>
        <w:t>Accounting Standards</w:t>
      </w:r>
      <w:r>
        <w:rPr>
          <w:rFonts w:ascii="Times New Roman" w:cs="Times New Roman" w:eastAsia="Times New Roman" w:hAnsi="Times New Roman"/>
          <w:sz w:val="22"/>
          <w:szCs w:val="22"/>
          <w:color w:val="auto"/>
        </w:rPr>
        <w:t>” shall mean with respect to a Person, as applicable (a) generally accepted accounting principles as practiced in the United States, (b) the International Financial Reporting Standards issued by the International Financial Reporting Standards Foundation and the International Accounting Standards Board, or (c) applicable accounting standards followed by such Person, in each case, consistently applied.</w:t>
      </w:r>
    </w:p>
    <w:p>
      <w:pPr>
        <w:spacing w:after="0" w:line="177" w:lineRule="exact"/>
        <w:rPr>
          <w:sz w:val="20"/>
          <w:szCs w:val="20"/>
          <w:color w:val="auto"/>
        </w:rPr>
      </w:pPr>
    </w:p>
    <w:p>
      <w:pPr>
        <w:jc w:val="both"/>
        <w:ind w:left="240" w:right="259" w:firstLine="648"/>
        <w:spacing w:after="0" w:line="246"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b w:val="1"/>
          <w:bCs w:val="1"/>
          <w:color w:val="auto"/>
        </w:rPr>
        <w:t>ADCs</w:t>
      </w:r>
      <w:r>
        <w:rPr>
          <w:rFonts w:ascii="Times New Roman" w:cs="Times New Roman" w:eastAsia="Times New Roman" w:hAnsi="Times New Roman"/>
          <w:sz w:val="22"/>
          <w:szCs w:val="22"/>
          <w:color w:val="auto"/>
        </w:rPr>
        <w:t xml:space="preserve">” means an antibody drug conjugate comprising one or more antibody(ies) (or fragment(s) thereof) that binds to one or more Target(s) and is conjugated to 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or (c)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left="240" w:right="259" w:firstLine="648"/>
        <w:spacing w:after="0" w:line="235"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shall mean, with respect to either Party, any Person controlling, controlled by or under common control with such Party, for so long as such control exists. For purposes of this definition only, “control” shall mean (a) direct or indirect ownership of fifty percent (50%) or more (or, if less than fifty percent (50%), the maximum ownership interest permitted by Applicable Law) of the stock or shares having the right to vote for the election of directors of such corporate entity or (b) the possession, directly or indirectly, of the power to direct, or cause the direction of, the management or policies of such entity, whether through the ownership of voting securities, by contract or otherwise.</w:t>
      </w:r>
    </w:p>
    <w:p>
      <w:pPr>
        <w:spacing w:after="0" w:line="178" w:lineRule="exact"/>
        <w:rPr>
          <w:sz w:val="20"/>
          <w:szCs w:val="20"/>
          <w:color w:val="auto"/>
        </w:rPr>
      </w:pPr>
    </w:p>
    <w:p>
      <w:pPr>
        <w:ind w:left="900"/>
        <w:spacing w:after="0"/>
        <w:tabs>
          <w:tab w:leader="none" w:pos="180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Alliance Manager</w:t>
      </w:r>
      <w:r>
        <w:rPr>
          <w:rFonts w:ascii="Times New Roman" w:cs="Times New Roman" w:eastAsia="Times New Roman" w:hAnsi="Times New Roman"/>
          <w:sz w:val="21"/>
          <w:szCs w:val="21"/>
          <w:color w:val="auto"/>
        </w:rPr>
        <w:t>” has the meaning set forth in Section 2.2.</w:t>
      </w:r>
    </w:p>
    <w:p>
      <w:pPr>
        <w:spacing w:after="0" w:line="206" w:lineRule="exact"/>
        <w:rPr>
          <w:sz w:val="20"/>
          <w:szCs w:val="20"/>
          <w:color w:val="auto"/>
        </w:rPr>
      </w:pPr>
    </w:p>
    <w:p>
      <w:pPr>
        <w:jc w:val="both"/>
        <w:ind w:left="240" w:right="259" w:firstLine="648"/>
        <w:spacing w:after="0" w:line="237"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shall mean the applicable provisions of any and all national, supranational, regional, state and local laws, treaties, statutes, rules, regulations, administrative codes, guidance, ordinances, judgments, decrees, directives, injunctions, orders, permits (including Marketing Approvals) of or from any court, arbitrator, mediator, Regulatory Authority or governmental agency or authority having jurisdiction over or related to the subject item including all anti-corruption laws.</w:t>
      </w:r>
    </w:p>
    <w:p>
      <w:pPr>
        <w:spacing w:after="0" w:line="175"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ArriVent Indemnitees</w:t>
      </w:r>
      <w:r>
        <w:rPr>
          <w:rFonts w:ascii="Times New Roman" w:cs="Times New Roman" w:eastAsia="Times New Roman" w:hAnsi="Times New Roman"/>
          <w:sz w:val="21"/>
          <w:szCs w:val="21"/>
          <w:color w:val="auto"/>
        </w:rPr>
        <w:t>” has the meaning set forth in Section 10.1.</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Backup Lead [***] Antibody</w:t>
      </w:r>
      <w:r>
        <w:rPr>
          <w:rFonts w:ascii="Times New Roman" w:cs="Times New Roman" w:eastAsia="Times New Roman" w:hAnsi="Times New Roman"/>
          <w:sz w:val="21"/>
          <w:szCs w:val="21"/>
          <w:color w:val="auto"/>
        </w:rPr>
        <w:t>” has the meaning set forth in Section 3.8.3.</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Biologics Act</w:t>
      </w:r>
      <w:r>
        <w:rPr>
          <w:rFonts w:ascii="Times New Roman" w:cs="Times New Roman" w:eastAsia="Times New Roman" w:hAnsi="Times New Roman"/>
          <w:sz w:val="21"/>
          <w:szCs w:val="21"/>
          <w:color w:val="auto"/>
        </w:rPr>
        <w:t>” has the meaning set forth in Section 7.5.</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Biosimilar Product</w:t>
      </w:r>
      <w:r>
        <w:rPr>
          <w:rFonts w:ascii="Times New Roman" w:cs="Times New Roman" w:eastAsia="Times New Roman" w:hAnsi="Times New Roman"/>
          <w:sz w:val="21"/>
          <w:szCs w:val="21"/>
          <w:color w:val="auto"/>
        </w:rPr>
        <w:t xml:space="preserve">” shall mean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648"/>
        <w:spacing w:after="0" w:line="246"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xml:space="preserve"> ” shall mean any day other than a Saturday, Sunday or any other day on which commercial banks in either Pennsylvania or California, the United States or the Cayman Islands are required by law to remain closed.</w:t>
      </w:r>
    </w:p>
    <w:p>
      <w:pPr>
        <w:spacing w:after="0" w:line="167" w:lineRule="exact"/>
        <w:rPr>
          <w:sz w:val="20"/>
          <w:szCs w:val="20"/>
          <w:color w:val="auto"/>
        </w:rPr>
      </w:pPr>
    </w:p>
    <w:p>
      <w:pPr>
        <w:jc w:val="both"/>
        <w:ind w:left="240" w:right="259" w:firstLine="648"/>
        <w:spacing w:after="0" w:line="241"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shall mean each successive period of three calendar months ending on March 31, June 30, September 30 and December 31, provided that the first Calendar Quarter of the Term shall begin on the Original Effective Date and end on the first to occur of March 31, June 30, September 30 or December 31 thereafter.</w:t>
      </w:r>
    </w:p>
    <w:p>
      <w:pPr>
        <w:spacing w:after="0" w:line="172" w:lineRule="exact"/>
        <w:rPr>
          <w:sz w:val="20"/>
          <w:szCs w:val="20"/>
          <w:color w:val="auto"/>
        </w:rPr>
      </w:pPr>
    </w:p>
    <w:p>
      <w:pPr>
        <w:jc w:val="both"/>
        <w:ind w:left="240" w:right="259" w:firstLine="648"/>
        <w:spacing w:after="0" w:line="262"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shall mean the respective periods of twelve (12) months commencing on January 1 and ending on December 31.</w:t>
      </w:r>
    </w:p>
    <w:p>
      <w:pPr>
        <w:spacing w:after="0" w:line="150" w:lineRule="exact"/>
        <w:rPr>
          <w:sz w:val="20"/>
          <w:szCs w:val="20"/>
          <w:color w:val="auto"/>
        </w:rPr>
      </w:pPr>
    </w:p>
    <w:p>
      <w:pPr>
        <w:jc w:val="both"/>
        <w:ind w:left="240" w:right="259" w:firstLine="648"/>
        <w:spacing w:after="0" w:line="246"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b w:val="1"/>
          <w:bCs w:val="1"/>
          <w:color w:val="auto"/>
        </w:rPr>
        <w:t>Collaboration</w:t>
      </w:r>
      <w:r>
        <w:rPr>
          <w:rFonts w:ascii="Times New Roman" w:cs="Times New Roman" w:eastAsia="Times New Roman" w:hAnsi="Times New Roman"/>
          <w:sz w:val="22"/>
          <w:szCs w:val="22"/>
          <w:color w:val="auto"/>
        </w:rPr>
        <w:t>” shall mean the Research collaboration between the Parties in accordance with the applicable SOWs during the Research Term. When used as a verb, “</w:t>
      </w:r>
      <w:r>
        <w:rPr>
          <w:rFonts w:ascii="Times New Roman" w:cs="Times New Roman" w:eastAsia="Times New Roman" w:hAnsi="Times New Roman"/>
          <w:sz w:val="22"/>
          <w:szCs w:val="22"/>
          <w:b w:val="1"/>
          <w:bCs w:val="1"/>
          <w:color w:val="auto"/>
        </w:rPr>
        <w:t>Collaborate</w:t>
      </w:r>
      <w:r>
        <w:rPr>
          <w:rFonts w:ascii="Times New Roman" w:cs="Times New Roman" w:eastAsia="Times New Roman" w:hAnsi="Times New Roman"/>
          <w:sz w:val="22"/>
          <w:szCs w:val="22"/>
          <w:color w:val="auto"/>
        </w:rPr>
        <w:t>” shall mean to engage in Collaboration.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019"/>
          </w:cols>
          <w:pgMar w:left="1440" w:top="89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38" w:name="page39"/>
    <w:bookmarkEnd w:id="38"/>
    <w:p>
      <w:pPr>
        <w:jc w:val="both"/>
        <w:ind w:left="240" w:right="259" w:firstLine="648"/>
        <w:spacing w:after="0" w:line="246"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b w:val="1"/>
          <w:bCs w:val="1"/>
          <w:color w:val="auto"/>
        </w:rPr>
        <w:t>Collaboration Compound</w:t>
      </w:r>
      <w:r>
        <w:rPr>
          <w:rFonts w:ascii="Times New Roman" w:cs="Times New Roman" w:eastAsia="Times New Roman" w:hAnsi="Times New Roman"/>
          <w:sz w:val="22"/>
          <w:szCs w:val="22"/>
          <w:color w:val="auto"/>
        </w:rPr>
        <w:t>” shall mean any ADC that is generated within the Collaboration Program, as well as the antibodies incorporated in the ADC, which antibodies bind the Target Pair.</w:t>
      </w:r>
    </w:p>
    <w:p>
      <w:pPr>
        <w:spacing w:after="0" w:line="167"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Collaboration IP</w:t>
      </w:r>
      <w:r>
        <w:rPr>
          <w:rFonts w:ascii="Times New Roman" w:cs="Times New Roman" w:eastAsia="Times New Roman" w:hAnsi="Times New Roman"/>
          <w:sz w:val="21"/>
          <w:szCs w:val="21"/>
          <w:color w:val="auto"/>
        </w:rPr>
        <w:t xml:space="preserve">” shall mean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648"/>
        <w:spacing w:after="0" w:line="241"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b w:val="1"/>
          <w:bCs w:val="1"/>
          <w:color w:val="auto"/>
        </w:rPr>
        <w:t>Collaboration Program</w:t>
      </w:r>
      <w:r>
        <w:rPr>
          <w:rFonts w:ascii="Times New Roman" w:cs="Times New Roman" w:eastAsia="Times New Roman" w:hAnsi="Times New Roman"/>
          <w:sz w:val="22"/>
          <w:szCs w:val="22"/>
          <w:color w:val="auto"/>
        </w:rPr>
        <w:t>” shall mean the Collaboration with respect to the Target Pair, subject to the applicable SOWs, with the goal to identify at least one ADC showing meaningful binding activities against the Target Pair that is suitable for further development by ArriVent beyond the Collaboration.</w:t>
      </w:r>
    </w:p>
    <w:p>
      <w:pPr>
        <w:spacing w:after="0" w:line="172" w:lineRule="exact"/>
        <w:rPr>
          <w:sz w:val="20"/>
          <w:szCs w:val="20"/>
          <w:color w:val="auto"/>
        </w:rPr>
      </w:pPr>
    </w:p>
    <w:p>
      <w:pPr>
        <w:jc w:val="both"/>
        <w:ind w:left="240" w:right="259" w:firstLine="648"/>
        <w:spacing w:after="0" w:line="236"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shall mean, with respect to a particular Product, any and all processes and activities conducted to establish and maintain sales for such Product (including with respect to reimbursement and patient access), including offering for sale, detailing, selling (including launch), marketing (including education and advertising activities), promoting, storing, transporting, distributing, and importing such Product, but shall exclude Development and Manufacturing of such Product.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Commercializing</w:t>
      </w:r>
      <w:r>
        <w:rPr>
          <w:rFonts w:ascii="Times New Roman" w:cs="Times New Roman" w:eastAsia="Times New Roman" w:hAnsi="Times New Roman"/>
          <w:sz w:val="22"/>
          <w:szCs w:val="22"/>
          <w:color w:val="auto"/>
        </w:rPr>
        <w:t>” shall have their correlative meanings.</w:t>
      </w:r>
    </w:p>
    <w:p>
      <w:pPr>
        <w:spacing w:after="0" w:line="176" w:lineRule="exact"/>
        <w:rPr>
          <w:sz w:val="20"/>
          <w:szCs w:val="20"/>
          <w:color w:val="auto"/>
        </w:rPr>
      </w:pPr>
    </w:p>
    <w:p>
      <w:pPr>
        <w:jc w:val="both"/>
        <w:ind w:left="240" w:right="259" w:firstLine="648"/>
        <w:spacing w:after="0" w:line="233"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shall mean, with respect to a Party, the level of efforts and resources (measured as of the time that such efforts and resources are required to be used under this Agreement) that are commonly used by a company in the industry of a similar size and similar profile as such Party to research, Develop, Manufacture or Commercialize, as the case may be, a product owned by such company or to which it has rights, which product is at a similar stage in its development or product life and is of a similar market and profitability potential to the Product and taking into account all relevant factors, including the intellectual property protection of the product, product labeling or anticipated labeling, market potential, financial return, medical and clinical considerations, regulatory environments and competitive market conditions, market exclusivity, and other technical legal, scientific, medical or commercial factors that such a company would reasonably deem to be relevant. With respect to a particular Product, Commercially Reasonable Efforts shall be determined on a country-by-country basis for such Product, and it is anticipated that the level of effort will be different for different markets, and will change over time, reflecting changes in the status of the Product and the market(s) involved.</w:t>
      </w:r>
    </w:p>
    <w:p>
      <w:pPr>
        <w:spacing w:after="0" w:line="177"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Compound</w:t>
      </w:r>
      <w:r>
        <w:rPr>
          <w:rFonts w:ascii="Times New Roman" w:cs="Times New Roman" w:eastAsia="Times New Roman" w:hAnsi="Times New Roman"/>
          <w:sz w:val="21"/>
          <w:szCs w:val="21"/>
          <w:color w:val="auto"/>
        </w:rPr>
        <w:t xml:space="preserve">” shall mean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has the meaning set forth in Section 8.1.</w:t>
      </w:r>
    </w:p>
    <w:p>
      <w:pPr>
        <w:spacing w:after="0" w:line="206" w:lineRule="exact"/>
        <w:rPr>
          <w:sz w:val="20"/>
          <w:szCs w:val="20"/>
          <w:color w:val="auto"/>
        </w:rPr>
      </w:pPr>
    </w:p>
    <w:p>
      <w:pPr>
        <w:jc w:val="both"/>
        <w:ind w:left="240" w:right="259" w:firstLine="648"/>
        <w:spacing w:after="0" w:line="235"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shall mean, with respect to particular Know-How or a particular Patent, possession by the Party granting the applicable right, license or sublicense to the other Party as provided herein of the power and authority, whether arising by ownership, license, or other authorization, to disclose and deliver the particular Know-How to the other Party, and to grant and authorize under such Know-How or Patent the right, license or sublicense, as applicable, of the scope granted to such other Party in this Agreement without giving rise to a violation of the terms of any agreement or other arrangement with any Third Party.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shall have its correlative meanings.</w:t>
      </w:r>
    </w:p>
    <w:p>
      <w:pPr>
        <w:spacing w:after="0" w:line="178"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Controlling Party</w:t>
      </w:r>
      <w:r>
        <w:rPr>
          <w:rFonts w:ascii="Times New Roman" w:cs="Times New Roman" w:eastAsia="Times New Roman" w:hAnsi="Times New Roman"/>
          <w:sz w:val="21"/>
          <w:szCs w:val="21"/>
          <w:color w:val="auto"/>
        </w:rPr>
        <w:t>” has the meaning set forth in Section 7.3.4.</w:t>
      </w:r>
    </w:p>
    <w:p>
      <w:pPr>
        <w:spacing w:after="0" w:line="1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3</w:t>
      </w:r>
    </w:p>
    <w:p>
      <w:pPr>
        <w:spacing w:after="0" w:line="13" w:lineRule="exact"/>
        <w:rPr>
          <w:sz w:val="20"/>
          <w:szCs w:val="20"/>
          <w:color w:val="auto"/>
        </w:rPr>
      </w:pPr>
    </w:p>
    <w:p>
      <w:pPr>
        <w:ind w:left="240" w:right="279" w:firstLine="6"/>
        <w:spacing w:after="0" w:line="228" w:lineRule="auto"/>
        <w:tabs>
          <w:tab w:leader="none" w:pos="549" w:val="left"/>
        </w:tabs>
        <w:numPr>
          <w:ilvl w:val="0"/>
          <w:numId w:val="2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39" w:name="page40"/>
    <w:bookmarkEnd w:id="39"/>
    <w:p>
      <w:pPr>
        <w:jc w:val="both"/>
        <w:ind w:left="240" w:right="259" w:firstLine="648"/>
        <w:spacing w:after="0" w:line="241"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shall mean, with respect to any subject matter, the make or have made, manufacture or have manufactured, use, sale, offer for sale, importation, exportation or other Exploitation of such subject matter would infringe a claim of a Patent at the relevant time. “</w:t>
      </w:r>
      <w:r>
        <w:rPr>
          <w:rFonts w:ascii="Times New Roman" w:cs="Times New Roman" w:eastAsia="Times New Roman" w:hAnsi="Times New Roman"/>
          <w:sz w:val="22"/>
          <w:szCs w:val="22"/>
          <w:b w:val="1"/>
          <w:bCs w:val="1"/>
          <w:color w:val="auto"/>
        </w:rPr>
        <w:t>Covered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Covering</w:t>
      </w:r>
      <w:r>
        <w:rPr>
          <w:rFonts w:ascii="Times New Roman" w:cs="Times New Roman" w:eastAsia="Times New Roman" w:hAnsi="Times New Roman"/>
          <w:sz w:val="22"/>
          <w:szCs w:val="22"/>
          <w:color w:val="auto"/>
        </w:rPr>
        <w:t>” shall have their correlative meanings.</w:t>
      </w:r>
    </w:p>
    <w:p>
      <w:pPr>
        <w:spacing w:after="0" w:line="172" w:lineRule="exact"/>
        <w:rPr>
          <w:sz w:val="20"/>
          <w:szCs w:val="20"/>
          <w:color w:val="auto"/>
        </w:rPr>
      </w:pPr>
    </w:p>
    <w:p>
      <w:pPr>
        <w:jc w:val="both"/>
        <w:ind w:left="240" w:right="279" w:firstLine="648"/>
        <w:spacing w:after="0" w:line="262"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color w:val="auto"/>
        </w:rPr>
        <w:t>Data Package</w:t>
      </w:r>
      <w:r>
        <w:rPr>
          <w:rFonts w:ascii="Times New Roman" w:cs="Times New Roman" w:eastAsia="Times New Roman" w:hAnsi="Times New Roman"/>
          <w:sz w:val="22"/>
          <w:szCs w:val="22"/>
          <w:color w:val="auto"/>
        </w:rPr>
        <w:t>” shall mean the data package containing such data and other contents as required in the applicable SOW.</w:t>
      </w:r>
    </w:p>
    <w:p>
      <w:pPr>
        <w:spacing w:after="0" w:line="150" w:lineRule="exact"/>
        <w:rPr>
          <w:sz w:val="20"/>
          <w:szCs w:val="20"/>
          <w:color w:val="auto"/>
        </w:rPr>
      </w:pPr>
    </w:p>
    <w:p>
      <w:pPr>
        <w:jc w:val="both"/>
        <w:ind w:left="240" w:right="259" w:firstLine="648"/>
        <w:spacing w:after="0" w:line="234" w:lineRule="auto"/>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shall mean, any preclinical, clinical, non-clinical activity directed to obtaining or maintaining Regulatory Approval of a Compound or Product, including all preclinical studies, toxicology testing, chemistry, manufacturing and control (CMC), clinical trials, statistical analysis and report writing, all related regulatory activities, the preparation and submission of such regulatory filings (including INDs and MAAs), regulatory affairs with respect to the foregoing and all other activities reasonably necessary or useful or otherwise requested or required by a Regulatory Authority as a condition or in support of obtaining a Regulatory Approval for a Compound or Product. When used as a verb,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shall mean to engage in Development. For clarity, “</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shall include Phase IV studies or any other clinical trial commenced after Regulatory Approval.</w:t>
      </w:r>
    </w:p>
    <w:p>
      <w:pPr>
        <w:spacing w:after="0" w:line="179" w:lineRule="exact"/>
        <w:rPr>
          <w:sz w:val="20"/>
          <w:szCs w:val="20"/>
          <w:color w:val="auto"/>
        </w:rPr>
      </w:pPr>
    </w:p>
    <w:p>
      <w:pPr>
        <w:jc w:val="both"/>
        <w:ind w:left="240" w:right="259" w:firstLine="648"/>
        <w:spacing w:after="0" w:line="262"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b w:val="1"/>
          <w:bCs w:val="1"/>
          <w:color w:val="auto"/>
        </w:rPr>
        <w:t>Executive Officers</w:t>
      </w:r>
      <w:r>
        <w:rPr>
          <w:rFonts w:ascii="Times New Roman" w:cs="Times New Roman" w:eastAsia="Times New Roman" w:hAnsi="Times New Roman"/>
          <w:sz w:val="22"/>
          <w:szCs w:val="22"/>
          <w:color w:val="auto"/>
        </w:rPr>
        <w:t>” means the Chief Executive Officer of ArriVent and Chief Executive Officer of Aarvik or their respective designees.</w:t>
      </w:r>
    </w:p>
    <w:p>
      <w:pPr>
        <w:spacing w:after="0" w:line="150" w:lineRule="exact"/>
        <w:rPr>
          <w:sz w:val="20"/>
          <w:szCs w:val="20"/>
          <w:color w:val="auto"/>
        </w:rPr>
      </w:pPr>
    </w:p>
    <w:p>
      <w:pPr>
        <w:jc w:val="both"/>
        <w:ind w:left="240" w:right="259" w:firstLine="648"/>
        <w:spacing w:after="0" w:line="241"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Exploitation</w:t>
      </w:r>
      <w:r>
        <w:rPr>
          <w:rFonts w:ascii="Times New Roman" w:cs="Times New Roman" w:eastAsia="Times New Roman" w:hAnsi="Times New Roman"/>
          <w:sz w:val="22"/>
          <w:szCs w:val="22"/>
          <w:color w:val="auto"/>
        </w:rPr>
        <w:t>” shall mean to make, have made, import, export, use, have used, sell, have sold, offer for sale, have offered for sale, or otherwise exploit, including to Research, Develop, Commercialize, register, modify, enhance, improve, manufacture, have manufactured, hold, keep (whether for disposal or otherwise), or otherwise dispose of.</w:t>
      </w:r>
    </w:p>
    <w:p>
      <w:pPr>
        <w:spacing w:after="0" w:line="172" w:lineRule="exact"/>
        <w:rPr>
          <w:sz w:val="20"/>
          <w:szCs w:val="20"/>
          <w:color w:val="auto"/>
        </w:rPr>
      </w:pPr>
    </w:p>
    <w:p>
      <w:pPr>
        <w:jc w:val="both"/>
        <w:ind w:left="240" w:right="259" w:firstLine="648"/>
        <w:spacing w:after="0" w:line="241"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b w:val="1"/>
          <w:bCs w:val="1"/>
          <w:color w:val="auto"/>
        </w:rPr>
        <w:t>Existing In-License Agreements</w:t>
      </w:r>
      <w:r>
        <w:rPr>
          <w:rFonts w:ascii="Times New Roman" w:cs="Times New Roman" w:eastAsia="Times New Roman" w:hAnsi="Times New Roman"/>
          <w:sz w:val="22"/>
          <w:szCs w:val="22"/>
          <w:color w:val="auto"/>
        </w:rPr>
        <w:t>” shall mean any and all agreements between Aarvik or any of its Affiliates, on the one hand, and any Third Party, on the other hand, existing as of the Original Effective Date or during the Term pursuant to which Aarvik in-licenses any Patents or Know-How that are included as part of the Aarvik Patents or Aarvik Know-How.</w:t>
      </w:r>
    </w:p>
    <w:p>
      <w:pPr>
        <w:spacing w:after="0" w:line="172" w:lineRule="exact"/>
        <w:rPr>
          <w:sz w:val="20"/>
          <w:szCs w:val="20"/>
          <w:color w:val="auto"/>
        </w:rPr>
      </w:pPr>
    </w:p>
    <w:p>
      <w:pPr>
        <w:jc w:val="both"/>
        <w:ind w:left="240" w:right="259" w:firstLine="648"/>
        <w:spacing w:after="0" w:line="262" w:lineRule="auto"/>
        <w:rPr>
          <w:sz w:val="20"/>
          <w:szCs w:val="20"/>
          <w:color w:val="auto"/>
        </w:rPr>
      </w:pPr>
      <w:r>
        <w:rPr>
          <w:rFonts w:ascii="Times New Roman" w:cs="Times New Roman" w:eastAsia="Times New Roman" w:hAnsi="Times New Roman"/>
          <w:sz w:val="22"/>
          <w:szCs w:val="22"/>
          <w:color w:val="auto"/>
        </w:rPr>
        <w:t>1.33 “</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shall mean the United States Food and Drug Administration, or any successor agency thereto.</w:t>
      </w:r>
    </w:p>
    <w:p>
      <w:pPr>
        <w:spacing w:after="0" w:line="150"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Field</w:t>
      </w:r>
      <w:r>
        <w:rPr>
          <w:rFonts w:ascii="Times New Roman" w:cs="Times New Roman" w:eastAsia="Times New Roman" w:hAnsi="Times New Roman"/>
          <w:sz w:val="21"/>
          <w:szCs w:val="21"/>
          <w:color w:val="auto"/>
        </w:rPr>
        <w:t xml:space="preserve">” shall mean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648"/>
        <w:spacing w:after="0" w:line="248"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shall mean, with respect to a Product, post-Regulatory Approval, the first sale, transfer or disposition for value of such Product in the Territory.</w:t>
      </w:r>
    </w:p>
    <w:p>
      <w:pPr>
        <w:spacing w:after="0" w:line="200" w:lineRule="exact"/>
        <w:rPr>
          <w:sz w:val="20"/>
          <w:szCs w:val="20"/>
          <w:color w:val="auto"/>
        </w:rPr>
      </w:pPr>
    </w:p>
    <w:p>
      <w:pPr>
        <w:spacing w:after="0" w:line="222"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Full Report</w:t>
      </w:r>
      <w:r>
        <w:rPr>
          <w:rFonts w:ascii="Times New Roman" w:cs="Times New Roman" w:eastAsia="Times New Roman" w:hAnsi="Times New Roman"/>
          <w:sz w:val="21"/>
          <w:szCs w:val="21"/>
          <w:color w:val="auto"/>
        </w:rPr>
        <w:t>” has the meaning set forth in Section 3.7.6.</w:t>
      </w:r>
    </w:p>
    <w:p>
      <w:pPr>
        <w:spacing w:after="0" w:line="206" w:lineRule="exact"/>
        <w:rPr>
          <w:sz w:val="20"/>
          <w:szCs w:val="20"/>
          <w:color w:val="auto"/>
        </w:rPr>
      </w:pPr>
    </w:p>
    <w:p>
      <w:pPr>
        <w:jc w:val="both"/>
        <w:ind w:left="240" w:right="259" w:firstLine="648"/>
        <w:spacing w:after="0" w:line="241" w:lineRule="auto"/>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court, tribunal, arbitrator, Regulatory Authority, agency, commission, department, ministry, official or other instrumentality of the United States or other country, or any supra-national organization, or any foreign or domestic, state, county, city or other political subdivision.</w:t>
      </w:r>
    </w:p>
    <w:p>
      <w:pPr>
        <w:spacing w:after="0" w:line="172" w:lineRule="exact"/>
        <w:rPr>
          <w:sz w:val="20"/>
          <w:szCs w:val="20"/>
          <w:color w:val="auto"/>
        </w:rPr>
      </w:pPr>
    </w:p>
    <w:p>
      <w:pPr>
        <w:jc w:val="both"/>
        <w:ind w:left="240" w:right="259" w:firstLine="648"/>
        <w:spacing w:after="0" w:line="262"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shall mean an investigational new drug application, investigational medicinal product dossier, clinical study application, clinical trial application, clinical trial</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13" w:lineRule="exact"/>
        <w:rPr>
          <w:sz w:val="20"/>
          <w:szCs w:val="20"/>
          <w:color w:val="auto"/>
        </w:rPr>
      </w:pPr>
    </w:p>
    <w:p>
      <w:pPr>
        <w:ind w:left="240" w:right="279" w:firstLine="6"/>
        <w:spacing w:after="0" w:line="228" w:lineRule="auto"/>
        <w:tabs>
          <w:tab w:leader="none" w:pos="549" w:val="left"/>
        </w:tabs>
        <w:numPr>
          <w:ilvl w:val="0"/>
          <w:numId w:val="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40" w:name="page41"/>
    <w:bookmarkEnd w:id="40"/>
    <w:p>
      <w:pPr>
        <w:jc w:val="both"/>
        <w:ind w:left="240" w:right="259"/>
        <w:spacing w:after="0" w:line="244" w:lineRule="auto"/>
        <w:rPr>
          <w:sz w:val="20"/>
          <w:szCs w:val="20"/>
          <w:color w:val="auto"/>
        </w:rPr>
      </w:pPr>
      <w:r>
        <w:rPr>
          <w:rFonts w:ascii="Times New Roman" w:cs="Times New Roman" w:eastAsia="Times New Roman" w:hAnsi="Times New Roman"/>
          <w:sz w:val="22"/>
          <w:szCs w:val="22"/>
          <w:color w:val="auto"/>
        </w:rPr>
        <w:t>exemption, or similar application or submission for approval to conduct human clinical investigations filed with or submitted to a Regulatory Authority in conformance with the requirements of such Regulatory Authority.</w:t>
      </w:r>
    </w:p>
    <w:p>
      <w:pPr>
        <w:spacing w:after="0" w:line="169"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Indemnify</w:t>
      </w:r>
      <w:r>
        <w:rPr>
          <w:rFonts w:ascii="Times New Roman" w:cs="Times New Roman" w:eastAsia="Times New Roman" w:hAnsi="Times New Roman"/>
          <w:sz w:val="21"/>
          <w:szCs w:val="21"/>
          <w:color w:val="auto"/>
        </w:rPr>
        <w:t>” has the meaning set forth in Section 10.1.</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Lead [***] Antibody</w:t>
      </w:r>
      <w:r>
        <w:rPr>
          <w:rFonts w:ascii="Times New Roman" w:cs="Times New Roman" w:eastAsia="Times New Roman" w:hAnsi="Times New Roman"/>
          <w:sz w:val="21"/>
          <w:szCs w:val="21"/>
          <w:color w:val="auto"/>
        </w:rPr>
        <w:t>” has the meaning set forth in Section 3.8.1.</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Delivery</w:t>
      </w:r>
      <w:r>
        <w:rPr>
          <w:rFonts w:ascii="Times New Roman" w:cs="Times New Roman" w:eastAsia="Times New Roman" w:hAnsi="Times New Roman"/>
          <w:sz w:val="21"/>
          <w:szCs w:val="21"/>
          <w:color w:val="auto"/>
        </w:rPr>
        <w:t>” has the meaning set forth in Section 5.3.1.</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Report</w:t>
      </w:r>
      <w:r>
        <w:rPr>
          <w:rFonts w:ascii="Times New Roman" w:cs="Times New Roman" w:eastAsia="Times New Roman" w:hAnsi="Times New Roman"/>
          <w:sz w:val="21"/>
          <w:szCs w:val="21"/>
          <w:color w:val="auto"/>
        </w:rPr>
        <w:t>” has the meaning set forth in Section 3.7.3.</w:t>
      </w:r>
    </w:p>
    <w:p>
      <w:pPr>
        <w:spacing w:after="0" w:line="206" w:lineRule="exact"/>
        <w:rPr>
          <w:sz w:val="20"/>
          <w:szCs w:val="20"/>
          <w:color w:val="auto"/>
        </w:rPr>
      </w:pPr>
    </w:p>
    <w:p>
      <w:pPr>
        <w:jc w:val="both"/>
        <w:ind w:left="240" w:right="259" w:firstLine="648"/>
        <w:spacing w:after="0" w:line="262"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shall mean rights in Patents and Know-How and other intellectual property.</w:t>
      </w:r>
    </w:p>
    <w:p>
      <w:pPr>
        <w:spacing w:after="0" w:line="150"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JRC</w:t>
      </w:r>
      <w:r>
        <w:rPr>
          <w:rFonts w:ascii="Times New Roman" w:cs="Times New Roman" w:eastAsia="Times New Roman" w:hAnsi="Times New Roman"/>
          <w:sz w:val="21"/>
          <w:szCs w:val="21"/>
          <w:color w:val="auto"/>
        </w:rPr>
        <w:t>” has the meaning set forth in Section 2.2.</w:t>
      </w:r>
    </w:p>
    <w:p>
      <w:pPr>
        <w:spacing w:after="0" w:line="206" w:lineRule="exact"/>
        <w:rPr>
          <w:sz w:val="20"/>
          <w:szCs w:val="20"/>
          <w:color w:val="auto"/>
        </w:rPr>
      </w:pPr>
    </w:p>
    <w:p>
      <w:pPr>
        <w:jc w:val="both"/>
        <w:ind w:left="240" w:right="259" w:firstLine="648"/>
        <w:spacing w:after="0" w:line="233" w:lineRule="auto"/>
        <w:rPr>
          <w:sz w:val="20"/>
          <w:szCs w:val="20"/>
          <w:color w:val="auto"/>
        </w:rPr>
      </w:pPr>
      <w:r>
        <w:rPr>
          <w:rFonts w:ascii="Times New Roman" w:cs="Times New Roman" w:eastAsia="Times New Roman" w:hAnsi="Times New Roman"/>
          <w:sz w:val="22"/>
          <w:szCs w:val="22"/>
          <w:color w:val="auto"/>
        </w:rPr>
        <w:t>1.45 “</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shall mean any and all know how, information comprising or embodied by (a) ideas, discoveries, inventions (including data or descriptions contained in unpublished patent applications), improvements or trade secrets, (b) research and development data, such as medicinal chemistry data, preclinical data, pharmacology data, chemistry data (including analytical, product characterization, manufacturing, and stability data), toxicology data, clinical data (including investigator reports (both preliminary and final), statistical analyses, expert opinions and reports, safety and other electronic databases), quality control data and stability data, dosage regimens, product specifications, study designs and protocols, assays and biological methodology, (c) databases, practices, techniques, specifications, formulations, formulae, knowledge, (d) techniques, methods, processes, manufacturing information, (e) materials, cell lines, reagents and compositions of matter, including chemical or biological materials, in each case, whether patentable or not. Know-How shall not include any of the foregoing to the extent it is described or claimed in any published Patent.</w:t>
      </w:r>
    </w:p>
    <w:p>
      <w:pPr>
        <w:spacing w:after="0" w:line="182"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Losses</w:t>
      </w:r>
      <w:r>
        <w:rPr>
          <w:rFonts w:ascii="Times New Roman" w:cs="Times New Roman" w:eastAsia="Times New Roman" w:hAnsi="Times New Roman"/>
          <w:sz w:val="21"/>
          <w:szCs w:val="21"/>
          <w:color w:val="auto"/>
        </w:rPr>
        <w:t>” has the meaning set forth in Section 10.1.</w:t>
      </w:r>
    </w:p>
    <w:p>
      <w:pPr>
        <w:spacing w:after="0" w:line="206" w:lineRule="exact"/>
        <w:rPr>
          <w:sz w:val="20"/>
          <w:szCs w:val="20"/>
          <w:color w:val="auto"/>
        </w:rPr>
      </w:pPr>
    </w:p>
    <w:p>
      <w:pPr>
        <w:jc w:val="both"/>
        <w:ind w:left="240" w:right="259" w:firstLine="648"/>
        <w:spacing w:after="0" w:line="246" w:lineRule="auto"/>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b w:val="1"/>
          <w:bCs w:val="1"/>
          <w:color w:val="auto"/>
        </w:rPr>
        <w:t>MAA</w:t>
      </w:r>
      <w:r>
        <w:rPr>
          <w:rFonts w:ascii="Times New Roman" w:cs="Times New Roman" w:eastAsia="Times New Roman" w:hAnsi="Times New Roman"/>
          <w:sz w:val="22"/>
          <w:szCs w:val="22"/>
          <w:color w:val="auto"/>
        </w:rPr>
        <w:t>” (Marketing Approval Application) shall mean a Biologics License Application or similar application or submission filed with or submitted to any Regulatory Authority to obtain permission to initiate marketing and sales of a Product in the Field.</w:t>
      </w:r>
    </w:p>
    <w:p>
      <w:pPr>
        <w:spacing w:after="0" w:line="167" w:lineRule="exact"/>
        <w:rPr>
          <w:sz w:val="20"/>
          <w:szCs w:val="20"/>
          <w:color w:val="auto"/>
        </w:rPr>
      </w:pPr>
    </w:p>
    <w:p>
      <w:pPr>
        <w:jc w:val="both"/>
        <w:ind w:left="240" w:right="279" w:firstLine="648"/>
        <w:spacing w:after="0" w:line="262" w:lineRule="auto"/>
        <w:rPr>
          <w:sz w:val="20"/>
          <w:szCs w:val="20"/>
          <w:color w:val="auto"/>
        </w:rPr>
      </w:pPr>
      <w:r>
        <w:rPr>
          <w:rFonts w:ascii="Times New Roman" w:cs="Times New Roman" w:eastAsia="Times New Roman" w:hAnsi="Times New Roman"/>
          <w:sz w:val="22"/>
          <w:szCs w:val="22"/>
          <w:color w:val="auto"/>
        </w:rPr>
        <w:t>1.48 “</w:t>
      </w:r>
      <w:r>
        <w:rPr>
          <w:rFonts w:ascii="Times New Roman" w:cs="Times New Roman" w:eastAsia="Times New Roman" w:hAnsi="Times New Roman"/>
          <w:sz w:val="22"/>
          <w:szCs w:val="22"/>
          <w:b w:val="1"/>
          <w:bCs w:val="1"/>
          <w:color w:val="auto"/>
        </w:rPr>
        <w:t>Major Market Country</w:t>
      </w:r>
      <w:r>
        <w:rPr>
          <w:rFonts w:ascii="Times New Roman" w:cs="Times New Roman" w:eastAsia="Times New Roman" w:hAnsi="Times New Roman"/>
          <w:sz w:val="22"/>
          <w:szCs w:val="22"/>
          <w:color w:val="auto"/>
        </w:rPr>
        <w:t>” shall mean any of the following: the United States, mainland China, Japan, Germany, France, the United Kingdom, Italy and Spain.</w:t>
      </w:r>
    </w:p>
    <w:p>
      <w:pPr>
        <w:spacing w:after="0" w:line="150"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1.50</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2"/>
          <w:szCs w:val="22"/>
          <w:b w:val="1"/>
          <w:bCs w:val="1"/>
          <w:color w:val="auto"/>
        </w:rPr>
        <w: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41" w:name="page42"/>
    <w:bookmarkEnd w:id="41"/>
    <w:p>
      <w:pPr>
        <w:jc w:val="both"/>
        <w:ind w:left="240" w:right="259" w:firstLine="648"/>
        <w:spacing w:after="0" w:line="262" w:lineRule="auto"/>
        <w:rPr>
          <w:sz w:val="20"/>
          <w:szCs w:val="20"/>
          <w:color w:val="auto"/>
        </w:rPr>
      </w:pPr>
      <w:r>
        <w:rPr>
          <w:rFonts w:ascii="Times New Roman" w:cs="Times New Roman" w:eastAsia="Times New Roman" w:hAnsi="Times New Roman"/>
          <w:sz w:val="22"/>
          <w:szCs w:val="22"/>
          <w:color w:val="auto"/>
        </w:rPr>
        <w:t xml:space="preserve">1.55 </w:t>
      </w:r>
      <w:r>
        <w:rPr>
          <w:rFonts w:ascii="Times New Roman" w:cs="Times New Roman" w:eastAsia="Times New Roman" w:hAnsi="Times New Roman"/>
          <w:sz w:val="22"/>
          <w:szCs w:val="22"/>
          <w:b w:val="1"/>
          <w:bCs w:val="1"/>
          <w:color w:val="auto"/>
        </w:rPr>
        <w:t>NMPA</w:t>
      </w:r>
      <w:r>
        <w:rPr>
          <w:rFonts w:ascii="Times New Roman" w:cs="Times New Roman" w:eastAsia="Times New Roman" w:hAnsi="Times New Roman"/>
          <w:sz w:val="22"/>
          <w:szCs w:val="22"/>
          <w:color w:val="auto"/>
        </w:rPr>
        <w:t>” shall mean the National Medical Product Administration of the People’s Republic of China, or any successor agency thereto.</w:t>
      </w:r>
    </w:p>
    <w:p>
      <w:pPr>
        <w:spacing w:after="0" w:line="150"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Non-Controlling Party</w:t>
      </w:r>
      <w:r>
        <w:rPr>
          <w:rFonts w:ascii="Times New Roman" w:cs="Times New Roman" w:eastAsia="Times New Roman" w:hAnsi="Times New Roman"/>
          <w:sz w:val="21"/>
          <w:szCs w:val="21"/>
          <w:color w:val="auto"/>
        </w:rPr>
        <w:t>” has the meaning set forth in Section 7.3.4.</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Non-Prosecuting Party</w:t>
      </w:r>
      <w:r>
        <w:rPr>
          <w:rFonts w:ascii="Times New Roman" w:cs="Times New Roman" w:eastAsia="Times New Roman" w:hAnsi="Times New Roman"/>
          <w:sz w:val="21"/>
          <w:szCs w:val="21"/>
          <w:color w:val="auto"/>
        </w:rPr>
        <w:t>” has the meaning set forth in Section 7.4.4.</w:t>
      </w:r>
    </w:p>
    <w:p>
      <w:pPr>
        <w:spacing w:after="0" w:line="206" w:lineRule="exact"/>
        <w:rPr>
          <w:sz w:val="20"/>
          <w:szCs w:val="20"/>
          <w:color w:val="auto"/>
        </w:rPr>
      </w:pPr>
    </w:p>
    <w:p>
      <w:pPr>
        <w:jc w:val="both"/>
        <w:ind w:left="240" w:right="259" w:firstLine="648"/>
        <w:spacing w:after="0" w:line="262" w:lineRule="auto"/>
        <w:rPr>
          <w:sz w:val="20"/>
          <w:szCs w:val="20"/>
          <w:color w:val="auto"/>
        </w:rPr>
      </w:pPr>
      <w:r>
        <w:rPr>
          <w:rFonts w:ascii="Times New Roman" w:cs="Times New Roman" w:eastAsia="Times New Roman" w:hAnsi="Times New Roman"/>
          <w:sz w:val="22"/>
          <w:szCs w:val="22"/>
          <w:color w:val="auto"/>
        </w:rPr>
        <w:t>1.58 “</w:t>
      </w:r>
      <w:r>
        <w:rPr>
          <w:rFonts w:ascii="Times New Roman" w:cs="Times New Roman" w:eastAsia="Times New Roman" w:hAnsi="Times New Roman"/>
          <w:sz w:val="22"/>
          <w:szCs w:val="22"/>
          <w:b w:val="1"/>
          <w:bCs w:val="1"/>
          <w:color w:val="auto"/>
        </w:rPr>
        <w:t>Original Effective Date</w:t>
      </w:r>
      <w:r>
        <w:rPr>
          <w:rFonts w:ascii="Times New Roman" w:cs="Times New Roman" w:eastAsia="Times New Roman" w:hAnsi="Times New Roman"/>
          <w:sz w:val="22"/>
          <w:szCs w:val="22"/>
          <w:color w:val="auto"/>
        </w:rPr>
        <w:t>” means December 21, 2021, the execution date of the Original Agreement.</w:t>
      </w:r>
    </w:p>
    <w:p>
      <w:pPr>
        <w:spacing w:after="0" w:line="150"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has the meaning set forth in Section 3.8.1.</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1.60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 Period</w:t>
      </w:r>
      <w:r>
        <w:rPr>
          <w:rFonts w:ascii="Times New Roman" w:cs="Times New Roman" w:eastAsia="Times New Roman" w:hAnsi="Times New Roman"/>
          <w:sz w:val="21"/>
          <w:szCs w:val="21"/>
          <w:color w:val="auto"/>
        </w:rPr>
        <w:t>” has the meaning set forth in Section 3.8.1.</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Patentability and FTO Analysis</w:t>
      </w:r>
      <w:r>
        <w:rPr>
          <w:rFonts w:ascii="Times New Roman" w:cs="Times New Roman" w:eastAsia="Times New Roman" w:hAnsi="Times New Roman"/>
          <w:sz w:val="21"/>
          <w:szCs w:val="21"/>
          <w:color w:val="auto"/>
        </w:rPr>
        <w:t>” has the meaning set forth in Section 3.2.3.</w:t>
      </w:r>
    </w:p>
    <w:p>
      <w:pPr>
        <w:spacing w:after="0" w:line="206" w:lineRule="exact"/>
        <w:rPr>
          <w:sz w:val="20"/>
          <w:szCs w:val="20"/>
          <w:color w:val="auto"/>
        </w:rPr>
      </w:pPr>
    </w:p>
    <w:p>
      <w:pPr>
        <w:jc w:val="both"/>
        <w:ind w:left="240" w:right="259" w:firstLine="648"/>
        <w:spacing w:after="0" w:line="236" w:lineRule="auto"/>
        <w:rPr>
          <w:sz w:val="20"/>
          <w:szCs w:val="20"/>
          <w:color w:val="auto"/>
        </w:rPr>
      </w:pPr>
      <w:r>
        <w:rPr>
          <w:rFonts w:ascii="Times New Roman" w:cs="Times New Roman" w:eastAsia="Times New Roman" w:hAnsi="Times New Roman"/>
          <w:sz w:val="22"/>
          <w:szCs w:val="22"/>
          <w:color w:val="auto"/>
        </w:rPr>
        <w:t>1.62 “</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shall mean all patents and patent applications in any country in the world, including any continuations, continuations-in-part, divisionals, provisionals or any substitute applications, any patent issued with respect to any such patent applications, any reissue, reexamination, renewal or extension (including any patent term extension in the United States or supplemental protection certificate) of any such patent, and any confirmation patent or registration patent or patent of addition based on any such patent, and all non-United States counterparts of any of the foregoing.</w:t>
      </w:r>
    </w:p>
    <w:p>
      <w:pPr>
        <w:spacing w:after="0" w:line="176" w:lineRule="exact"/>
        <w:rPr>
          <w:sz w:val="20"/>
          <w:szCs w:val="20"/>
          <w:color w:val="auto"/>
        </w:rPr>
      </w:pPr>
    </w:p>
    <w:p>
      <w:pPr>
        <w:jc w:val="both"/>
        <w:ind w:left="240" w:right="259" w:firstLine="648"/>
        <w:spacing w:after="0" w:line="246" w:lineRule="auto"/>
        <w:rPr>
          <w:sz w:val="20"/>
          <w:szCs w:val="20"/>
          <w:color w:val="auto"/>
        </w:rPr>
      </w:pPr>
      <w:r>
        <w:rPr>
          <w:rFonts w:ascii="Times New Roman" w:cs="Times New Roman" w:eastAsia="Times New Roman" w:hAnsi="Times New Roman"/>
          <w:sz w:val="22"/>
          <w:szCs w:val="22"/>
          <w:color w:val="auto"/>
        </w:rPr>
        <w:t>1.63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shall mean any individual, corporation, partnership, association, joint-stock company, trust, unincorporated organization or government or political subdivision thereof.</w:t>
      </w:r>
    </w:p>
    <w:p>
      <w:pPr>
        <w:spacing w:after="0" w:line="167" w:lineRule="exact"/>
        <w:rPr>
          <w:sz w:val="20"/>
          <w:szCs w:val="20"/>
          <w:color w:val="auto"/>
        </w:rPr>
      </w:pPr>
    </w:p>
    <w:p>
      <w:pPr>
        <w:jc w:val="both"/>
        <w:ind w:left="240" w:right="259" w:firstLine="648"/>
        <w:spacing w:after="0" w:line="238" w:lineRule="auto"/>
        <w:rPr>
          <w:sz w:val="20"/>
          <w:szCs w:val="20"/>
          <w:color w:val="auto"/>
        </w:rPr>
      </w:pPr>
      <w:r>
        <w:rPr>
          <w:rFonts w:ascii="Times New Roman" w:cs="Times New Roman" w:eastAsia="Times New Roman" w:hAnsi="Times New Roman"/>
          <w:sz w:val="22"/>
          <w:szCs w:val="22"/>
          <w:color w:val="auto"/>
        </w:rPr>
        <w:t>1.64 “</w:t>
      </w:r>
      <w:r>
        <w:rPr>
          <w:rFonts w:ascii="Times New Roman" w:cs="Times New Roman" w:eastAsia="Times New Roman" w:hAnsi="Times New Roman"/>
          <w:sz w:val="22"/>
          <w:szCs w:val="22"/>
          <w:b w:val="1"/>
          <w:bCs w:val="1"/>
          <w:color w:val="auto"/>
        </w:rPr>
        <w:t>Phase 1 Clinical Trial</w:t>
      </w:r>
      <w:r>
        <w:rPr>
          <w:rFonts w:ascii="Times New Roman" w:cs="Times New Roman" w:eastAsia="Times New Roman" w:hAnsi="Times New Roman"/>
          <w:sz w:val="22"/>
          <w:szCs w:val="22"/>
          <w:color w:val="auto"/>
        </w:rPr>
        <w:t>” shall mean a clinical development program in any country that generally provides for the first introduction into humans of a pharmaceutical product candidate with the primary purpose of which is preliminary determination of safety, metabolism and pharmacokinetic properties and clinical pharmacology of such pharmaceutical product candidate in healthy patients, or otherwise generally consistent with U.S. 21 C.F.R. §312.21(a).</w:t>
      </w:r>
    </w:p>
    <w:p>
      <w:pPr>
        <w:spacing w:after="0" w:line="177" w:lineRule="exact"/>
        <w:rPr>
          <w:sz w:val="20"/>
          <w:szCs w:val="20"/>
          <w:color w:val="auto"/>
        </w:rPr>
      </w:pPr>
    </w:p>
    <w:p>
      <w:pPr>
        <w:jc w:val="both"/>
        <w:ind w:left="240" w:right="259" w:firstLine="648"/>
        <w:spacing w:after="0" w:line="235" w:lineRule="auto"/>
        <w:rPr>
          <w:sz w:val="20"/>
          <w:szCs w:val="20"/>
          <w:color w:val="auto"/>
        </w:rPr>
      </w:pPr>
      <w:r>
        <w:rPr>
          <w:rFonts w:ascii="Times New Roman" w:cs="Times New Roman" w:eastAsia="Times New Roman" w:hAnsi="Times New Roman"/>
          <w:sz w:val="22"/>
          <w:szCs w:val="22"/>
          <w:color w:val="auto"/>
        </w:rPr>
        <w:t>1.65 “</w:t>
      </w:r>
      <w:r>
        <w:rPr>
          <w:rFonts w:ascii="Times New Roman" w:cs="Times New Roman" w:eastAsia="Times New Roman" w:hAnsi="Times New Roman"/>
          <w:sz w:val="22"/>
          <w:szCs w:val="22"/>
          <w:b w:val="1"/>
          <w:bCs w:val="1"/>
          <w:color w:val="auto"/>
        </w:rPr>
        <w:t>Phase 2 Clinical Trial</w:t>
      </w:r>
      <w:r>
        <w:rPr>
          <w:rFonts w:ascii="Times New Roman" w:cs="Times New Roman" w:eastAsia="Times New Roman" w:hAnsi="Times New Roman"/>
          <w:sz w:val="22"/>
          <w:szCs w:val="22"/>
          <w:color w:val="auto"/>
        </w:rPr>
        <w:t>” shall mean a clinical study of an investigational product in subjects with the primary objective of characterizing its activity in a specific disease state as well as generating more detailed safety, tolerability, pharmacokinetics, pharmacodynamics, and dose finding information as described in 21 C.F.R. 312.21(b), or a comparable clinical study prescribed by the relevant Regulatory Authority in a country other than the United States, including a clinical study that is also designed to satisfy the requirements of 21 C.F.R. 312.21(a) or corresponding foreign regulations and is subsequently optimized or expanded to satisfy the requirements of 21 C.F.R. 312.21(b) (or corresponding foreign regulations) or otherwise to enable a Phase 3 Clinical Trial.</w:t>
      </w:r>
    </w:p>
    <w:p>
      <w:pPr>
        <w:spacing w:after="0" w:line="174" w:lineRule="exact"/>
        <w:rPr>
          <w:sz w:val="20"/>
          <w:szCs w:val="20"/>
          <w:color w:val="auto"/>
        </w:rPr>
      </w:pPr>
    </w:p>
    <w:p>
      <w:pPr>
        <w:jc w:val="both"/>
        <w:ind w:left="240" w:right="259" w:firstLine="648"/>
        <w:spacing w:after="0" w:line="238" w:lineRule="auto"/>
        <w:rPr>
          <w:sz w:val="20"/>
          <w:szCs w:val="20"/>
          <w:color w:val="auto"/>
        </w:rPr>
      </w:pPr>
      <w:r>
        <w:rPr>
          <w:rFonts w:ascii="Times New Roman" w:cs="Times New Roman" w:eastAsia="Times New Roman" w:hAnsi="Times New Roman"/>
          <w:sz w:val="22"/>
          <w:szCs w:val="22"/>
          <w:color w:val="auto"/>
        </w:rPr>
        <w:t>1.66 “</w:t>
      </w:r>
      <w:r>
        <w:rPr>
          <w:rFonts w:ascii="Times New Roman" w:cs="Times New Roman" w:eastAsia="Times New Roman" w:hAnsi="Times New Roman"/>
          <w:sz w:val="22"/>
          <w:szCs w:val="22"/>
          <w:b w:val="1"/>
          <w:bCs w:val="1"/>
          <w:color w:val="auto"/>
        </w:rPr>
        <w:t>Phase 3 Clinical Trial</w:t>
      </w:r>
      <w:r>
        <w:rPr>
          <w:rFonts w:ascii="Times New Roman" w:cs="Times New Roman" w:eastAsia="Times New Roman" w:hAnsi="Times New Roman"/>
          <w:sz w:val="22"/>
          <w:szCs w:val="22"/>
          <w:color w:val="auto"/>
        </w:rPr>
        <w:t>” shall mean a clinical study of an investigational product in subjects that incorporates accepted endpoints for confirmation of statistical significance of efficacy and safety with the aim to generate data and results that can be submitted to obtain Regulatory Approval as described in 21 C.F.R. 312.21(c), or a comparable clinical study prescribed by the relevant Regulatory Authority in a country other than the United States.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13" w:lineRule="exact"/>
        <w:rPr>
          <w:sz w:val="20"/>
          <w:szCs w:val="20"/>
          <w:color w:val="auto"/>
        </w:rPr>
      </w:pPr>
    </w:p>
    <w:p>
      <w:pPr>
        <w:ind w:left="240" w:right="279" w:firstLine="6"/>
        <w:spacing w:after="0" w:line="228" w:lineRule="auto"/>
        <w:tabs>
          <w:tab w:leader="none" w:pos="549" w:val="left"/>
        </w:tabs>
        <w:numPr>
          <w:ilvl w:val="0"/>
          <w:numId w:val="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42" w:name="page43"/>
    <w:bookmarkEnd w:id="42"/>
    <w:p>
      <w:pPr>
        <w:jc w:val="both"/>
        <w:ind w:left="240" w:right="259" w:firstLine="648"/>
        <w:spacing w:after="0" w:line="246" w:lineRule="auto"/>
        <w:rPr>
          <w:sz w:val="20"/>
          <w:szCs w:val="20"/>
          <w:color w:val="auto"/>
        </w:rPr>
      </w:pPr>
      <w:r>
        <w:rPr>
          <w:rFonts w:ascii="Times New Roman" w:cs="Times New Roman" w:eastAsia="Times New Roman" w:hAnsi="Times New Roman"/>
          <w:sz w:val="22"/>
          <w:szCs w:val="22"/>
          <w:color w:val="auto"/>
        </w:rPr>
        <w:t>1.67 “</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shall mean any formulation containing a Compound as an active ingredient, including all methods, forms, presentations, dosage strengths, dosage forms and formulations thereof, for administration by any method of delivery.</w:t>
      </w:r>
    </w:p>
    <w:p>
      <w:pPr>
        <w:spacing w:after="0" w:line="167"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Prosecuting Party</w:t>
      </w:r>
      <w:r>
        <w:rPr>
          <w:rFonts w:ascii="Times New Roman" w:cs="Times New Roman" w:eastAsia="Times New Roman" w:hAnsi="Times New Roman"/>
          <w:sz w:val="21"/>
          <w:szCs w:val="21"/>
          <w:color w:val="auto"/>
        </w:rPr>
        <w:t>” has the meaning set forth in Section 7.4.4.</w:t>
      </w:r>
    </w:p>
    <w:p>
      <w:pPr>
        <w:spacing w:after="0" w:line="206" w:lineRule="exact"/>
        <w:rPr>
          <w:sz w:val="20"/>
          <w:szCs w:val="20"/>
          <w:color w:val="auto"/>
        </w:rPr>
      </w:pPr>
    </w:p>
    <w:p>
      <w:pPr>
        <w:jc w:val="both"/>
        <w:ind w:left="240" w:right="259" w:firstLine="648"/>
        <w:spacing w:after="0" w:line="241" w:lineRule="auto"/>
        <w:rPr>
          <w:sz w:val="20"/>
          <w:szCs w:val="20"/>
          <w:color w:val="auto"/>
        </w:rPr>
      </w:pPr>
      <w:r>
        <w:rPr>
          <w:rFonts w:ascii="Times New Roman" w:cs="Times New Roman" w:eastAsia="Times New Roman" w:hAnsi="Times New Roman"/>
          <w:sz w:val="22"/>
          <w:szCs w:val="22"/>
          <w:color w:val="auto"/>
        </w:rPr>
        <w:t>1.69 “</w:t>
      </w:r>
      <w:r>
        <w:rPr>
          <w:rFonts w:ascii="Times New Roman" w:cs="Times New Roman" w:eastAsia="Times New Roman" w:hAnsi="Times New Roman"/>
          <w:sz w:val="22"/>
          <w:szCs w:val="22"/>
          <w:b w:val="1"/>
          <w:bCs w:val="1"/>
          <w:color w:val="auto"/>
        </w:rPr>
        <w:t>Product Specific Collaboration Patent</w:t>
      </w:r>
      <w:r>
        <w:rPr>
          <w:rFonts w:ascii="Times New Roman" w:cs="Times New Roman" w:eastAsia="Times New Roman" w:hAnsi="Times New Roman"/>
          <w:sz w:val="22"/>
          <w:szCs w:val="22"/>
          <w:color w:val="auto"/>
        </w:rPr>
        <w:t xml:space="preserve">” shall mean the patents identified by serial number as “Product Specific Collaboration Patents”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and Patents claiming priority thereon. Product Specific Collaboration Patents shall not include the Aarvik Patents identified in Exhibit D, or any patent claiming priority thereon.</w:t>
      </w:r>
    </w:p>
    <w:p>
      <w:pPr>
        <w:spacing w:after="0" w:line="172"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Publications</w:t>
      </w:r>
      <w:r>
        <w:rPr>
          <w:rFonts w:ascii="Times New Roman" w:cs="Times New Roman" w:eastAsia="Times New Roman" w:hAnsi="Times New Roman"/>
          <w:sz w:val="21"/>
          <w:szCs w:val="21"/>
          <w:color w:val="auto"/>
        </w:rPr>
        <w:t>” has the meaning set forth in Section 8.5.1.</w:t>
      </w:r>
    </w:p>
    <w:p>
      <w:pPr>
        <w:spacing w:after="0" w:line="206" w:lineRule="exact"/>
        <w:rPr>
          <w:sz w:val="20"/>
          <w:szCs w:val="20"/>
          <w:color w:val="auto"/>
        </w:rPr>
      </w:pPr>
    </w:p>
    <w:p>
      <w:pPr>
        <w:jc w:val="both"/>
        <w:ind w:left="240" w:right="259" w:firstLine="648"/>
        <w:spacing w:after="0" w:line="250" w:lineRule="auto"/>
        <w:rPr>
          <w:sz w:val="20"/>
          <w:szCs w:val="20"/>
          <w:color w:val="auto"/>
        </w:rPr>
      </w:pPr>
      <w:r>
        <w:rPr>
          <w:rFonts w:ascii="Times New Roman" w:cs="Times New Roman" w:eastAsia="Times New Roman" w:hAnsi="Times New Roman"/>
          <w:sz w:val="21"/>
          <w:szCs w:val="21"/>
          <w:color w:val="auto"/>
        </w:rPr>
        <w:t>1.71 “</w:t>
      </w:r>
      <w:r>
        <w:rPr>
          <w:rFonts w:ascii="Times New Roman" w:cs="Times New Roman" w:eastAsia="Times New Roman" w:hAnsi="Times New Roman"/>
          <w:sz w:val="21"/>
          <w:szCs w:val="21"/>
          <w:b w:val="1"/>
          <w:bCs w:val="1"/>
          <w:color w:val="auto"/>
        </w:rPr>
        <w:t>Registration Trial</w:t>
      </w:r>
      <w:r>
        <w:rPr>
          <w:rFonts w:ascii="Times New Roman" w:cs="Times New Roman" w:eastAsia="Times New Roman" w:hAnsi="Times New Roman"/>
          <w:sz w:val="21"/>
          <w:szCs w:val="21"/>
          <w:color w:val="auto"/>
        </w:rPr>
        <w:t>” means a human clinical trial anywhere in the world that is a clinical trial or study that intends to provide the ultimate evidence and data that a Regulatory Authority uses to decide whether or not to approve a potential new medicine. For clarity, a Phase 2 or 2(b) Clinical Trial that satisfies the requirements of 21 CFR §312.2l (c) or its equivalent prescribed by the Regulatory Authority in the applicable country or regulatory jurisdiction other than the United States where the clinical trial takes place shall be considered a Registration Trial.</w:t>
      </w:r>
    </w:p>
    <w:p>
      <w:pPr>
        <w:spacing w:after="0" w:line="165" w:lineRule="exact"/>
        <w:rPr>
          <w:sz w:val="20"/>
          <w:szCs w:val="20"/>
          <w:color w:val="auto"/>
        </w:rPr>
      </w:pPr>
    </w:p>
    <w:p>
      <w:pPr>
        <w:jc w:val="both"/>
        <w:ind w:left="240" w:right="259" w:firstLine="648"/>
        <w:spacing w:after="0" w:line="238" w:lineRule="auto"/>
        <w:rPr>
          <w:sz w:val="20"/>
          <w:szCs w:val="20"/>
          <w:color w:val="auto"/>
        </w:rPr>
      </w:pPr>
      <w:r>
        <w:rPr>
          <w:rFonts w:ascii="Times New Roman" w:cs="Times New Roman" w:eastAsia="Times New Roman" w:hAnsi="Times New Roman"/>
          <w:sz w:val="22"/>
          <w:szCs w:val="22"/>
          <w:color w:val="auto"/>
        </w:rPr>
        <w:t>1.72 “</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shall mean all approvals (including any applicable mandatory governmental price and reimbursement approvals and other Marketing Approvals), licenses, registrations, and authorizations of any federal, national, multinational, state, provincial or local Regulatory Authority, department, bureau and other governmental entity that are necessary for the marketing and sale of a product in a country or group of countries.</w:t>
      </w:r>
    </w:p>
    <w:p>
      <w:pPr>
        <w:spacing w:after="0" w:line="177" w:lineRule="exact"/>
        <w:rPr>
          <w:sz w:val="20"/>
          <w:szCs w:val="20"/>
          <w:color w:val="auto"/>
        </w:rPr>
      </w:pPr>
    </w:p>
    <w:p>
      <w:pPr>
        <w:jc w:val="both"/>
        <w:ind w:left="240" w:right="259" w:firstLine="648"/>
        <w:spacing w:after="0" w:line="236" w:lineRule="auto"/>
        <w:rPr>
          <w:sz w:val="20"/>
          <w:szCs w:val="20"/>
          <w:color w:val="auto"/>
        </w:rPr>
      </w:pPr>
      <w:r>
        <w:rPr>
          <w:rFonts w:ascii="Times New Roman" w:cs="Times New Roman" w:eastAsia="Times New Roman" w:hAnsi="Times New Roman"/>
          <w:sz w:val="22"/>
          <w:szCs w:val="22"/>
          <w:color w:val="auto"/>
        </w:rPr>
        <w:t>1.73 “</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shall mean any federal, national, multinational, state, provincial or local regulatory agency, department, bureau or other governmental entity with authority over the discovery, Development, Manufacturing, Commercialization or other use or exploitation (including the granting of Marketing Approvals) of any Product in any jurisdiction, including the FDA, Pharmaceuticals and Medical Devices Agency (PMDA), Medicines and Healthcare Products Regulatory Agency (MHRA), European Medicines Agency (EMA), and the NMPA.</w:t>
      </w:r>
    </w:p>
    <w:p>
      <w:pPr>
        <w:spacing w:after="0" w:line="176" w:lineRule="exact"/>
        <w:rPr>
          <w:sz w:val="20"/>
          <w:szCs w:val="20"/>
          <w:color w:val="auto"/>
        </w:rPr>
      </w:pPr>
    </w:p>
    <w:p>
      <w:pPr>
        <w:jc w:val="both"/>
        <w:ind w:left="240" w:right="259" w:firstLine="648"/>
        <w:spacing w:after="0" w:line="246" w:lineRule="auto"/>
        <w:rPr>
          <w:sz w:val="20"/>
          <w:szCs w:val="20"/>
          <w:color w:val="auto"/>
        </w:rPr>
      </w:pPr>
      <w:r>
        <w:rPr>
          <w:rFonts w:ascii="Times New Roman" w:cs="Times New Roman" w:eastAsia="Times New Roman" w:hAnsi="Times New Roman"/>
          <w:sz w:val="22"/>
          <w:szCs w:val="22"/>
          <w:color w:val="auto"/>
        </w:rPr>
        <w:t>1.74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means, with respect to any Person, such Person’s directors, officers, managers, employees, counsel, accountants, financial advisors, lenders and other agents and representatives.</w:t>
      </w:r>
    </w:p>
    <w:p>
      <w:pPr>
        <w:spacing w:after="0" w:line="167" w:lineRule="exact"/>
        <w:rPr>
          <w:sz w:val="20"/>
          <w:szCs w:val="20"/>
          <w:color w:val="auto"/>
        </w:rPr>
      </w:pPr>
    </w:p>
    <w:p>
      <w:pPr>
        <w:jc w:val="both"/>
        <w:ind w:left="240" w:right="259" w:firstLine="648"/>
        <w:spacing w:after="0" w:line="246" w:lineRule="auto"/>
        <w:rPr>
          <w:sz w:val="20"/>
          <w:szCs w:val="20"/>
          <w:color w:val="auto"/>
        </w:rPr>
      </w:pPr>
      <w:r>
        <w:rPr>
          <w:rFonts w:ascii="Times New Roman" w:cs="Times New Roman" w:eastAsia="Times New Roman" w:hAnsi="Times New Roman"/>
          <w:sz w:val="22"/>
          <w:szCs w:val="22"/>
          <w:color w:val="auto"/>
        </w:rPr>
        <w:t>1.75 “</w:t>
      </w:r>
      <w:r>
        <w:rPr>
          <w:rFonts w:ascii="Times New Roman" w:cs="Times New Roman" w:eastAsia="Times New Roman" w:hAnsi="Times New Roman"/>
          <w:sz w:val="22"/>
          <w:szCs w:val="22"/>
          <w:b w:val="1"/>
          <w:bCs w:val="1"/>
          <w:color w:val="auto"/>
        </w:rPr>
        <w:t>Research</w:t>
      </w:r>
      <w:r>
        <w:rPr>
          <w:rFonts w:ascii="Times New Roman" w:cs="Times New Roman" w:eastAsia="Times New Roman" w:hAnsi="Times New Roman"/>
          <w:sz w:val="22"/>
          <w:szCs w:val="22"/>
          <w:color w:val="auto"/>
        </w:rPr>
        <w:t>” means activities related to the design, discovery, identification, synthesis and characterization of Compounds within the Collaboration Program. “</w:t>
      </w:r>
      <w:r>
        <w:rPr>
          <w:rFonts w:ascii="Times New Roman" w:cs="Times New Roman" w:eastAsia="Times New Roman" w:hAnsi="Times New Roman"/>
          <w:sz w:val="22"/>
          <w:szCs w:val="22"/>
          <w:b w:val="1"/>
          <w:bCs w:val="1"/>
          <w:color w:val="auto"/>
        </w:rPr>
        <w:t>Researching</w:t>
      </w:r>
      <w:r>
        <w:rPr>
          <w:rFonts w:ascii="Times New Roman" w:cs="Times New Roman" w:eastAsia="Times New Roman" w:hAnsi="Times New Roman"/>
          <w:sz w:val="22"/>
          <w:szCs w:val="22"/>
          <w:color w:val="auto"/>
        </w:rPr>
        <w:t>” shall have a correlative meaning.</w:t>
      </w:r>
    </w:p>
    <w:p>
      <w:pPr>
        <w:spacing w:after="0" w:line="167"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Term</w:t>
      </w:r>
      <w:r>
        <w:rPr>
          <w:rFonts w:ascii="Times New Roman" w:cs="Times New Roman" w:eastAsia="Times New Roman" w:hAnsi="Times New Roman"/>
          <w:sz w:val="21"/>
          <w:szCs w:val="21"/>
          <w:color w:val="auto"/>
        </w:rPr>
        <w:t>” has the meaning set forth in Section 3.1.</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1.77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21"/>
          <w:szCs w:val="21"/>
          <w:color w:val="auto"/>
        </w:rPr>
        <w:t>” has the meaning set forth in Section 6.5.2.</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SOWs</w:t>
      </w:r>
      <w:r>
        <w:rPr>
          <w:rFonts w:ascii="Times New Roman" w:cs="Times New Roman" w:eastAsia="Times New Roman" w:hAnsi="Times New Roman"/>
          <w:sz w:val="21"/>
          <w:szCs w:val="21"/>
          <w:color w:val="auto"/>
        </w:rPr>
        <w:t>” has the meaning set forth in Section 3.1.</w:t>
      </w:r>
    </w:p>
    <w:p>
      <w:pPr>
        <w:spacing w:after="0" w:line="206" w:lineRule="exact"/>
        <w:rPr>
          <w:sz w:val="20"/>
          <w:szCs w:val="20"/>
          <w:color w:val="auto"/>
        </w:rPr>
      </w:pPr>
    </w:p>
    <w:p>
      <w:pPr>
        <w:jc w:val="both"/>
        <w:ind w:left="240" w:right="259" w:firstLine="648"/>
        <w:spacing w:after="0" w:line="246" w:lineRule="auto"/>
        <w:rPr>
          <w:sz w:val="20"/>
          <w:szCs w:val="20"/>
          <w:color w:val="auto"/>
        </w:rPr>
      </w:pPr>
      <w:r>
        <w:rPr>
          <w:rFonts w:ascii="Times New Roman" w:cs="Times New Roman" w:eastAsia="Times New Roman" w:hAnsi="Times New Roman"/>
          <w:sz w:val="22"/>
          <w:szCs w:val="22"/>
          <w:color w:val="auto"/>
        </w:rPr>
        <w:t>1.79 “</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of a Party shall mean any Third Party to whom such Party has directly or indirectly granted a sublicense under all or any portion of the license granted to such Party under this Agreement.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019"/>
          </w:cols>
          <w:pgMar w:left="1440" w:top="89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43" w:name="page44"/>
    <w:bookmarkEnd w:id="43"/>
    <w:p>
      <w:pPr>
        <w:jc w:val="both"/>
        <w:ind w:left="240" w:right="259" w:firstLine="648"/>
        <w:spacing w:after="0" w:line="262" w:lineRule="auto"/>
        <w:rPr>
          <w:sz w:val="20"/>
          <w:szCs w:val="20"/>
          <w:color w:val="auto"/>
        </w:rPr>
      </w:pPr>
      <w:r>
        <w:rPr>
          <w:rFonts w:ascii="Times New Roman" w:cs="Times New Roman" w:eastAsia="Times New Roman" w:hAnsi="Times New Roman"/>
          <w:sz w:val="22"/>
          <w:szCs w:val="22"/>
          <w:color w:val="auto"/>
        </w:rPr>
        <w:t>1.80 “</w:t>
      </w:r>
      <w:r>
        <w:rPr>
          <w:rFonts w:ascii="Times New Roman" w:cs="Times New Roman" w:eastAsia="Times New Roman" w:hAnsi="Times New Roman"/>
          <w:sz w:val="22"/>
          <w:szCs w:val="22"/>
          <w:b w:val="1"/>
          <w:bCs w:val="1"/>
          <w:color w:val="auto"/>
        </w:rPr>
        <w:t>Target</w:t>
      </w:r>
      <w:r>
        <w:rPr>
          <w:rFonts w:ascii="Times New Roman" w:cs="Times New Roman" w:eastAsia="Times New Roman" w:hAnsi="Times New Roman"/>
          <w:sz w:val="22"/>
          <w:szCs w:val="22"/>
          <w:color w:val="auto"/>
        </w:rPr>
        <w:t>” shall mean the biological target of a pharmacologically active drug compound or epitopes of such biological target.</w:t>
      </w:r>
    </w:p>
    <w:p>
      <w:pPr>
        <w:spacing w:after="0" w:line="150" w:lineRule="exact"/>
        <w:rPr>
          <w:sz w:val="20"/>
          <w:szCs w:val="20"/>
          <w:color w:val="auto"/>
        </w:rPr>
      </w:pPr>
    </w:p>
    <w:p>
      <w:pPr>
        <w:jc w:val="both"/>
        <w:ind w:left="240" w:right="259" w:firstLine="648"/>
        <w:spacing w:after="0" w:line="246" w:lineRule="auto"/>
        <w:rPr>
          <w:sz w:val="20"/>
          <w:szCs w:val="20"/>
          <w:color w:val="auto"/>
        </w:rPr>
      </w:pPr>
      <w:r>
        <w:rPr>
          <w:rFonts w:ascii="Times New Roman" w:cs="Times New Roman" w:eastAsia="Times New Roman" w:hAnsi="Times New Roman"/>
          <w:sz w:val="22"/>
          <w:szCs w:val="22"/>
          <w:color w:val="auto"/>
        </w:rPr>
        <w:t>1.81 “</w:t>
      </w:r>
      <w:r>
        <w:rPr>
          <w:rFonts w:ascii="Times New Roman" w:cs="Times New Roman" w:eastAsia="Times New Roman" w:hAnsi="Times New Roman"/>
          <w:sz w:val="22"/>
          <w:szCs w:val="22"/>
          <w:b w:val="1"/>
          <w:bCs w:val="1"/>
          <w:color w:val="auto"/>
        </w:rPr>
        <w:t>Target Pair</w:t>
      </w:r>
      <w:r>
        <w:rPr>
          <w:rFonts w:ascii="Times New Roman" w:cs="Times New Roman" w:eastAsia="Times New Roman" w:hAnsi="Times New Roman"/>
          <w:sz w:val="22"/>
          <w:szCs w:val="22"/>
          <w:color w:val="auto"/>
        </w:rPr>
        <w:t xml:space="preserve">” shall mean, with respect to compounds being developed under the Collaboration Program, the two (2) Targets that such compound binds. The Target Pair mutually agreed upon by the Parties as of the Original Effective Date is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has the meaning set forth in Section 11.1.</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1.83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xml:space="preserve">” shall mean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1.84</w:t>
      </w:r>
      <w:r>
        <w:rPr>
          <w:sz w:val="20"/>
          <w:szCs w:val="20"/>
          <w:color w:val="auto"/>
        </w:rPr>
        <w:tab/>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1.85</w:t>
      </w:r>
      <w:r>
        <w:rPr>
          <w:sz w:val="20"/>
          <w:szCs w:val="20"/>
          <w:color w:val="auto"/>
        </w:rPr>
        <w:tab/>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left="240" w:right="259" w:firstLine="648"/>
        <w:spacing w:after="0" w:line="262" w:lineRule="auto"/>
        <w:rPr>
          <w:sz w:val="20"/>
          <w:szCs w:val="20"/>
          <w:color w:val="auto"/>
        </w:rPr>
      </w:pPr>
      <w:r>
        <w:rPr>
          <w:rFonts w:ascii="Times New Roman" w:cs="Times New Roman" w:eastAsia="Times New Roman" w:hAnsi="Times New Roman"/>
          <w:sz w:val="22"/>
          <w:szCs w:val="22"/>
          <w:color w:val="auto"/>
        </w:rPr>
        <w:t>1.86 “</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shall mean any Person other than Aarvik, ArriVent or their respective Affiliates.</w:t>
      </w:r>
    </w:p>
    <w:p>
      <w:pPr>
        <w:spacing w:after="0" w:line="150"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22"/>
          <w:szCs w:val="22"/>
          <w:color w:val="auto"/>
        </w:rPr>
        <w:t>1.87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Third-Party Claim</w:t>
      </w:r>
      <w:r>
        <w:rPr>
          <w:rFonts w:ascii="Times New Roman" w:cs="Times New Roman" w:eastAsia="Times New Roman" w:hAnsi="Times New Roman"/>
          <w:sz w:val="21"/>
          <w:szCs w:val="21"/>
          <w:color w:val="auto"/>
        </w:rPr>
        <w:t>” has the meaning set forth in Section 10.1.</w:t>
      </w:r>
    </w:p>
    <w:p>
      <w:pPr>
        <w:spacing w:after="0" w:line="206" w:lineRule="exact"/>
        <w:rPr>
          <w:sz w:val="20"/>
          <w:szCs w:val="20"/>
          <w:color w:val="auto"/>
        </w:rPr>
      </w:pPr>
    </w:p>
    <w:p>
      <w:pPr>
        <w:jc w:val="both"/>
        <w:ind w:left="240" w:right="259" w:firstLine="648"/>
        <w:spacing w:after="0" w:line="262" w:lineRule="auto"/>
        <w:rPr>
          <w:sz w:val="20"/>
          <w:szCs w:val="20"/>
          <w:color w:val="auto"/>
        </w:rPr>
      </w:pPr>
      <w:r>
        <w:rPr>
          <w:rFonts w:ascii="Times New Roman" w:cs="Times New Roman" w:eastAsia="Times New Roman" w:hAnsi="Times New Roman"/>
          <w:sz w:val="22"/>
          <w:szCs w:val="22"/>
          <w:color w:val="auto"/>
        </w:rPr>
        <w:t>1.88 “</w:t>
      </w:r>
      <w:r>
        <w:rPr>
          <w:rFonts w:ascii="Times New Roman" w:cs="Times New Roman" w:eastAsia="Times New Roman" w:hAnsi="Times New Roman"/>
          <w:sz w:val="22"/>
          <w:szCs w:val="22"/>
          <w:b w:val="1"/>
          <w:bCs w:val="1"/>
          <w:color w:val="auto"/>
        </w:rPr>
        <w:t>US 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shall mean United States dollars, the lawful currency of the United States.</w:t>
      </w:r>
    </w:p>
    <w:p>
      <w:pPr>
        <w:spacing w:after="0" w:line="150" w:lineRule="exact"/>
        <w:rPr>
          <w:sz w:val="20"/>
          <w:szCs w:val="20"/>
          <w:color w:val="auto"/>
        </w:rPr>
      </w:pPr>
    </w:p>
    <w:p>
      <w:pPr>
        <w:jc w:val="both"/>
        <w:ind w:left="240" w:right="259" w:firstLine="648"/>
        <w:spacing w:after="0" w:line="247" w:lineRule="auto"/>
        <w:rPr>
          <w:sz w:val="20"/>
          <w:szCs w:val="20"/>
          <w:color w:val="auto"/>
        </w:rPr>
      </w:pPr>
      <w:r>
        <w:rPr>
          <w:rFonts w:ascii="Times New Roman" w:cs="Times New Roman" w:eastAsia="Times New Roman" w:hAnsi="Times New Roman"/>
          <w:sz w:val="21"/>
          <w:szCs w:val="21"/>
          <w:color w:val="auto"/>
        </w:rPr>
        <w:t>1.89 “</w:t>
      </w:r>
      <w:r>
        <w:rPr>
          <w:rFonts w:ascii="Times New Roman" w:cs="Times New Roman" w:eastAsia="Times New Roman" w:hAnsi="Times New Roman"/>
          <w:sz w:val="21"/>
          <w:szCs w:val="21"/>
          <w:b w:val="1"/>
          <w:bCs w:val="1"/>
          <w:color w:val="auto"/>
        </w:rPr>
        <w:t>Valid Claim</w:t>
      </w:r>
      <w:r>
        <w:rPr>
          <w:rFonts w:ascii="Times New Roman" w:cs="Times New Roman" w:eastAsia="Times New Roman" w:hAnsi="Times New Roman"/>
          <w:sz w:val="21"/>
          <w:szCs w:val="21"/>
          <w:color w:val="auto"/>
        </w:rPr>
        <w:t>” shall mean a claim contained in (a) an issued and unexpired Patent, which claim has not been found to be unpatentable, invalid, revocable or unenforceable by a decision of a court or other authority of competent jurisdiction in the subject country, which decision is unappealable or unappealed within the time allowed for appeal, and has not been admitted to be invalid or unenforceable through abandonment, reissue, disclaimer or otherwise; or</w:t>
      </w:r>
    </w:p>
    <w:p>
      <w:pPr>
        <w:jc w:val="both"/>
        <w:ind w:left="240" w:right="259" w:firstLine="6"/>
        <w:spacing w:after="0" w:line="235" w:lineRule="auto"/>
        <w:tabs>
          <w:tab w:leader="none" w:pos="55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pending patent application that has been filed in good faith and that has not been cancelled, withdrawn, or abandoned and has not been pending for more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from the earliest priority date.</w:t>
      </w:r>
    </w:p>
    <w:p>
      <w:pPr>
        <w:spacing w:after="0" w:line="174" w:lineRule="exact"/>
        <w:rPr>
          <w:sz w:val="20"/>
          <w:szCs w:val="20"/>
          <w:color w:val="auto"/>
        </w:rPr>
      </w:pPr>
    </w:p>
    <w:p>
      <w:pPr>
        <w:jc w:val="both"/>
        <w:ind w:left="240" w:right="259" w:firstLine="648"/>
        <w:spacing w:after="0" w:line="262" w:lineRule="auto"/>
        <w:rPr>
          <w:sz w:val="20"/>
          <w:szCs w:val="20"/>
          <w:color w:val="auto"/>
        </w:rPr>
      </w:pPr>
      <w:r>
        <w:rPr>
          <w:rFonts w:ascii="Times New Roman" w:cs="Times New Roman" w:eastAsia="Times New Roman" w:hAnsi="Times New Roman"/>
          <w:sz w:val="22"/>
          <w:szCs w:val="22"/>
          <w:color w:val="auto"/>
        </w:rPr>
        <w:t>1.90 “</w:t>
      </w:r>
      <w:r>
        <w:rPr>
          <w:rFonts w:ascii="Times New Roman" w:cs="Times New Roman" w:eastAsia="Times New Roman" w:hAnsi="Times New Roman"/>
          <w:sz w:val="22"/>
          <w:szCs w:val="22"/>
          <w:b w:val="1"/>
          <w:bCs w:val="1"/>
          <w:color w:val="auto"/>
        </w:rPr>
        <w:t>Work Item</w:t>
      </w:r>
      <w:r>
        <w:rPr>
          <w:rFonts w:ascii="Times New Roman" w:cs="Times New Roman" w:eastAsia="Times New Roman" w:hAnsi="Times New Roman"/>
          <w:sz w:val="22"/>
          <w:szCs w:val="22"/>
          <w:color w:val="auto"/>
        </w:rPr>
        <w:t xml:space="preserve">” shall mean each of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components of the Collaboration Program as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OVERVIEW; GOVERNANCE</w:t>
      </w:r>
    </w:p>
    <w:p>
      <w:pPr>
        <w:spacing w:after="0" w:line="182" w:lineRule="exact"/>
        <w:rPr>
          <w:sz w:val="20"/>
          <w:szCs w:val="20"/>
          <w:color w:val="auto"/>
        </w:rPr>
      </w:pPr>
    </w:p>
    <w:p>
      <w:pPr>
        <w:jc w:val="both"/>
        <w:ind w:left="240" w:right="259" w:firstLine="648"/>
        <w:spacing w:after="0" w:line="236"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Overview</w:t>
      </w:r>
      <w:r>
        <w:rPr>
          <w:rFonts w:ascii="Times New Roman" w:cs="Times New Roman" w:eastAsia="Times New Roman" w:hAnsi="Times New Roman"/>
          <w:sz w:val="22"/>
          <w:szCs w:val="22"/>
          <w:color w:val="auto"/>
        </w:rPr>
        <w:t>. Pursuant to the terms of this Agreement and subject to conditions herein, the Parties will collaborate on the discovery and characterization of novel bispecific ADCs against the Targets in the Field during the Research Term with a goal to identify ADCs that may be suitable for further development by ArriVent. Specifically, with respect to the Collaboration Program, Aarvik will apply the Aarvik IP, in accordance with the applicable SOW, to identify the lead drug candidates that are suitable for further preclinical development.</w:t>
      </w:r>
    </w:p>
    <w:p>
      <w:pPr>
        <w:spacing w:after="0" w:line="181" w:lineRule="exact"/>
        <w:rPr>
          <w:sz w:val="20"/>
          <w:szCs w:val="20"/>
          <w:color w:val="auto"/>
        </w:rPr>
      </w:pPr>
    </w:p>
    <w:p>
      <w:pPr>
        <w:jc w:val="both"/>
        <w:ind w:left="240" w:right="259" w:firstLine="648"/>
        <w:spacing w:after="0" w:line="236"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Establishment of Joint Research Committee</w:t>
      </w:r>
      <w:r>
        <w:rPr>
          <w:rFonts w:ascii="Times New Roman" w:cs="Times New Roman" w:eastAsia="Times New Roman" w:hAnsi="Times New Roman"/>
          <w:sz w:val="22"/>
          <w:szCs w:val="22"/>
          <w:color w:val="auto"/>
        </w:rPr>
        <w:t>. Aarvik and ArriVent has established and convened a joint steering committee (“</w:t>
      </w:r>
      <w:r>
        <w:rPr>
          <w:rFonts w:ascii="Times New Roman" w:cs="Times New Roman" w:eastAsia="Times New Roman" w:hAnsi="Times New Roman"/>
          <w:sz w:val="22"/>
          <w:szCs w:val="22"/>
          <w:b w:val="1"/>
          <w:bCs w:val="1"/>
          <w:color w:val="auto"/>
        </w:rPr>
        <w:t>JRC</w:t>
      </w:r>
      <w:r>
        <w:rPr>
          <w:rFonts w:ascii="Times New Roman" w:cs="Times New Roman" w:eastAsia="Times New Roman" w:hAnsi="Times New Roman"/>
          <w:sz w:val="22"/>
          <w:szCs w:val="22"/>
          <w:color w:val="auto"/>
        </w:rPr>
        <w:t xml:space="preserve">”) to oversee and coordinate the Collaboration activities of the Parties during the Research Term in accordance with this Agreement. The JRC shall initially consist of two (2) representatives designated by each Party, whose names and contact details are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Each party will also designate an alliance manager who will be a non-voting representative but will oversee the functioning of</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019"/>
          </w:cols>
          <w:pgMar w:left="1440" w:top="89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44" w:name="page45"/>
    <w:bookmarkEnd w:id="44"/>
    <w:p>
      <w:pPr>
        <w:jc w:val="both"/>
        <w:ind w:left="240" w:right="259"/>
        <w:spacing w:after="0" w:line="233" w:lineRule="auto"/>
        <w:rPr>
          <w:sz w:val="20"/>
          <w:szCs w:val="20"/>
          <w:color w:val="auto"/>
        </w:rPr>
      </w:pPr>
      <w:r>
        <w:rPr>
          <w:rFonts w:ascii="Times New Roman" w:cs="Times New Roman" w:eastAsia="Times New Roman" w:hAnsi="Times New Roman"/>
          <w:sz w:val="22"/>
          <w:szCs w:val="22"/>
          <w:color w:val="auto"/>
        </w:rPr>
        <w:t>the JRC (the “</w:t>
      </w:r>
      <w:r>
        <w:rPr>
          <w:rFonts w:ascii="Times New Roman" w:cs="Times New Roman" w:eastAsia="Times New Roman" w:hAnsi="Times New Roman"/>
          <w:sz w:val="22"/>
          <w:szCs w:val="22"/>
          <w:b w:val="1"/>
          <w:bCs w:val="1"/>
          <w:color w:val="auto"/>
        </w:rPr>
        <w:t>Alliance Manager</w:t>
      </w:r>
      <w:r>
        <w:rPr>
          <w:rFonts w:ascii="Times New Roman" w:cs="Times New Roman" w:eastAsia="Times New Roman" w:hAnsi="Times New Roman"/>
          <w:sz w:val="22"/>
          <w:szCs w:val="22"/>
          <w:color w:val="auto"/>
        </w:rPr>
        <w:t xml:space="preserve">”). The Parties may agree to increase or decrease the number of representatives that each Party may appoint on the JRC, provided that each Party has the same number of representatives. The JRC may invite non-members (including other employees of the Party and/or scientific consultants and advisors of a Party who are under an obligation of confidentiality consistent with this Agreement) to participate in the discussions and meetings of the JRC, provided that such participants shall have no voting authority at the JRC. The chairperson of the JRC shall be ArriVent’s representative. The chairperson, together with the Alliance Manager, shall be accountable for: (a) calling meetings of the JRC; (b) preparing and issuing minutes of each such meeting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thereafter, and (c) preparing and circulating an agenda for the upcoming meeting, but shall have no additional rights or authority over other JRC members. Each Party shall be free to change its representatives on written notice to the other or to send a substitute representative to any JRC meeting; provided that each Party shall ensure that, at all times during the existence of the JRC, its representatives on the JRC are appropriate in terms of expertise and seniority (including at least one member of senior management) for the then-current stage of the Collaboration.</w:t>
      </w:r>
    </w:p>
    <w:p>
      <w:pPr>
        <w:spacing w:after="0" w:line="181" w:lineRule="exact"/>
        <w:rPr>
          <w:sz w:val="20"/>
          <w:szCs w:val="20"/>
          <w:color w:val="auto"/>
        </w:rPr>
      </w:pPr>
    </w:p>
    <w:p>
      <w:pPr>
        <w:jc w:val="both"/>
        <w:ind w:left="240" w:right="2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JRC Responsibilities</w:t>
      </w:r>
      <w:r>
        <w:rPr>
          <w:rFonts w:ascii="Times New Roman" w:cs="Times New Roman" w:eastAsia="Times New Roman" w:hAnsi="Times New Roman"/>
          <w:sz w:val="22"/>
          <w:szCs w:val="22"/>
          <w:color w:val="auto"/>
        </w:rPr>
        <w:t>. The JRC shall provide general oversight on the Collaboration activities during the Research Term and serve to facilitate communications between the Parties, and shall have specific responsibilities for:</w:t>
      </w:r>
    </w:p>
    <w:p>
      <w:pPr>
        <w:spacing w:after="0" w:line="173"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color w:val="auto"/>
        </w:rPr>
        <w:t>monitoring activities under each SOW;</w:t>
      </w:r>
    </w:p>
    <w:p>
      <w:pPr>
        <w:spacing w:after="0" w:line="206"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2.3.2 forming any subcommittee as it or the Parties deem appropriate or necessary, deciding the scope of responsibilities of any subcommittee, supervising the subcommittees and resolving issues and disputes submitted by any subcommittee;</w:t>
      </w:r>
    </w:p>
    <w:p>
      <w:pPr>
        <w:spacing w:after="0" w:line="173" w:lineRule="exact"/>
        <w:rPr>
          <w:sz w:val="20"/>
          <w:szCs w:val="20"/>
          <w:color w:val="auto"/>
        </w:rPr>
      </w:pPr>
    </w:p>
    <w:p>
      <w:pPr>
        <w:jc w:val="both"/>
        <w:ind w:left="240" w:right="259" w:firstLine="1296"/>
        <w:spacing w:after="0" w:line="258" w:lineRule="auto"/>
        <w:rPr>
          <w:sz w:val="20"/>
          <w:szCs w:val="20"/>
          <w:color w:val="auto"/>
        </w:rPr>
      </w:pPr>
      <w:r>
        <w:rPr>
          <w:rFonts w:ascii="Times New Roman" w:cs="Times New Roman" w:eastAsia="Times New Roman" w:hAnsi="Times New Roman"/>
          <w:sz w:val="22"/>
          <w:szCs w:val="22"/>
          <w:color w:val="auto"/>
        </w:rPr>
        <w:t>2.3.3 reviewing and recommending any amendments to any SOW (including the proposed research activities and budgets);</w:t>
      </w:r>
    </w:p>
    <w:p>
      <w:pPr>
        <w:spacing w:after="0" w:line="158"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22"/>
          <w:szCs w:val="22"/>
          <w:color w:val="auto"/>
        </w:rPr>
        <w:t>2.3.4</w:t>
      </w:r>
      <w:r>
        <w:rPr>
          <w:sz w:val="20"/>
          <w:szCs w:val="20"/>
          <w:color w:val="auto"/>
        </w:rPr>
        <w:tab/>
      </w:r>
      <w:r>
        <w:rPr>
          <w:rFonts w:ascii="Times New Roman" w:cs="Times New Roman" w:eastAsia="Times New Roman" w:hAnsi="Times New Roman"/>
          <w:sz w:val="21"/>
          <w:szCs w:val="21"/>
          <w:color w:val="auto"/>
        </w:rPr>
        <w:t>periodic review of the overall goals and strategy of the Collaboration;</w:t>
      </w:r>
    </w:p>
    <w:p>
      <w:pPr>
        <w:spacing w:after="0" w:line="206" w:lineRule="exact"/>
        <w:rPr>
          <w:sz w:val="20"/>
          <w:szCs w:val="20"/>
          <w:color w:val="auto"/>
        </w:rPr>
      </w:pPr>
    </w:p>
    <w:p>
      <w:pPr>
        <w:jc w:val="both"/>
        <w:ind w:left="240" w:right="259" w:firstLine="1296"/>
        <w:spacing w:after="0" w:line="258" w:lineRule="auto"/>
        <w:rPr>
          <w:sz w:val="20"/>
          <w:szCs w:val="20"/>
          <w:color w:val="auto"/>
        </w:rPr>
      </w:pPr>
      <w:r>
        <w:rPr>
          <w:rFonts w:ascii="Times New Roman" w:cs="Times New Roman" w:eastAsia="Times New Roman" w:hAnsi="Times New Roman"/>
          <w:sz w:val="22"/>
          <w:szCs w:val="22"/>
          <w:color w:val="auto"/>
        </w:rPr>
        <w:t>2.3.5 providing strategic direction to Aarvik’s activities under the Collaboration to ensure the delivery of Compounds suitable for further preclinical development;</w:t>
      </w:r>
    </w:p>
    <w:p>
      <w:pPr>
        <w:spacing w:after="0" w:line="158"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22"/>
          <w:szCs w:val="22"/>
          <w:color w:val="auto"/>
        </w:rPr>
        <w:t>2.3.6</w:t>
      </w:r>
      <w:r>
        <w:rPr>
          <w:sz w:val="20"/>
          <w:szCs w:val="20"/>
          <w:color w:val="auto"/>
        </w:rPr>
        <w:tab/>
      </w:r>
      <w:r>
        <w:rPr>
          <w:rFonts w:ascii="Times New Roman" w:cs="Times New Roman" w:eastAsia="Times New Roman" w:hAnsi="Times New Roman"/>
          <w:sz w:val="21"/>
          <w:szCs w:val="21"/>
          <w:color w:val="auto"/>
        </w:rPr>
        <w:t>reviewing the relevant Data Package(s);</w:t>
      </w:r>
    </w:p>
    <w:p>
      <w:pPr>
        <w:spacing w:after="0" w:line="206"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22"/>
          <w:szCs w:val="22"/>
          <w:color w:val="auto"/>
        </w:rPr>
        <w:t>2.3.7</w:t>
      </w:r>
      <w:r>
        <w:rPr>
          <w:sz w:val="20"/>
          <w:szCs w:val="20"/>
          <w:color w:val="auto"/>
        </w:rPr>
        <w:tab/>
      </w:r>
      <w:r>
        <w:rPr>
          <w:rFonts w:ascii="Times New Roman" w:cs="Times New Roman" w:eastAsia="Times New Roman" w:hAnsi="Times New Roman"/>
          <w:sz w:val="21"/>
          <w:szCs w:val="21"/>
          <w:color w:val="auto"/>
        </w:rPr>
        <w:t>discussing the suitability of any Compounds for Development;</w:t>
      </w:r>
    </w:p>
    <w:p>
      <w:pPr>
        <w:spacing w:after="0" w:line="206" w:lineRule="exact"/>
        <w:rPr>
          <w:sz w:val="20"/>
          <w:szCs w:val="20"/>
          <w:color w:val="auto"/>
        </w:rPr>
      </w:pPr>
    </w:p>
    <w:p>
      <w:pPr>
        <w:jc w:val="both"/>
        <w:ind w:left="240" w:right="259" w:firstLine="1296"/>
        <w:spacing w:after="0" w:line="258" w:lineRule="auto"/>
        <w:rPr>
          <w:sz w:val="20"/>
          <w:szCs w:val="20"/>
          <w:color w:val="auto"/>
        </w:rPr>
      </w:pPr>
      <w:r>
        <w:rPr>
          <w:rFonts w:ascii="Times New Roman" w:cs="Times New Roman" w:eastAsia="Times New Roman" w:hAnsi="Times New Roman"/>
          <w:sz w:val="22"/>
          <w:szCs w:val="22"/>
          <w:color w:val="auto"/>
        </w:rPr>
        <w:t>2.3.8 reviewing and implementing patenting and Intellectual Property Right protection strategies on Compounds and other Collaboration IP;</w:t>
      </w:r>
    </w:p>
    <w:p>
      <w:pPr>
        <w:spacing w:after="0" w:line="158" w:lineRule="exact"/>
        <w:rPr>
          <w:sz w:val="20"/>
          <w:szCs w:val="20"/>
          <w:color w:val="auto"/>
        </w:rPr>
      </w:pPr>
    </w:p>
    <w:p>
      <w:pPr>
        <w:ind w:left="1540"/>
        <w:spacing w:after="0"/>
        <w:tabs>
          <w:tab w:leader="none" w:pos="2160" w:val="left"/>
          <w:tab w:leader="none" w:pos="3240" w:val="left"/>
          <w:tab w:leader="none" w:pos="3740" w:val="left"/>
          <w:tab w:leader="none" w:pos="5000" w:val="left"/>
          <w:tab w:leader="none" w:pos="5360" w:val="left"/>
          <w:tab w:leader="none" w:pos="7200" w:val="left"/>
          <w:tab w:leader="none" w:pos="7820" w:val="left"/>
          <w:tab w:leader="none" w:pos="8480" w:val="left"/>
        </w:tabs>
        <w:rPr>
          <w:sz w:val="20"/>
          <w:szCs w:val="20"/>
          <w:color w:val="auto"/>
        </w:rPr>
      </w:pPr>
      <w:r>
        <w:rPr>
          <w:rFonts w:ascii="Times New Roman" w:cs="Times New Roman" w:eastAsia="Times New Roman" w:hAnsi="Times New Roman"/>
          <w:sz w:val="22"/>
          <w:szCs w:val="22"/>
          <w:color w:val="auto"/>
        </w:rPr>
        <w:t>2.3.9</w:t>
        <w:tab/>
        <w:t>discussing</w:t>
        <w:tab/>
        <w:t>any</w:t>
        <w:tab/>
        <w:t>patentability</w:t>
        <w:tab/>
        <w:t>or</w:t>
        <w:tab/>
        <w:t>freedom-to-operate</w:t>
        <w:tab/>
        <w:t>issue</w:t>
        <w:tab/>
        <w:t>about</w:t>
      </w:r>
      <w:r>
        <w:rPr>
          <w:sz w:val="20"/>
          <w:szCs w:val="20"/>
          <w:color w:val="auto"/>
        </w:rPr>
        <w:tab/>
      </w:r>
      <w:r>
        <w:rPr>
          <w:rFonts w:ascii="Times New Roman" w:cs="Times New Roman" w:eastAsia="Times New Roman" w:hAnsi="Times New Roman"/>
          <w:sz w:val="21"/>
          <w:szCs w:val="21"/>
          <w:color w:val="auto"/>
        </w:rPr>
        <w:t>the</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Compound(s);</w:t>
      </w:r>
    </w:p>
    <w:p>
      <w:pPr>
        <w:spacing w:after="0" w:line="182"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2.3.10 facilitating access to and the exchange of information between the Parties related to the Collaboration activities, including monitoring and approving the exchange of relevant information and data between the Parties as required for the performance of any SOW;</w:t>
      </w:r>
    </w:p>
    <w:p>
      <w:pPr>
        <w:spacing w:after="0" w:line="1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2.3.11 discussing certain payments described in Section 6.2.2 and 6.2.3 below;</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and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019"/>
          </w:cols>
          <w:pgMar w:left="1440" w:top="1107"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type w:val="continuous"/>
        </w:sectPr>
      </w:pPr>
    </w:p>
    <w:bookmarkStart w:id="45" w:name="page46"/>
    <w:bookmarkEnd w:id="45"/>
    <w:p>
      <w:pPr>
        <w:jc w:val="both"/>
        <w:ind w:left="240" w:right="259" w:firstLine="1296"/>
        <w:spacing w:after="0" w:line="258" w:lineRule="auto"/>
        <w:rPr>
          <w:sz w:val="20"/>
          <w:szCs w:val="20"/>
          <w:color w:val="auto"/>
        </w:rPr>
      </w:pPr>
      <w:r>
        <w:rPr>
          <w:rFonts w:ascii="Times New Roman" w:cs="Times New Roman" w:eastAsia="Times New Roman" w:hAnsi="Times New Roman"/>
          <w:sz w:val="22"/>
          <w:szCs w:val="22"/>
          <w:color w:val="auto"/>
        </w:rPr>
        <w:t>2.3.12 such other responsibilities as may be assigned to the JRC pursuant to this Agreement or as may be mutually agreed upon by the Parties from time to time.</w:t>
      </w:r>
    </w:p>
    <w:p>
      <w:pPr>
        <w:spacing w:after="0" w:line="158" w:lineRule="exact"/>
        <w:rPr>
          <w:sz w:val="20"/>
          <w:szCs w:val="20"/>
          <w:color w:val="auto"/>
        </w:rPr>
      </w:pPr>
    </w:p>
    <w:p>
      <w:pPr>
        <w:ind w:left="900"/>
        <w:spacing w:after="0"/>
        <w:tabs>
          <w:tab w:leader="none" w:pos="180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JRC Decision Making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22"/>
          <w:szCs w:val="22"/>
          <w:color w:val="auto"/>
        </w:rPr>
        <w:t>2.4.1</w:t>
      </w:r>
      <w:r>
        <w:rPr>
          <w:sz w:val="20"/>
          <w:szCs w:val="20"/>
          <w:color w:val="auto"/>
        </w:rPr>
        <w:tab/>
      </w:r>
      <w:r>
        <w:rPr>
          <w:rFonts w:ascii="Times New Roman" w:cs="Times New Roman" w:eastAsia="Times New Roman" w:hAnsi="Times New Roman"/>
          <w:sz w:val="21"/>
          <w:szCs w:val="21"/>
          <w:color w:val="auto"/>
        </w:rPr>
        <w:t>Each Party’s representatives of the JRC shall have collectively one (1) vote.</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All decisions of the JRC shall be made whenever possible by unanimous vote.</w:t>
      </w:r>
    </w:p>
    <w:p>
      <w:pPr>
        <w:spacing w:after="0" w:line="182" w:lineRule="exact"/>
        <w:rPr>
          <w:sz w:val="20"/>
          <w:szCs w:val="20"/>
          <w:color w:val="auto"/>
        </w:rPr>
      </w:pPr>
    </w:p>
    <w:p>
      <w:pPr>
        <w:jc w:val="both"/>
        <w:ind w:left="240" w:right="259" w:firstLine="1296"/>
        <w:spacing w:after="0" w:line="258" w:lineRule="auto"/>
        <w:rPr>
          <w:sz w:val="20"/>
          <w:szCs w:val="20"/>
          <w:color w:val="auto"/>
        </w:rPr>
      </w:pPr>
      <w:r>
        <w:rPr>
          <w:rFonts w:ascii="Times New Roman" w:cs="Times New Roman" w:eastAsia="Times New Roman" w:hAnsi="Times New Roman"/>
          <w:sz w:val="22"/>
          <w:szCs w:val="22"/>
          <w:color w:val="auto"/>
        </w:rPr>
        <w:t>2.4.2 Notwithstanding the foregoing, ArriVent shall have the final decision-making authority with respect any “go/no-go” decision pertaining to the Collaboration Program.</w:t>
      </w:r>
    </w:p>
    <w:p>
      <w:pPr>
        <w:spacing w:after="0" w:line="158" w:lineRule="exact"/>
        <w:rPr>
          <w:sz w:val="20"/>
          <w:szCs w:val="20"/>
          <w:color w:val="auto"/>
        </w:rPr>
      </w:pPr>
    </w:p>
    <w:p>
      <w:pPr>
        <w:jc w:val="both"/>
        <w:ind w:left="240" w:right="259" w:firstLine="648"/>
        <w:spacing w:after="0" w:line="233"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JRC Meetings</w:t>
      </w:r>
      <w:r>
        <w:rPr>
          <w:rFonts w:ascii="Times New Roman" w:cs="Times New Roman" w:eastAsia="Times New Roman" w:hAnsi="Times New Roman"/>
          <w:sz w:val="22"/>
          <w:szCs w:val="22"/>
          <w:color w:val="auto"/>
        </w:rPr>
        <w:t>. During the Term, the JRC shall hold at least one (1) meeting per Calendar Quarter at such times during such Calendar Quarter as chairperson elects. Except where a Party fails to appoint a member or members to the JRC, or fails to participate in meetings of the committee, meetings of the JRC shall be effective only if at least one (1) representative of each Party is present or participating. The JRC may meet either (a) in person at either Party’s facilities or at such locations as the Parties may otherwise agree or (b) by audio or video teleconference. Other representatives of each Party involved with the Product may attend meetings as non-voting participants, subject to the confidentiality provisions set forth in Article 8. Additional meetings of the JRC may also be held with the consent of each Party, or as required under this Agreement, and neither Party shall unreasonably withhold its consent to hold such additional meetings. Each Party shall be responsible for all of its own expenses incurred in connection with participating in all such meetings.</w:t>
      </w:r>
    </w:p>
    <w:p>
      <w:pPr>
        <w:spacing w:after="0" w:line="185" w:lineRule="exact"/>
        <w:rPr>
          <w:sz w:val="20"/>
          <w:szCs w:val="20"/>
          <w:color w:val="auto"/>
        </w:rPr>
      </w:pPr>
    </w:p>
    <w:p>
      <w:pPr>
        <w:jc w:val="both"/>
        <w:ind w:left="240" w:right="259" w:firstLine="648"/>
        <w:spacing w:after="0" w:line="234"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JRC Authority</w:t>
      </w:r>
      <w:r>
        <w:rPr>
          <w:rFonts w:ascii="Times New Roman" w:cs="Times New Roman" w:eastAsia="Times New Roman" w:hAnsi="Times New Roman"/>
          <w:sz w:val="22"/>
          <w:szCs w:val="22"/>
          <w:color w:val="auto"/>
        </w:rPr>
        <w:t>. The JRC shall have only the powers assigned expressly to it in this Article 2 and elsewhere in this Agreement, and shall not have any power to (i) resolve any disputes involving the breach or alleged breach of this Agreement, (ii) amend any allocation of costs between the Parties, or require either Party to expend additional resources, whether internal or external, except as stated under this Agreement, or (iii) amend, modify or waive compliance with or the terms of this Agreement. In furtherance thereof, each Party shall retain the rights, powers and discretion granted to it under this Agreement and no such rights, powers or discretion shall be delegated or vested in the JRC unless such delegation or vesting of rights is expressly provided for in this Agreement or the Parties expressly so agree in writing.</w:t>
      </w:r>
    </w:p>
    <w:p>
      <w:pPr>
        <w:spacing w:after="0" w:line="183" w:lineRule="exact"/>
        <w:rPr>
          <w:sz w:val="20"/>
          <w:szCs w:val="20"/>
          <w:color w:val="auto"/>
        </w:rPr>
      </w:pPr>
    </w:p>
    <w:p>
      <w:pPr>
        <w:jc w:val="both"/>
        <w:ind w:left="240" w:right="259" w:firstLine="648"/>
        <w:spacing w:after="0" w:line="235"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Termination of JRC</w:t>
      </w:r>
      <w:r>
        <w:rPr>
          <w:rFonts w:ascii="Times New Roman" w:cs="Times New Roman" w:eastAsia="Times New Roman" w:hAnsi="Times New Roman"/>
          <w:sz w:val="22"/>
          <w:szCs w:val="22"/>
          <w:color w:val="auto"/>
        </w:rPr>
        <w:t>. The JRC shall terminate upon Aarvik’s delivery to ArriVent of the Full Report as described in Section 3.7.5 below, unless the Parties mutually agree in writing to extend the term of the JRC. Notwithstanding the termination of the JRC, Aarvik and ArriVent may enter into new SOWs in order for Aarvik to carry out additional activities for the benefit of ArriVent, at ArriVent’s expense, upon terms mutually agreed upon by the Parties. Upon request by ArriVent for such SOW(s), the Parties shall negotiate in good faith to enter into such SOW(s).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RESEARCH COLLABORATION</w:t>
      </w:r>
    </w:p>
    <w:p>
      <w:pPr>
        <w:spacing w:after="0" w:line="182" w:lineRule="exact"/>
        <w:rPr>
          <w:sz w:val="20"/>
          <w:szCs w:val="20"/>
          <w:color w:val="auto"/>
        </w:rPr>
      </w:pPr>
    </w:p>
    <w:p>
      <w:pPr>
        <w:jc w:val="both"/>
        <w:ind w:left="240" w:right="259" w:firstLine="540"/>
        <w:spacing w:after="0" w:line="23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Overview</w:t>
      </w:r>
      <w:r>
        <w:rPr>
          <w:rFonts w:ascii="Times New Roman" w:cs="Times New Roman" w:eastAsia="Times New Roman" w:hAnsi="Times New Roman"/>
          <w:sz w:val="22"/>
          <w:szCs w:val="22"/>
          <w:color w:val="auto"/>
        </w:rPr>
        <w:t>. Aarvik shall conduct Collaboration activities in accordance with the applicable statements of work approved by ArriVent (the “</w:t>
      </w:r>
      <w:r>
        <w:rPr>
          <w:rFonts w:ascii="Times New Roman" w:cs="Times New Roman" w:eastAsia="Times New Roman" w:hAnsi="Times New Roman"/>
          <w:sz w:val="22"/>
          <w:szCs w:val="22"/>
          <w:b w:val="1"/>
          <w:bCs w:val="1"/>
          <w:color w:val="auto"/>
        </w:rPr>
        <w:t>SOWs</w:t>
      </w:r>
      <w:r>
        <w:rPr>
          <w:rFonts w:ascii="Times New Roman" w:cs="Times New Roman" w:eastAsia="Times New Roman" w:hAnsi="Times New Roman"/>
          <w:sz w:val="22"/>
          <w:szCs w:val="22"/>
          <w:color w:val="auto"/>
        </w:rPr>
        <w:t>”), each of which shall set forth the research activities for each Work Item in detail. Subject to terms and conditions contained in this Agreement, the Collaboration with respect to the Target Pair shall commence on the Original Effective Date and end upon the completion of all activities in accordance with the applicable SOWs (the “</w:t>
      </w:r>
      <w:r>
        <w:rPr>
          <w:rFonts w:ascii="Times New Roman" w:cs="Times New Roman" w:eastAsia="Times New Roman" w:hAnsi="Times New Roman"/>
          <w:sz w:val="22"/>
          <w:szCs w:val="22"/>
          <w:b w:val="1"/>
          <w:bCs w:val="1"/>
          <w:color w:val="auto"/>
        </w:rPr>
        <w:t>Research Term</w:t>
      </w:r>
      <w:r>
        <w:rPr>
          <w:rFonts w:ascii="Times New Roman" w:cs="Times New Roman" w:eastAsia="Times New Roman" w:hAnsi="Times New Roman"/>
          <w:sz w:val="22"/>
          <w:szCs w:val="22"/>
          <w:color w:val="auto"/>
        </w:rPr>
        <w:t>”). During the Research Term, Aarvik shall use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019"/>
          </w:cols>
          <w:pgMar w:left="1440" w:top="895"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46" w:name="page47"/>
    <w:bookmarkEnd w:id="46"/>
    <w:p>
      <w:pPr>
        <w:jc w:val="both"/>
        <w:ind w:left="240" w:right="259"/>
        <w:spacing w:after="0" w:line="236" w:lineRule="auto"/>
        <w:rPr>
          <w:sz w:val="20"/>
          <w:szCs w:val="20"/>
          <w:color w:val="auto"/>
        </w:rPr>
      </w:pPr>
      <w:r>
        <w:rPr>
          <w:rFonts w:ascii="Times New Roman" w:cs="Times New Roman" w:eastAsia="Times New Roman" w:hAnsi="Times New Roman"/>
          <w:sz w:val="22"/>
          <w:szCs w:val="22"/>
          <w:color w:val="auto"/>
        </w:rPr>
        <w:t>Commercially Reasonable Efforts to carry out its responsibilities as assigned to it under this Agreement and each SOW and to perform such other obligations as the JRC may assign to it from time to time consistent with this Agreement or the applicable SOW’s. Aarvik shall perform, and/or shall cause its Affiliates and Third Party contractors to perform, its activities under each SOW in compliance with all Applicable Laws and in accordance with good scientific and business practices at all times.</w:t>
      </w:r>
    </w:p>
    <w:p>
      <w:pPr>
        <w:spacing w:after="0" w:line="181"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Target Designation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240" w:right="259" w:firstLine="1296"/>
        <w:spacing w:after="0" w:line="262" w:lineRule="auto"/>
        <w:rPr>
          <w:sz w:val="20"/>
          <w:szCs w:val="20"/>
          <w:color w:val="auto"/>
        </w:rPr>
      </w:pPr>
      <w:r>
        <w:rPr>
          <w:rFonts w:ascii="Times New Roman" w:cs="Times New Roman" w:eastAsia="Times New Roman" w:hAnsi="Times New Roman"/>
          <w:sz w:val="22"/>
          <w:szCs w:val="22"/>
          <w:color w:val="auto"/>
        </w:rPr>
        <w:t xml:space="preserve">3.2.1 </w:t>
      </w:r>
      <w:r>
        <w:rPr>
          <w:rFonts w:ascii="Times New Roman" w:cs="Times New Roman" w:eastAsia="Times New Roman" w:hAnsi="Times New Roman"/>
          <w:sz w:val="22"/>
          <w:szCs w:val="22"/>
          <w:i w:val="1"/>
          <w:iCs w:val="1"/>
          <w:color w:val="auto"/>
        </w:rPr>
        <w:t>Targets</w:t>
      </w:r>
      <w:r>
        <w:rPr>
          <w:rFonts w:ascii="Times New Roman" w:cs="Times New Roman" w:eastAsia="Times New Roman" w:hAnsi="Times New Roman"/>
          <w:sz w:val="22"/>
          <w:szCs w:val="22"/>
          <w:color w:val="auto"/>
        </w:rPr>
        <w:t xml:space="preserve">. As of the Original Effective Date, the Parties have jointly selected the pair of Targets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for the Collaboration Program.</w:t>
      </w:r>
    </w:p>
    <w:p>
      <w:pPr>
        <w:spacing w:after="0" w:line="150" w:lineRule="exact"/>
        <w:rPr>
          <w:sz w:val="20"/>
          <w:szCs w:val="20"/>
          <w:color w:val="auto"/>
        </w:rPr>
      </w:pPr>
    </w:p>
    <w:p>
      <w:pPr>
        <w:jc w:val="both"/>
        <w:ind w:left="240" w:right="259" w:firstLine="1296"/>
        <w:spacing w:after="0" w:line="246" w:lineRule="auto"/>
        <w:rPr>
          <w:sz w:val="20"/>
          <w:szCs w:val="20"/>
          <w:color w:val="auto"/>
        </w:rPr>
      </w:pPr>
      <w:r>
        <w:rPr>
          <w:rFonts w:ascii="Times New Roman" w:cs="Times New Roman" w:eastAsia="Times New Roman" w:hAnsi="Times New Roman"/>
          <w:sz w:val="22"/>
          <w:szCs w:val="22"/>
          <w:color w:val="auto"/>
        </w:rPr>
        <w:t xml:space="preserve">3.2.2 </w:t>
      </w:r>
      <w:r>
        <w:rPr>
          <w:rFonts w:ascii="Times New Roman" w:cs="Times New Roman" w:eastAsia="Times New Roman" w:hAnsi="Times New Roman"/>
          <w:sz w:val="22"/>
          <w:szCs w:val="22"/>
          <w:i w:val="1"/>
          <w:iCs w:val="1"/>
          <w:color w:val="auto"/>
        </w:rPr>
        <w:t>Commencement of Research Activities</w:t>
      </w:r>
      <w:r>
        <w:rPr>
          <w:rFonts w:ascii="Times New Roman" w:cs="Times New Roman" w:eastAsia="Times New Roman" w:hAnsi="Times New Roman"/>
          <w:sz w:val="22"/>
          <w:szCs w:val="22"/>
          <w:color w:val="auto"/>
        </w:rPr>
        <w:t>. Following ArriVent’s approval of an applicable SOW with respect to the Collaboration Program, Aarvik shall commence the research activities set forth in such SOW and the Agreement.</w:t>
      </w:r>
    </w:p>
    <w:p>
      <w:pPr>
        <w:spacing w:after="0" w:line="167" w:lineRule="exact"/>
        <w:rPr>
          <w:sz w:val="20"/>
          <w:szCs w:val="20"/>
          <w:color w:val="auto"/>
        </w:rPr>
      </w:pPr>
    </w:p>
    <w:p>
      <w:pPr>
        <w:jc w:val="both"/>
        <w:ind w:left="240" w:right="25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3.2.3 </w:t>
      </w:r>
      <w:r>
        <w:rPr>
          <w:rFonts w:ascii="Times New Roman" w:cs="Times New Roman" w:eastAsia="Times New Roman" w:hAnsi="Times New Roman"/>
          <w:sz w:val="22"/>
          <w:szCs w:val="22"/>
          <w:i w:val="1"/>
          <w:iCs w:val="1"/>
          <w:color w:val="auto"/>
        </w:rPr>
        <w:t>Patentability and Freedom-To-Operate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Patentability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FTO Analysis</w:t>
      </w:r>
      <w:r>
        <w:rPr>
          <w:rFonts w:ascii="Times New Roman" w:cs="Times New Roman" w:eastAsia="Times New Roman" w:hAnsi="Times New Roman"/>
          <w:sz w:val="22"/>
          <w:szCs w:val="22"/>
          <w:color w:val="auto"/>
        </w:rPr>
        <w:t>”). Aarvik shall discuss with ArriVent when and how Patentability and FTO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Analysis will be conducted prior to the commencement thereof and reasonably consider in good faith all comments provided by ArriVent with respect thereto. Upon completion of the Patentability and FTO Analysis by an outside law firm approved by ArriVent, Aarvik shall cause such law firm to promptly provide ArriVent with the results thereof in writing, including a copy of all search reports related thereto.</w:t>
      </w:r>
    </w:p>
    <w:p>
      <w:pPr>
        <w:spacing w:after="0" w:line="180"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SOWs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240" w:right="259" w:firstLine="1296"/>
        <w:spacing w:after="0" w:line="237" w:lineRule="auto"/>
        <w:rPr>
          <w:sz w:val="20"/>
          <w:szCs w:val="20"/>
          <w:color w:val="auto"/>
        </w:rPr>
      </w:pPr>
      <w:r>
        <w:rPr>
          <w:rFonts w:ascii="Times New Roman" w:cs="Times New Roman" w:eastAsia="Times New Roman" w:hAnsi="Times New Roman"/>
          <w:sz w:val="22"/>
          <w:szCs w:val="22"/>
          <w:color w:val="auto"/>
        </w:rPr>
        <w:t xml:space="preserve">3.4.1 Aarvik and ArriVent have prepared a draft SOW for each of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Work Items as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Each SOW sets forth, with respect to the Collaboration Program, (a) agreed activities to be performed by or on behalf of Aarvik; (b) the content of the applicable Data Package, materials and other deliverables to be delivered to ArriVent; (c) timeline for completion of each activity set forth in the SOW; and (d) such other information and/or materials that may be reasonably required by ArriVent.</w:t>
      </w:r>
    </w:p>
    <w:p>
      <w:pPr>
        <w:spacing w:after="0" w:line="179" w:lineRule="exact"/>
        <w:rPr>
          <w:sz w:val="20"/>
          <w:szCs w:val="20"/>
          <w:color w:val="auto"/>
        </w:rPr>
      </w:pPr>
    </w:p>
    <w:p>
      <w:pPr>
        <w:jc w:val="both"/>
        <w:ind w:left="240" w:right="259" w:firstLine="1296"/>
        <w:spacing w:after="0" w:line="235" w:lineRule="auto"/>
        <w:rPr>
          <w:sz w:val="20"/>
          <w:szCs w:val="20"/>
          <w:color w:val="auto"/>
        </w:rPr>
      </w:pPr>
      <w:r>
        <w:rPr>
          <w:rFonts w:ascii="Times New Roman" w:cs="Times New Roman" w:eastAsia="Times New Roman" w:hAnsi="Times New Roman"/>
          <w:sz w:val="22"/>
          <w:szCs w:val="22"/>
          <w:color w:val="auto"/>
        </w:rPr>
        <w:t>3.4.2 During the Research Term, any updates or amendments to a SOW must be mutually agreed upon in writing by ArriVent and Aarvik. Any such updated and amended SOW will reflect any changes to, re-prioritization of studies within, reallocation of resources with respect to, or additions to, respectively, the then-current SOW. Once approved by the Parties, the amended SOW will become effective for the applicable period on the date approved by the Parties (or such other date as the Parties will specify). Any amended SOW approved by the Parties will supersede, respectively, the previous SOW for the applicable period.</w:t>
      </w:r>
    </w:p>
    <w:p>
      <w:pPr>
        <w:spacing w:after="0" w:line="183"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 xml:space="preserve">3.4.3 During the Research Term, Aarvik shall provide prompt written notice to ArriVent if at any time it believes that it may or is actually running more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ahead or behind the timeline approved by JRC.</w:t>
      </w:r>
    </w:p>
    <w:p>
      <w:pPr>
        <w:spacing w:after="0" w:line="173"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Subcontractor; Research Staffing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3.5.1 Aarvik may contract or delegate any portion of its obligations hereunder to its Affiliates or subcontractors; provided that Aarvik shall keep ArriVent informed through the JRC of each subcontract entered into therewith, specifying the name of the contract service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47" w:name="page48"/>
    <w:bookmarkEnd w:id="47"/>
    <w:p>
      <w:pPr>
        <w:jc w:val="both"/>
        <w:ind w:left="240" w:right="259"/>
        <w:spacing w:after="0" w:line="236" w:lineRule="auto"/>
        <w:rPr>
          <w:sz w:val="20"/>
          <w:szCs w:val="20"/>
          <w:color w:val="auto"/>
        </w:rPr>
      </w:pPr>
      <w:r>
        <w:rPr>
          <w:rFonts w:ascii="Times New Roman" w:cs="Times New Roman" w:eastAsia="Times New Roman" w:hAnsi="Times New Roman"/>
          <w:sz w:val="22"/>
          <w:szCs w:val="22"/>
          <w:color w:val="auto"/>
        </w:rPr>
        <w:t>provider. Aarvik is responsible for the compliance of its Affiliates and subcontractors with the terms and conditions of this Agreement, and any act or omission of an Affiliate or subcontractor that would be a material breach of this Agreement if performed by Aarvik will be deemed to be a material breach by Aarvik under this Agreement. For clarity, the performance of any obligations of Aarvik by its Affiliates or subcontractors will not diminish, reduce or eliminate any obligation of Aarvik under this Agreement.</w:t>
      </w:r>
    </w:p>
    <w:p>
      <w:pPr>
        <w:spacing w:after="0" w:line="181" w:lineRule="exact"/>
        <w:rPr>
          <w:sz w:val="20"/>
          <w:szCs w:val="20"/>
          <w:color w:val="auto"/>
        </w:rPr>
      </w:pPr>
    </w:p>
    <w:p>
      <w:pPr>
        <w:jc w:val="both"/>
        <w:ind w:left="240" w:right="259" w:firstLine="1296"/>
        <w:spacing w:after="0" w:line="245" w:lineRule="auto"/>
        <w:rPr>
          <w:sz w:val="20"/>
          <w:szCs w:val="20"/>
          <w:color w:val="auto"/>
        </w:rPr>
      </w:pPr>
      <w:r>
        <w:rPr>
          <w:rFonts w:ascii="Times New Roman" w:cs="Times New Roman" w:eastAsia="Times New Roman" w:hAnsi="Times New Roman"/>
          <w:sz w:val="21"/>
          <w:szCs w:val="21"/>
          <w:color w:val="auto"/>
        </w:rPr>
        <w:t>3.5.2 Throughout the Research Term, for the Collaboration Program, Aarvik shall assign, and shall cause its Affiliates and subcontractors involved to assign, reasonably sufficient qualified scientist and other resources to perform the work set forth in the SOWs, with the mixture of skills and levels of such scientists to be appropriate to accomplish the scientific objectives of the Collaboration Program. Aarvik shall be solely responsible for managing the performance of its subcontractors. Aarvik shall cooperate with ArriVent in periodically reviewing the performance of the personnel and shall promptly remedy any concerns to ArriVent’s reasonable satisfaction. Aarvik shall promptly select a qualified replacement should any personnel resign or become otherwise unavailable. Before commencing work under this Agreement and any SOW, all Aarvik, its Affiliates and subcontractors personnel must be subject to binding written agreements that are consistent with the terms of this Agreement, including research records (Section 3.6), confidentiality (Article 8) and inventor assignment obligation (Section 7.1.3).</w:t>
      </w:r>
    </w:p>
    <w:p>
      <w:pPr>
        <w:spacing w:after="0" w:line="174" w:lineRule="exact"/>
        <w:rPr>
          <w:sz w:val="20"/>
          <w:szCs w:val="20"/>
          <w:color w:val="auto"/>
        </w:rPr>
      </w:pPr>
    </w:p>
    <w:p>
      <w:pPr>
        <w:jc w:val="both"/>
        <w:ind w:left="240" w:right="259" w:firstLine="540"/>
        <w:spacing w:after="0" w:line="249"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Research Records</w:t>
      </w:r>
      <w:r>
        <w:rPr>
          <w:rFonts w:ascii="Times New Roman" w:cs="Times New Roman" w:eastAsia="Times New Roman" w:hAnsi="Times New Roman"/>
          <w:sz w:val="21"/>
          <w:szCs w:val="21"/>
          <w:color w:val="auto"/>
        </w:rPr>
        <w:t>. Aarvik shall, and shall procure its Affiliates and subcontractors to, maintain complete, current and accurate records of all activities conducted by it under the SOWs, and all data and other information resulting from such activities. Such records shall fully and properly reflect all work done and results achieved in the performance of the Collaboration in good scientific manner. Such records will be maintained in sufficient detail and in good scientific manner appropriate for patent and regulatory purposes and in accordance with Applicable Laws.</w:t>
      </w:r>
    </w:p>
    <w:p>
      <w:pPr>
        <w:spacing w:after="0" w:line="171"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u w:val="single" w:color="auto"/>
          <w:color w:val="auto"/>
        </w:rPr>
        <w:t>Research Collaboration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1296"/>
        <w:spacing w:after="0" w:line="234" w:lineRule="auto"/>
        <w:rPr>
          <w:sz w:val="20"/>
          <w:szCs w:val="20"/>
          <w:color w:val="auto"/>
        </w:rPr>
      </w:pPr>
      <w:r>
        <w:rPr>
          <w:rFonts w:ascii="Times New Roman" w:cs="Times New Roman" w:eastAsia="Times New Roman" w:hAnsi="Times New Roman"/>
          <w:sz w:val="22"/>
          <w:szCs w:val="22"/>
          <w:color w:val="auto"/>
        </w:rPr>
        <w:t xml:space="preserve">3.7.1 Aarvik shall carry out the activities of each Work Item and deliver the required Data Package and/or deliverables in accordance with the applicable SOW. Without limiting the generality of the foregoing, Aarvik shall, in accordance with the applicable SOWs and the timeline approved by JRC, apply the Aarvik IP to (i) design and synthesize Collaboration Compounds, and (ii) by itself or through subcontractor(s),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During the Research Term, if any Party identifies any Third Party Patent or Know-How that is necessary or reasonably useful for any activity under the SOWs but has not been included in the Aarvik IP, then such Party shall immediately inform the other Party and the Parties shall discuss in good faith the need of obtaining a license from such Third Party.</w:t>
      </w:r>
    </w:p>
    <w:p>
      <w:pPr>
        <w:spacing w:after="0" w:line="183"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 xml:space="preserve">3.7.2 Aarvik has delivered the Data Packages and all other deliverables required under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as well as the results of the Patentability and FTO Analysis as described in Section 3.2.3, to ArriVent prior to the Restated Agreement Effective Date.</w:t>
      </w:r>
    </w:p>
    <w:p>
      <w:pPr>
        <w:spacing w:after="0" w:line="169"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3.7.3 No later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after the receipt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Aarvik shall, to the extent not already provided to ArriVent and subject to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deliver all Data Packages and deliverables required under SOWs completed as of the date of the receipt of the request to ArriVent (the </w:t>
      </w:r>
      <w:r>
        <w:rPr>
          <w:rFonts w:ascii="Times New Roman" w:cs="Times New Roman" w:eastAsia="Times New Roman" w:hAnsi="Times New Roman"/>
          <w:sz w:val="22"/>
          <w:szCs w:val="22"/>
          <w:b w:val="1"/>
          <w:bCs w:val="1"/>
          <w:color w:val="auto"/>
        </w:rPr>
        <w:t>“Initial Report”</w:t>
      </w:r>
      <w:r>
        <w:rPr>
          <w:rFonts w:ascii="Times New Roman" w:cs="Times New Roman" w:eastAsia="Times New Roman" w:hAnsi="Times New Roman"/>
          <w:sz w:val="22"/>
          <w:szCs w:val="22"/>
          <w:color w:val="auto"/>
        </w:rPr>
        <w:t>). ArriVent shall have the sole discretion to decide whether or not to advance any Collaboration Compound and which Collaboration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13" w:lineRule="exact"/>
        <w:rPr>
          <w:sz w:val="20"/>
          <w:szCs w:val="20"/>
          <w:color w:val="auto"/>
        </w:rPr>
      </w:pPr>
    </w:p>
    <w:p>
      <w:pPr>
        <w:ind w:left="240" w:right="279" w:firstLine="6"/>
        <w:spacing w:after="0" w:line="228" w:lineRule="auto"/>
        <w:tabs>
          <w:tab w:leader="none" w:pos="549"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8" w:name="page49"/>
    <w:bookmarkEnd w:id="48"/>
    <w:p>
      <w:pPr>
        <w:ind w:left="240"/>
        <w:spacing w:after="0"/>
        <w:rPr>
          <w:sz w:val="20"/>
          <w:szCs w:val="20"/>
          <w:color w:val="auto"/>
        </w:rPr>
      </w:pPr>
      <w:r>
        <w:rPr>
          <w:rFonts w:ascii="Times New Roman" w:cs="Times New Roman" w:eastAsia="Times New Roman" w:hAnsi="Times New Roman"/>
          <w:sz w:val="22"/>
          <w:szCs w:val="22"/>
          <w:color w:val="auto"/>
        </w:rPr>
        <w:t>Compound(s) will be advanced for further studies beyond the receipt of the Initial Report.</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ArriVent shall inform Aarvik of its decision in writing.</w:t>
      </w:r>
    </w:p>
    <w:p>
      <w:pPr>
        <w:spacing w:after="0" w:line="182"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3.7.4 Following the delivery of the Initial Report pursuant to Section 3.7.3 above, no later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after the receipt of a written request of ArriVent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Aarvik shall, to the extent not already provided to ArriVent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deliver all Data Packages and deliverables required under SOWs completed as of the date of the receipt of the request to ArriVent.</w:t>
      </w:r>
    </w:p>
    <w:p>
      <w:pPr>
        <w:spacing w:after="0" w:line="177" w:lineRule="exact"/>
        <w:rPr>
          <w:sz w:val="20"/>
          <w:szCs w:val="20"/>
          <w:color w:val="auto"/>
        </w:rPr>
      </w:pPr>
    </w:p>
    <w:p>
      <w:pPr>
        <w:jc w:val="both"/>
        <w:ind w:left="240" w:right="25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3.7.5 After completion of all SOWs agreed upon by the JRC as necessary for Aarvik to deliver the Full Report (as defined herein) and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after Aarvik receiving the last report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 Aarvik shall deliver to ArriVent a full report on all key results and findings of the Collaboration Program, and such other data, results and information as ArriVent may deem necessary for it or its Sublicensees to exercise the rights and license granted to ArriVent under this Agreement (the “</w:t>
      </w:r>
      <w:r>
        <w:rPr>
          <w:rFonts w:ascii="Times New Roman" w:cs="Times New Roman" w:eastAsia="Times New Roman" w:hAnsi="Times New Roman"/>
          <w:sz w:val="22"/>
          <w:szCs w:val="22"/>
          <w:b w:val="1"/>
          <w:bCs w:val="1"/>
          <w:color w:val="auto"/>
        </w:rPr>
        <w:t>Full Report</w:t>
      </w:r>
      <w:r>
        <w:rPr>
          <w:rFonts w:ascii="Times New Roman" w:cs="Times New Roman" w:eastAsia="Times New Roman" w:hAnsi="Times New Roman"/>
          <w:sz w:val="22"/>
          <w:szCs w:val="22"/>
          <w:color w:val="auto"/>
        </w:rPr>
        <w:t>”). The JRC may recommend which Compound(s) to advance for further development beyond the Collaboration before such Full Report is delivered.</w:t>
      </w:r>
    </w:p>
    <w:p>
      <w:pPr>
        <w:spacing w:after="0" w:line="174"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3.7.6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of delivery of the Full Report, the Parties shall enter into a technology transfer agreement under which Aarvik will transfer mutually agreed upon materials to ArriVent to enable ArriVent to exercise its obligations under Article 4. After mutual agreement with respect to the materials to be transferred, and before entry into such technology transfer agreement, Aarvik shall store and not destroy any such materials.</w:t>
      </w:r>
    </w:p>
    <w:p>
      <w:pPr>
        <w:spacing w:after="0" w:line="181" w:lineRule="exact"/>
        <w:rPr>
          <w:sz w:val="20"/>
          <w:szCs w:val="20"/>
          <w:color w:val="auto"/>
        </w:rPr>
      </w:pPr>
    </w:p>
    <w:p>
      <w:pPr>
        <w:jc w:val="both"/>
        <w:ind w:left="240" w:right="259" w:firstLine="1296"/>
        <w:spacing w:after="0" w:line="239" w:lineRule="auto"/>
        <w:rPr>
          <w:sz w:val="20"/>
          <w:szCs w:val="20"/>
          <w:color w:val="auto"/>
        </w:rPr>
      </w:pPr>
      <w:r>
        <w:rPr>
          <w:rFonts w:ascii="Times New Roman" w:cs="Times New Roman" w:eastAsia="Times New Roman" w:hAnsi="Times New Roman"/>
          <w:sz w:val="22"/>
          <w:szCs w:val="22"/>
          <w:color w:val="auto"/>
        </w:rPr>
        <w:t>3.7.7 Upon ArriVent’s exercise of the Option (as described below), Aarvik shall assist ArriVent, at ArriVent’s expense, with ArriVent’s preparation and sign off of reports in a form suitable for submission to Regulatory Authorities, the list of such reports to be agreed in writing between the Parties, and upon terms mutually agreed upon by the Parties.</w:t>
      </w:r>
    </w:p>
    <w:p>
      <w:pPr>
        <w:spacing w:after="0" w:line="180" w:lineRule="exact"/>
        <w:rPr>
          <w:sz w:val="20"/>
          <w:szCs w:val="20"/>
          <w:color w:val="auto"/>
        </w:rPr>
      </w:pPr>
    </w:p>
    <w:p>
      <w:pPr>
        <w:jc w:val="both"/>
        <w:ind w:left="240" w:right="259" w:firstLine="1296"/>
        <w:spacing w:after="0" w:line="239" w:lineRule="auto"/>
        <w:rPr>
          <w:sz w:val="20"/>
          <w:szCs w:val="20"/>
          <w:color w:val="auto"/>
        </w:rPr>
      </w:pPr>
      <w:r>
        <w:rPr>
          <w:rFonts w:ascii="Times New Roman" w:cs="Times New Roman" w:eastAsia="Times New Roman" w:hAnsi="Times New Roman"/>
          <w:sz w:val="22"/>
          <w:szCs w:val="22"/>
          <w:color w:val="auto"/>
        </w:rPr>
        <w:t>3.7.8 The Parties agree that, until the filing of an IND with respect to a Product, ArriVent shall reasonably inform Aarvik of the CMC (chemistry, manufacturing, and control) activities of ArriVent related to such Product. In furtherance of the foregoing, ArriVent shall provide Aarvik with updates of such CMC activities on no less than a quarterly basis.</w:t>
      </w:r>
    </w:p>
    <w:p>
      <w:pPr>
        <w:spacing w:after="0" w:line="180"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3.7.9 </w:t>
      </w:r>
      <w:r>
        <w:rPr>
          <w:rFonts w:ascii="Times New Roman" w:cs="Times New Roman" w:eastAsia="Times New Roman" w:hAnsi="Times New Roman"/>
          <w:sz w:val="22"/>
          <w:szCs w:val="22"/>
          <w:u w:val="single" w:color="auto"/>
          <w:color w:val="auto"/>
        </w:rPr>
        <w:t>Selection of Candidates for Further Development</w:t>
      </w:r>
      <w:r>
        <w:rPr>
          <w:rFonts w:ascii="Times New Roman" w:cs="Times New Roman" w:eastAsia="Times New Roman" w:hAnsi="Times New Roman"/>
          <w:sz w:val="22"/>
          <w:szCs w:val="22"/>
          <w:color w:val="auto"/>
        </w:rPr>
        <w:t>. The Parties shall discuss at the JRC whether any Compound is suitable for progression to further development beyond the Collaboration. Notwithstanding the foregoing, ArriVent shall have the sole discretion to decide whether or not to advance any Compound and which Compound(s) it will advance for further development beyond the Collaboration.</w:t>
      </w:r>
    </w:p>
    <w:p>
      <w:pPr>
        <w:spacing w:after="0" w:line="177"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1"/>
          <w:szCs w:val="21"/>
          <w:u w:val="single" w:color="auto"/>
          <w:color w:val="auto"/>
        </w:rPr>
        <w:t>Option; Exclusive License for Development and Commercialization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1296"/>
        <w:spacing w:after="0" w:line="236" w:lineRule="auto"/>
        <w:rPr>
          <w:sz w:val="20"/>
          <w:szCs w:val="20"/>
          <w:color w:val="auto"/>
        </w:rPr>
      </w:pPr>
      <w:r>
        <w:rPr>
          <w:rFonts w:ascii="Times New Roman" w:cs="Times New Roman" w:eastAsia="Times New Roman" w:hAnsi="Times New Roman"/>
          <w:sz w:val="22"/>
          <w:szCs w:val="22"/>
          <w:color w:val="auto"/>
        </w:rPr>
        <w:t>3.8.1 Aarvik hereby grants ArriVent an exclusive option to obtain the exclusive license described in Section 5.1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xml:space="preserve">”). With respect to the Collaboration Program, ArriVent may exercise such Option by serving a written notice to Aarvik at any time after Aarvik and ArriVent agree in writing to the initial Lead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Antibody in the Collaboration after ArriVent’s receipt of the Initial Report (the “</w:t>
      </w:r>
      <w:r>
        <w:rPr>
          <w:rFonts w:ascii="Times New Roman" w:cs="Times New Roman" w:eastAsia="Times New Roman" w:hAnsi="Times New Roman"/>
          <w:sz w:val="22"/>
          <w:szCs w:val="22"/>
          <w:b w:val="1"/>
          <w:bCs w:val="1"/>
          <w:color w:val="auto"/>
        </w:rPr>
        <w:t>Initial Lead [***] Antibody</w:t>
      </w:r>
      <w:r>
        <w:rPr>
          <w:rFonts w:ascii="Times New Roman" w:cs="Times New Roman" w:eastAsia="Times New Roman" w:hAnsi="Times New Roman"/>
          <w:sz w:val="22"/>
          <w:szCs w:val="22"/>
          <w:color w:val="auto"/>
        </w:rPr>
        <w:t xml:space="preserve">”) and on or before the day that 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after ArriVent’s receipt of the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13" w:lineRule="exact"/>
        <w:rPr>
          <w:sz w:val="20"/>
          <w:szCs w:val="20"/>
          <w:color w:val="auto"/>
        </w:rPr>
      </w:pPr>
    </w:p>
    <w:p>
      <w:pPr>
        <w:ind w:left="240" w:right="279" w:firstLine="6"/>
        <w:spacing w:after="0" w:line="228" w:lineRule="auto"/>
        <w:tabs>
          <w:tab w:leader="none" w:pos="549"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9" w:name="page50"/>
    <w:bookmarkEnd w:id="49"/>
    <w:p>
      <w:pPr>
        <w:jc w:val="both"/>
        <w:ind w:left="240" w:right="259"/>
        <w:spacing w:after="0" w:line="258" w:lineRule="auto"/>
        <w:rPr>
          <w:sz w:val="20"/>
          <w:szCs w:val="20"/>
          <w:color w:val="auto"/>
        </w:rPr>
      </w:pPr>
      <w:r>
        <w:rPr>
          <w:rFonts w:ascii="Times New Roman" w:cs="Times New Roman" w:eastAsia="Times New Roman" w:hAnsi="Times New Roman"/>
          <w:sz w:val="22"/>
          <w:szCs w:val="22"/>
          <w:color w:val="auto"/>
        </w:rPr>
        <w:t>Initial Report for the Collaboration Program (or such longer period as the Parties may agree) (the “</w:t>
      </w:r>
      <w:r>
        <w:rPr>
          <w:rFonts w:ascii="Times New Roman" w:cs="Times New Roman" w:eastAsia="Times New Roman" w:hAnsi="Times New Roman"/>
          <w:sz w:val="22"/>
          <w:szCs w:val="22"/>
          <w:b w:val="1"/>
          <w:bCs w:val="1"/>
          <w:color w:val="auto"/>
        </w:rPr>
        <w:t>Option Period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240" w:right="259" w:firstLine="1296"/>
        <w:spacing w:after="0" w:line="235" w:lineRule="auto"/>
        <w:rPr>
          <w:sz w:val="20"/>
          <w:szCs w:val="20"/>
          <w:color w:val="auto"/>
        </w:rPr>
      </w:pPr>
      <w:r>
        <w:rPr>
          <w:rFonts w:ascii="Times New Roman" w:cs="Times New Roman" w:eastAsia="Times New Roman" w:hAnsi="Times New Roman"/>
          <w:sz w:val="22"/>
          <w:szCs w:val="22"/>
          <w:color w:val="auto"/>
        </w:rPr>
        <w:t>3.8.2 Upon ArriVent’s exercise of the Option, (a) the license granted by Aarvik to ArriVent under Section 5.1 shall become effective; and (b) ArriVent will have the exclusive right and sole responsibility, at its sole cost and expense, to Develop, Manufacture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Commercialize any Compound and Product against the applicable Targets in the Field in the Territory in accordance with Article 4; provided, however, that Aarvik shall continue to perform the services contemplated by SOWs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as applicable, in accordance with the terms of this Agreement after the exercise of the Option.</w:t>
      </w:r>
    </w:p>
    <w:p>
      <w:pPr>
        <w:spacing w:after="0" w:line="179" w:lineRule="exact"/>
        <w:rPr>
          <w:sz w:val="20"/>
          <w:szCs w:val="20"/>
          <w:color w:val="auto"/>
        </w:rPr>
      </w:pPr>
    </w:p>
    <w:p>
      <w:pPr>
        <w:jc w:val="both"/>
        <w:ind w:left="240" w:right="259" w:firstLine="1296"/>
        <w:spacing w:after="0" w:line="248" w:lineRule="auto"/>
        <w:rPr>
          <w:sz w:val="20"/>
          <w:szCs w:val="20"/>
          <w:color w:val="auto"/>
        </w:rPr>
      </w:pPr>
      <w:r>
        <w:rPr>
          <w:rFonts w:ascii="Times New Roman" w:cs="Times New Roman" w:eastAsia="Times New Roman" w:hAnsi="Times New Roman"/>
          <w:sz w:val="21"/>
          <w:szCs w:val="21"/>
          <w:color w:val="auto"/>
        </w:rPr>
        <w:t xml:space="preserve">3.8.3 In the event the JRC determines that the Initial Lead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Antibody is no longer a viable option for Development and the backup Lead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Antibody in the Collaboration (the “</w:t>
      </w:r>
      <w:r>
        <w:rPr>
          <w:rFonts w:ascii="Times New Roman" w:cs="Times New Roman" w:eastAsia="Times New Roman" w:hAnsi="Times New Roman"/>
          <w:sz w:val="21"/>
          <w:szCs w:val="21"/>
          <w:b w:val="1"/>
          <w:bCs w:val="1"/>
          <w:color w:val="auto"/>
        </w:rPr>
        <w:t>Backup Lead [***] Antibody</w:t>
      </w:r>
      <w:r>
        <w:rPr>
          <w:rFonts w:ascii="Times New Roman" w:cs="Times New Roman" w:eastAsia="Times New Roman" w:hAnsi="Times New Roman"/>
          <w:sz w:val="21"/>
          <w:szCs w:val="21"/>
          <w:color w:val="auto"/>
        </w:rPr>
        <w:t xml:space="preserve">”) may still be a viable option, ArriVent may provide written notice to Aarvik requesting replacement of the Initial Lead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Antibody with the Backup Lead</w:t>
      </w:r>
    </w:p>
    <w:p>
      <w:pPr>
        <w:spacing w:after="0" w:line="2" w:lineRule="exact"/>
        <w:rPr>
          <w:sz w:val="20"/>
          <w:szCs w:val="20"/>
          <w:color w:val="auto"/>
        </w:rPr>
      </w:pPr>
    </w:p>
    <w:p>
      <w:pPr>
        <w:ind w:left="240" w:right="279" w:firstLine="6"/>
        <w:spacing w:after="0" w:line="237" w:lineRule="auto"/>
        <w:tabs>
          <w:tab w:leader="none" w:pos="773"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Antibody, and Aarvik and ArriVent shall enter into new SOWs as applicable in connection with and arising from such replacement.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DEVELOPMENT, MANUFACTURING AND COMMERCIALIZATION</w:t>
      </w:r>
    </w:p>
    <w:p>
      <w:pPr>
        <w:spacing w:after="0" w:line="182" w:lineRule="exact"/>
        <w:rPr>
          <w:sz w:val="20"/>
          <w:szCs w:val="20"/>
          <w:color w:val="auto"/>
        </w:rPr>
      </w:pPr>
    </w:p>
    <w:p>
      <w:pPr>
        <w:jc w:val="both"/>
        <w:ind w:left="240" w:right="259" w:firstLine="540"/>
        <w:spacing w:after="0" w:line="23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Overview</w:t>
      </w:r>
      <w:r>
        <w:rPr>
          <w:rFonts w:ascii="Times New Roman" w:cs="Times New Roman" w:eastAsia="Times New Roman" w:hAnsi="Times New Roman"/>
          <w:sz w:val="22"/>
          <w:szCs w:val="22"/>
          <w:color w:val="auto"/>
        </w:rPr>
        <w:t>. If ArriVent exercises the Option for the Collaboration Program, ArriVent will have the exclusive right and sole responsibility and decision-making authority, at its sole cost and expense, to Research, Develop, Manufacture and Commercialize any applicable Compound and Product in the Field in the Territory, in each case, by itself or through one or more Affiliates, Sublicensees or other Third Parties.</w:t>
      </w:r>
    </w:p>
    <w:p>
      <w:pPr>
        <w:spacing w:after="0" w:line="177"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Development Key Milestones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1296"/>
        <w:spacing w:after="0" w:line="243" w:lineRule="auto"/>
        <w:rPr>
          <w:sz w:val="20"/>
          <w:szCs w:val="20"/>
          <w:color w:val="auto"/>
        </w:rPr>
      </w:pPr>
      <w:r>
        <w:rPr>
          <w:rFonts w:ascii="Times New Roman" w:cs="Times New Roman" w:eastAsia="Times New Roman" w:hAnsi="Times New Roman"/>
          <w:sz w:val="21"/>
          <w:szCs w:val="21"/>
          <w:color w:val="auto"/>
        </w:rPr>
        <w:t>4.2.1 Subject to terms and conditions hereof, ArriVent will use Commercially Reasonable Efforts to (a) file an IND with respect to a Product within twenty-four (24) months after delivery of the Full Report; and (b) initiate a Phase 2 Clinical Trial within (24) months after completion of a Phase 1 Clinical Trial or a Phase 2b Clinical Trial within twenty-four (24) months after completion of a combined Phase 1/2 a Clinical Trial (the “</w:t>
      </w:r>
      <w:r>
        <w:rPr>
          <w:rFonts w:ascii="Times New Roman" w:cs="Times New Roman" w:eastAsia="Times New Roman" w:hAnsi="Times New Roman"/>
          <w:sz w:val="21"/>
          <w:szCs w:val="21"/>
          <w:b w:val="1"/>
          <w:bCs w:val="1"/>
          <w:color w:val="auto"/>
        </w:rPr>
        <w:t>Key Milestones</w:t>
      </w:r>
      <w:r>
        <w:rPr>
          <w:rFonts w:ascii="Times New Roman" w:cs="Times New Roman" w:eastAsia="Times New Roman" w:hAnsi="Times New Roman"/>
          <w:sz w:val="21"/>
          <w:szCs w:val="21"/>
          <w:color w:val="auto"/>
        </w:rPr>
        <w:t>”). Subject to Aarvik’s prior written consent (not to be unreasonably withheld, conditioned or delayed), any of the foregoing timelines may be extended for scientific, technical or regulatory reason, force majeure event as set forth in Section 13.6, reason not attributable to ArriVent or any other relevant reason (whether or not the same kind of reason as or similar to those aforementioned). The Parties hereby agree that ArriVent will not be deemed to be in breach of its obligations under this Section 4.2 to the extent it is prevented from or delayed in using Commercially Reasonable Efforts to perform an activity as a result of the acts or omissions of Aarvik, including Aarvik’s breach of any of its obligations under this Agreement or failure to timely perform its obligations under this Agreement. If ArriVent fails to timely achieve a Development Key Milestone as a result of Aarvik’s failure to timely perform any of its obligations under this Agreement, then the deadlines for the applicable Key Milestones will be extended to commensurate with the delay caused by Aarvik. For the purposes of this Agreement, a clinical trial is deemed to be completed upon generation of a clinical study report (CSR) for such clinical trial.</w:t>
      </w:r>
    </w:p>
    <w:p>
      <w:pPr>
        <w:spacing w:after="0" w:line="189" w:lineRule="exact"/>
        <w:rPr>
          <w:sz w:val="20"/>
          <w:szCs w:val="20"/>
          <w:color w:val="auto"/>
        </w:rPr>
      </w:pPr>
    </w:p>
    <w:p>
      <w:pPr>
        <w:jc w:val="both"/>
        <w:ind w:left="240" w:right="259" w:firstLine="1296"/>
        <w:spacing w:after="0" w:line="258" w:lineRule="auto"/>
        <w:rPr>
          <w:sz w:val="20"/>
          <w:szCs w:val="20"/>
          <w:color w:val="auto"/>
        </w:rPr>
      </w:pPr>
      <w:r>
        <w:rPr>
          <w:rFonts w:ascii="Times New Roman" w:cs="Times New Roman" w:eastAsia="Times New Roman" w:hAnsi="Times New Roman"/>
          <w:sz w:val="22"/>
          <w:szCs w:val="22"/>
          <w:color w:val="auto"/>
        </w:rPr>
        <w:t>4.2.2 If ArriVent fails to use Commercially Reasonable Efforts to achieve the Key Milestones for the Target Pair in accordance with the timeline, as may be extended, Aarvik</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50" w:name="page51"/>
    <w:bookmarkEnd w:id="50"/>
    <w:p>
      <w:pPr>
        <w:jc w:val="both"/>
        <w:ind w:left="240" w:right="259"/>
        <w:spacing w:after="0" w:line="239" w:lineRule="auto"/>
        <w:rPr>
          <w:sz w:val="20"/>
          <w:szCs w:val="20"/>
          <w:color w:val="auto"/>
        </w:rPr>
      </w:pPr>
      <w:r>
        <w:rPr>
          <w:rFonts w:ascii="Times New Roman" w:cs="Times New Roman" w:eastAsia="Times New Roman" w:hAnsi="Times New Roman"/>
          <w:sz w:val="22"/>
          <w:szCs w:val="22"/>
          <w:color w:val="auto"/>
        </w:rPr>
        <w:t>may terminate this Agreement pursuant to Section 11.3 below. Notwithstanding anything to the contrary contained in this Agreement, such termination will be Aarvik’s sole and exclusive remedy for any failure of ArriVent to use Commercially Reasonable Efforts to achieve the Key Milestones.</w:t>
      </w:r>
    </w:p>
    <w:p>
      <w:pPr>
        <w:spacing w:after="0" w:line="180" w:lineRule="exact"/>
        <w:rPr>
          <w:sz w:val="20"/>
          <w:szCs w:val="20"/>
          <w:color w:val="auto"/>
        </w:rPr>
      </w:pPr>
    </w:p>
    <w:p>
      <w:pPr>
        <w:jc w:val="both"/>
        <w:ind w:left="240" w:right="259" w:firstLine="540"/>
        <w:spacing w:after="0" w:line="233"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Regulatory Responsibilities</w:t>
      </w:r>
      <w:r>
        <w:rPr>
          <w:rFonts w:ascii="Times New Roman" w:cs="Times New Roman" w:eastAsia="Times New Roman" w:hAnsi="Times New Roman"/>
          <w:sz w:val="22"/>
          <w:szCs w:val="22"/>
          <w:color w:val="auto"/>
        </w:rPr>
        <w:t>. As between the Parties, ArriVent shall have the exclusive right and sole responsibility and decision-making authority, to prepare, file, seek and maintain all regulatory materials necessary for the Development and Commercialization of any Compound or Product in the Field in the Territory, and to interact with Regulatory Authorities in connection therewith. Without limiting the foregoing, ArriVent will, as between the Parties, be solely responsible for all regulatory matters relating to any Compound or Product, including (a) overseeing, monitoring and coordinating all regulatory actions, communications and filings with, and submissions to, each Regulatory Authority with respect to any Compound or Product; and (b) interfacing, corresponding and meeting with each Regulatory Authority with respect to any Compound or Product. Aarvik shall, at ArriVent’s cost, provide reasonable assistance to ArriVent in connection with the regulatory matters related to any Compound or Product upon ArriVent’s request.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LICENSES AND EXCLUSIVITY</w:t>
      </w:r>
    </w:p>
    <w:p>
      <w:pPr>
        <w:spacing w:after="0" w:line="182"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Licenses from Aarvik to ArriVent; Restriction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1296"/>
        <w:spacing w:after="0" w:line="249" w:lineRule="auto"/>
        <w:rPr>
          <w:sz w:val="20"/>
          <w:szCs w:val="20"/>
          <w:color w:val="auto"/>
        </w:rPr>
      </w:pPr>
      <w:r>
        <w:rPr>
          <w:rFonts w:ascii="Times New Roman" w:cs="Times New Roman" w:eastAsia="Times New Roman" w:hAnsi="Times New Roman"/>
          <w:sz w:val="21"/>
          <w:szCs w:val="21"/>
          <w:color w:val="auto"/>
        </w:rPr>
        <w:t>5.1.1 Aarvik hereby grants to ArriVent, effective as of the date on which ArriVent exercises the Option, an exclusive (even as to Aarvik), worldwide, sub-licensable license under the Aarvik IP and the Collaboration IP for the Research, Development, Manufacture, use, Commercialization or other Exploitation of the ADCs which are Collaboration Compounds or Products including such Collaboration Compounds in the Field in the Territory. Such license shall apply to no other use or purpose by ArriVent or its Sublicensees.</w:t>
      </w:r>
    </w:p>
    <w:p>
      <w:pPr>
        <w:spacing w:after="0" w:line="171" w:lineRule="exact"/>
        <w:rPr>
          <w:sz w:val="20"/>
          <w:szCs w:val="20"/>
          <w:color w:val="auto"/>
        </w:rPr>
      </w:pPr>
    </w:p>
    <w:p>
      <w:pPr>
        <w:jc w:val="both"/>
        <w:ind w:left="240" w:right="25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5.1.2 Notwithstanding anything in this Agreement to the contrary, ArriVent and its Sublicensees shall not use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for any purpose, other than as contemplated in this Agreement, until the earlier of (i)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years after ArriVent’s filing of an IND with respect to a Product or (ii)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years after the Restated Agreement Effective Date. This prohibition shall only extend to antibody or antibody conjugate compositions in which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is the predominant antibody or antibody conjugate present in the composition. The foregoing right is subject to other restrictions under applicable law (including, without limitation, those arising out of any issued patents).</w:t>
      </w:r>
    </w:p>
    <w:p>
      <w:pPr>
        <w:spacing w:after="0" w:line="178"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5.1.3 Notwithstanding anything in this Agreement to the contrary, but subject to the restrictions set forth in Section 5.4 below, Aarvik shall be entitled to freely use all payloads and linker-payloads utilized in connection with the Products for any and all other purposes.</w:t>
      </w:r>
    </w:p>
    <w:p>
      <w:pPr>
        <w:spacing w:after="0" w:line="173" w:lineRule="exact"/>
        <w:rPr>
          <w:sz w:val="20"/>
          <w:szCs w:val="20"/>
          <w:color w:val="auto"/>
        </w:rPr>
      </w:pPr>
    </w:p>
    <w:p>
      <w:pPr>
        <w:jc w:val="both"/>
        <w:ind w:left="240" w:right="259" w:firstLine="540"/>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Sublicense Rights</w:t>
      </w:r>
      <w:r>
        <w:rPr>
          <w:rFonts w:ascii="Times New Roman" w:cs="Times New Roman" w:eastAsia="Times New Roman" w:hAnsi="Times New Roman"/>
          <w:sz w:val="22"/>
          <w:szCs w:val="22"/>
          <w:color w:val="auto"/>
        </w:rPr>
        <w:t>. ArriVent will have the right to grant sublicenses (through multiple tiers) to its Affiliates and to Third Parties, in each case, of any and all rights granted to ArriVent by Aarvik pursuant to Section 5.1 without consent or approval of Aarvik; provided that any such sublicenses shall: (a) be in writing, (b) be consistent with the terms and conditions of this Agreement (as may be amended pursuant to Section 13.5 below), (c) require the applicable Sublicensee or Distributor to comply with all applicable terms of this Agreement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51" w:name="page52"/>
    <w:bookmarkEnd w:id="51"/>
    <w:p>
      <w:pPr>
        <w:jc w:val="both"/>
        <w:ind w:left="240" w:right="259"/>
        <w:spacing w:after="0" w:line="239" w:lineRule="auto"/>
        <w:rPr>
          <w:sz w:val="20"/>
          <w:szCs w:val="20"/>
          <w:color w:val="auto"/>
        </w:rPr>
      </w:pPr>
      <w:r>
        <w:rPr>
          <w:rFonts w:ascii="Times New Roman" w:cs="Times New Roman" w:eastAsia="Times New Roman" w:hAnsi="Times New Roman"/>
          <w:sz w:val="22"/>
          <w:szCs w:val="22"/>
          <w:color w:val="auto"/>
        </w:rPr>
        <w:t xml:space="preserve">(as may be amended pursuant to Section 13.5 below or otherwise), and (d) none of Aarvik’s rights pursuant to Article 7 shall be diminished or impeded by virtue of such sublicense. ArriVent will inform Aarvik of any sublicense arrangement with any Third Party in writing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after the grant of the sublicense.</w:t>
      </w:r>
    </w:p>
    <w:p>
      <w:pPr>
        <w:spacing w:after="0" w:line="180"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Disclosure of Documentation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240" w:right="25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5.3.1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after ArriVent exercises the Option, Aarvik shall provide ArriVent a copy of all then existing documentation and other materials within (i) Aarvik Know-How for ArriVent or its sublicensees to exercise the rights and license granted to ArriVent under this Agreement, and (ii) Collaboration IP that is necessary for ArriVent or its sublicensees to exercise the rights and license granted to ArriVent under this Agreement, in each case of (i) and (ii), to the extent that they have not been previously provided to ArriVent (the “</w:t>
      </w:r>
      <w:r>
        <w:rPr>
          <w:rFonts w:ascii="Times New Roman" w:cs="Times New Roman" w:eastAsia="Times New Roman" w:hAnsi="Times New Roman"/>
          <w:sz w:val="22"/>
          <w:szCs w:val="22"/>
          <w:b w:val="1"/>
          <w:bCs w:val="1"/>
          <w:color w:val="auto"/>
        </w:rPr>
        <w:t>Initial Delivery</w:t>
      </w:r>
      <w:r>
        <w:rPr>
          <w:rFonts w:ascii="Times New Roman" w:cs="Times New Roman" w:eastAsia="Times New Roman" w:hAnsi="Times New Roman"/>
          <w:sz w:val="22"/>
          <w:szCs w:val="22"/>
          <w:color w:val="auto"/>
        </w:rPr>
        <w:t>”), subject to the confidentiality and use provisions of Section 8.1.</w:t>
      </w:r>
    </w:p>
    <w:p>
      <w:pPr>
        <w:spacing w:after="0" w:line="180" w:lineRule="exact"/>
        <w:rPr>
          <w:sz w:val="20"/>
          <w:szCs w:val="20"/>
          <w:color w:val="auto"/>
        </w:rPr>
      </w:pPr>
    </w:p>
    <w:p>
      <w:pPr>
        <w:jc w:val="both"/>
        <w:ind w:left="240" w:right="259" w:firstLine="1296"/>
        <w:spacing w:after="0" w:line="239" w:lineRule="auto"/>
        <w:rPr>
          <w:sz w:val="20"/>
          <w:szCs w:val="20"/>
          <w:color w:val="auto"/>
        </w:rPr>
      </w:pPr>
      <w:r>
        <w:rPr>
          <w:rFonts w:ascii="Times New Roman" w:cs="Times New Roman" w:eastAsia="Times New Roman" w:hAnsi="Times New Roman"/>
          <w:sz w:val="22"/>
          <w:szCs w:val="22"/>
          <w:color w:val="auto"/>
        </w:rPr>
        <w:t xml:space="preserve">5.3.2 In the event that ArriVent provides written notice to Aarvik requesting replacement of the Initial Lead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Antibody with the Backup Lead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Antibody as described in Section 3.8.3 above, Aarvik shall,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after the provision of such written notice, provide ArriVent the sequences for the Backup Lead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Antibody.</w:t>
      </w:r>
    </w:p>
    <w:p>
      <w:pPr>
        <w:spacing w:after="0" w:line="180" w:lineRule="exact"/>
        <w:rPr>
          <w:sz w:val="20"/>
          <w:szCs w:val="20"/>
          <w:color w:val="auto"/>
        </w:rPr>
      </w:pPr>
    </w:p>
    <w:p>
      <w:pPr>
        <w:jc w:val="both"/>
        <w:ind w:left="240" w:right="259" w:firstLine="1296"/>
        <w:spacing w:after="0" w:line="251" w:lineRule="auto"/>
        <w:rPr>
          <w:sz w:val="20"/>
          <w:szCs w:val="20"/>
          <w:color w:val="auto"/>
        </w:rPr>
      </w:pPr>
      <w:r>
        <w:rPr>
          <w:rFonts w:ascii="Times New Roman" w:cs="Times New Roman" w:eastAsia="Times New Roman" w:hAnsi="Times New Roman"/>
          <w:sz w:val="21"/>
          <w:szCs w:val="21"/>
          <w:color w:val="auto"/>
        </w:rPr>
        <w:t>5.3.3 Subject to Sections 5.3.1 and 5.3.2 above, during the Term, Aarvik shall promptly provide ArriVent with a copy of all documentation and other materials within (I) Aarvik Know-How for ArriVent or its sublicensees to exercise the rights and license granted to ArriVent under this Agreement, and (II) Collaboration IP which, in each case of (I) and (II), comes into existence following the disclosure of information described in Sections 5.3.1 and 5.3.2 above.</w:t>
      </w:r>
    </w:p>
    <w:p>
      <w:pPr>
        <w:spacing w:after="0" w:line="168" w:lineRule="exact"/>
        <w:rPr>
          <w:sz w:val="20"/>
          <w:szCs w:val="20"/>
          <w:color w:val="auto"/>
        </w:rPr>
      </w:pPr>
    </w:p>
    <w:p>
      <w:pPr>
        <w:jc w:val="both"/>
        <w:ind w:left="240" w:right="259" w:firstLine="540"/>
        <w:spacing w:after="0" w:line="25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Exclusivity.</w:t>
      </w:r>
      <w:r>
        <w:rPr>
          <w:rFonts w:ascii="Times New Roman" w:cs="Times New Roman" w:eastAsia="Times New Roman" w:hAnsi="Times New Roman"/>
          <w:sz w:val="22"/>
          <w:szCs w:val="22"/>
          <w:color w:val="auto"/>
        </w:rPr>
        <w:t xml:space="preserve"> Notwithstanding anything to the contrary in this Agreement, unless otherwise agreed in writing by ArriVent:</w:t>
      </w:r>
    </w:p>
    <w:p>
      <w:pPr>
        <w:spacing w:after="0" w:line="158" w:lineRule="exact"/>
        <w:rPr>
          <w:sz w:val="20"/>
          <w:szCs w:val="20"/>
          <w:color w:val="auto"/>
        </w:rPr>
      </w:pPr>
    </w:p>
    <w:p>
      <w:pPr>
        <w:jc w:val="both"/>
        <w:ind w:left="240" w:right="259" w:firstLine="1302"/>
        <w:spacing w:after="0" w:line="244" w:lineRule="auto"/>
        <w:tabs>
          <w:tab w:leader="none" w:pos="2184"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before the end of the Option Period or ArriVent’s exercise of the Option for the Collaboration Program (whichever the earlier), Aarvik shall not, and shall cause its Affiliates not to, directly or indirectly, by itself or with, through or in collaboration with any Third Party, whether through license, assignment, joint venture, investment or otherwise (including via any arrangement or series of arrangements with a Third Party), Research, Develop, use, Manufacture or Commercialize (i) any ADC against the Target Pair of the Collaboration Program, or any product containing such ADC, or (ii)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or any product containing such ADC, in each case of</w:t>
      </w:r>
    </w:p>
    <w:p>
      <w:pPr>
        <w:spacing w:after="0" w:line="6" w:lineRule="exact"/>
        <w:rPr>
          <w:rFonts w:ascii="Times New Roman" w:cs="Times New Roman" w:eastAsia="Times New Roman" w:hAnsi="Times New Roman"/>
          <w:sz w:val="21"/>
          <w:szCs w:val="21"/>
          <w:color w:val="auto"/>
        </w:rPr>
      </w:pPr>
    </w:p>
    <w:p>
      <w:pPr>
        <w:ind w:left="500" w:hanging="254"/>
        <w:spacing w:after="0"/>
        <w:tabs>
          <w:tab w:leader="none" w:pos="5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other than pursuant to this Agreement; and</w:t>
      </w:r>
    </w:p>
    <w:p>
      <w:pPr>
        <w:spacing w:after="0" w:line="182" w:lineRule="exact"/>
        <w:rPr>
          <w:rFonts w:ascii="Times New Roman" w:cs="Times New Roman" w:eastAsia="Times New Roman" w:hAnsi="Times New Roman"/>
          <w:sz w:val="22"/>
          <w:szCs w:val="22"/>
          <w:color w:val="auto"/>
        </w:rPr>
      </w:pPr>
    </w:p>
    <w:p>
      <w:pPr>
        <w:jc w:val="both"/>
        <w:ind w:left="240" w:right="259" w:firstLine="1302"/>
        <w:spacing w:after="0" w:line="248" w:lineRule="auto"/>
        <w:tabs>
          <w:tab w:leader="none" w:pos="2184"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ArriVent exercises the Option with respect to the Collaboration Program pursuant to Section 3.8, before the end of the Term, Aarvik shall not, and shall cause its Affiliates not to, directly or indirectly, by itself or with, through or in collaboration with any Third Party, whether through license, assignment, joint venture, investment or otherwise (including via any arrangement or series of arrangements with a Third Party), Research, Develop, use, Manufacture or Commercialize (i) any ADC against the Target Pair of the Collaboration Program, or any product containing such ADC, or (ii)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or any product containing such ADC.</w:t>
      </w:r>
    </w:p>
    <w:p>
      <w:pPr>
        <w:spacing w:after="0" w:line="200" w:lineRule="exact"/>
        <w:rPr>
          <w:sz w:val="20"/>
          <w:szCs w:val="20"/>
          <w:color w:val="auto"/>
        </w:rPr>
      </w:pPr>
    </w:p>
    <w:p>
      <w:pPr>
        <w:spacing w:after="0" w:line="213" w:lineRule="exact"/>
        <w:rPr>
          <w:sz w:val="20"/>
          <w:szCs w:val="20"/>
          <w:color w:val="auto"/>
        </w:rPr>
      </w:pPr>
    </w:p>
    <w:p>
      <w:pPr>
        <w:jc w:val="both"/>
        <w:ind w:left="240" w:right="259" w:firstLine="540"/>
        <w:spacing w:after="0" w:line="244"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Preservation of Existing In-License Agreements</w:t>
      </w:r>
      <w:r>
        <w:rPr>
          <w:rFonts w:ascii="Times New Roman" w:cs="Times New Roman" w:eastAsia="Times New Roman" w:hAnsi="Times New Roman"/>
          <w:sz w:val="22"/>
          <w:szCs w:val="22"/>
          <w:color w:val="auto"/>
        </w:rPr>
        <w:t>. Aarvik shall, and shall ensure that its Affiliates shall, maintain, if any, the Existing In-License Agreements in full force and effect in accordance with their terms and conditions and keep ArriVent reasonably informed in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52" w:name="page53"/>
    <w:bookmarkEnd w:id="52"/>
    <w:p>
      <w:pPr>
        <w:jc w:val="both"/>
        <w:ind w:left="240" w:right="259"/>
        <w:spacing w:after="0" w:line="244" w:lineRule="auto"/>
        <w:rPr>
          <w:sz w:val="20"/>
          <w:szCs w:val="20"/>
          <w:color w:val="auto"/>
        </w:rPr>
      </w:pPr>
      <w:r>
        <w:rPr>
          <w:rFonts w:ascii="Times New Roman" w:cs="Times New Roman" w:eastAsia="Times New Roman" w:hAnsi="Times New Roman"/>
          <w:sz w:val="21"/>
          <w:szCs w:val="21"/>
          <w:color w:val="auto"/>
        </w:rPr>
        <w:t>this regard. Without limiting the foregoing, Aarvik shall not, without ArriVent’s prior written consent, (a) commit any acts or permit the occurrence of any omissions that would cause breach or termination of the Existing In-License Agreements or would adversely affect, or otherwise conflict with or limit the scope of, any of the rights of or licenses granted to ArriVent under this Agreement, or (b) amend or otherwise modify, waive, or terminate, or permit to be amended, modified, waived or terminated, any provision of the Existing In-License Agreements that would adversely affect, or otherwise conflict with or limit the scope of, any of the rights of or licenses granted to ArriVent under this Agreement. In the event that any Existing In-License Agreement terminates for whatever reason or Aarvik becomes aware that any Existing In-License Agreement will terminate, Aarvik shall promptly use commercially reasonable efforts to facilitate ArriVent or any of its Affiliates entering into an agreement with the licensor under such Existing In-License Agreement to enable ArriVent to continue practicing the rights granted hereunder on the same terms and conditions without interruption. Except as set forth in Section 5.6.1 below, the Parties acknowledge and agree that Aarvik shall be solely responsible for, and shall promptly discharge, any and all payments payable pursuant to the Existing In-License Agreements.</w:t>
      </w:r>
    </w:p>
    <w:p>
      <w:pPr>
        <w:spacing w:after="0" w:line="174"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b w:val="1"/>
          <w:bCs w:val="1"/>
          <w:u w:val="single" w:color="auto"/>
          <w:color w:val="auto"/>
        </w:rPr>
        <w:t>[***]</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left="240" w:right="259" w:firstLine="1296"/>
        <w:spacing w:after="0" w:line="239" w:lineRule="auto"/>
        <w:rPr>
          <w:sz w:val="20"/>
          <w:szCs w:val="20"/>
          <w:color w:val="auto"/>
        </w:rPr>
      </w:pPr>
      <w:r>
        <w:rPr>
          <w:rFonts w:ascii="Times New Roman" w:cs="Times New Roman" w:eastAsia="Times New Roman" w:hAnsi="Times New Roman"/>
          <w:sz w:val="22"/>
          <w:szCs w:val="22"/>
          <w:color w:val="auto"/>
        </w:rPr>
        <w:t xml:space="preserve">5.6.1 </w:t>
      </w:r>
      <w:r>
        <w:rPr>
          <w:rFonts w:ascii="Times New Roman" w:cs="Times New Roman" w:eastAsia="Times New Roman" w:hAnsi="Times New Roman"/>
          <w:sz w:val="22"/>
          <w:szCs w:val="22"/>
          <w:i w:val="1"/>
          <w:iCs w:val="1"/>
          <w:color w:val="auto"/>
        </w:rPr>
        <w:t>Payments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After ArriVent exercises the Option with respect to the Collaboration Program pursuant to Section 3.8, in addition to the costs for the manufacture and supply of the applicable materials (if any) to be paid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ArriVent shall be solely responsible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for, and shall promptly discharge, the royalty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annual net sales of the Products under section 2.2(c) of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applicable).</w:t>
      </w:r>
    </w:p>
    <w:p>
      <w:pPr>
        <w:spacing w:after="0" w:line="171" w:lineRule="exact"/>
        <w:rPr>
          <w:sz w:val="20"/>
          <w:szCs w:val="20"/>
          <w:color w:val="auto"/>
        </w:rPr>
      </w:pPr>
    </w:p>
    <w:p>
      <w:pPr>
        <w:jc w:val="both"/>
        <w:ind w:left="240" w:right="259" w:firstLine="1296"/>
        <w:spacing w:after="0" w:line="256" w:lineRule="auto"/>
        <w:rPr>
          <w:sz w:val="20"/>
          <w:szCs w:val="20"/>
          <w:color w:val="auto"/>
        </w:rPr>
      </w:pPr>
      <w:r>
        <w:rPr>
          <w:rFonts w:ascii="Times New Roman" w:cs="Times New Roman" w:eastAsia="Times New Roman" w:hAnsi="Times New Roman"/>
          <w:sz w:val="21"/>
          <w:szCs w:val="21"/>
          <w:color w:val="auto"/>
        </w:rPr>
        <w:t xml:space="preserve">5.6.2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Aarvik hereby represents, warrants and covenants that Aarvik is entitled to exercise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with respect to the Collaboration Program. Aarvik hereby assigns the</w:t>
      </w:r>
    </w:p>
    <w:p>
      <w:pPr>
        <w:spacing w:after="0" w:line="1" w:lineRule="exact"/>
        <w:rPr>
          <w:sz w:val="20"/>
          <w:szCs w:val="20"/>
          <w:color w:val="auto"/>
        </w:rPr>
      </w:pPr>
    </w:p>
    <w:p>
      <w:pPr>
        <w:jc w:val="both"/>
        <w:ind w:left="240" w:right="259" w:firstLine="6"/>
        <w:spacing w:after="0" w:line="242" w:lineRule="auto"/>
        <w:tabs>
          <w:tab w:leader="none" w:pos="765"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with respect to the Collaboration Program to ArriVent (it being understood that Aarvik shall no longer have the right to exercise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with respect to the Collaboration Program and ArriVent may exercise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with respect to the Collaboration Program by serving a written notice 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directly at any time). For clarity, such option shall not apply to any program other than the Collaboration Program hereunder, and any exercise of such option shall not preclude Aarvik from exercising any option with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for any program other than the Collaboration Program or utilizing payload and linkers used in the Collaboration Program for any program other than the Collaboration Program. ArriVent hereby covenants that it will not exercise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with respect to the Collaboration Program unless and until it exercises the Option with respect to the Collaboration Program in accordance with Section 3.8 of this Agreement. Upon ArriVent’s exercise of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with respect to the Collaboration Program pursuant to section 2.2(c) of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Aarvik shall (and/or cause</w:t>
      </w:r>
      <w:r>
        <w:rPr>
          <w:rFonts w:ascii="Times New Roman" w:cs="Times New Roman" w:eastAsia="Times New Roman" w:hAnsi="Times New Roman"/>
          <w:sz w:val="21"/>
          <w:szCs w:val="21"/>
          <w:b w:val="1"/>
          <w:bCs w:val="1"/>
          <w:color w:val="auto"/>
        </w:rPr>
        <w:t xml:space="preserve"> [***] </w:t>
      </w:r>
      <w:r>
        <w:rPr>
          <w:rFonts w:ascii="Times New Roman" w:cs="Times New Roman" w:eastAsia="Times New Roman" w:hAnsi="Times New Roman"/>
          <w:sz w:val="21"/>
          <w:szCs w:val="21"/>
          <w:color w:val="auto"/>
        </w:rPr>
        <w:t>to, as the case may be) (a) immediately deliver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Manufacturing Know-How related to the Collaboration Program directly to ArriVent or its designee(s), and (b) enter into a manufacturing technology transfer agreement with ArriVent, pursuant to which Aarvik and/or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(as the case may be) shall provide, at ArriVent’s cost, such support and assistance as ArriVent may request, in each of (a) and (b) above, in order for ArriVent or its designee(s) to Manufacture the relevant Compounds and Products in substantially the same manner as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Manufactures such Compounds and Products.</w:t>
      </w:r>
    </w:p>
    <w:p>
      <w:pPr>
        <w:spacing w:after="0" w:line="179" w:lineRule="exact"/>
        <w:rPr>
          <w:sz w:val="20"/>
          <w:szCs w:val="20"/>
          <w:color w:val="auto"/>
        </w:rPr>
      </w:pPr>
    </w:p>
    <w:p>
      <w:pPr>
        <w:jc w:val="both"/>
        <w:ind w:left="240" w:right="259" w:firstLine="1296"/>
        <w:spacing w:after="0" w:line="241" w:lineRule="auto"/>
        <w:rPr>
          <w:sz w:val="20"/>
          <w:szCs w:val="20"/>
          <w:color w:val="auto"/>
        </w:rPr>
      </w:pPr>
      <w:r>
        <w:rPr>
          <w:rFonts w:ascii="Times New Roman" w:cs="Times New Roman" w:eastAsia="Times New Roman" w:hAnsi="Times New Roman"/>
          <w:sz w:val="22"/>
          <w:szCs w:val="22"/>
          <w:color w:val="auto"/>
        </w:rPr>
        <w:t xml:space="preserve">5.6.3 </w:t>
      </w:r>
      <w:r>
        <w:rPr>
          <w:rFonts w:ascii="Times New Roman" w:cs="Times New Roman" w:eastAsia="Times New Roman" w:hAnsi="Times New Roman"/>
          <w:sz w:val="22"/>
          <w:szCs w:val="22"/>
          <w:i w:val="1"/>
          <w:iCs w:val="1"/>
          <w:color w:val="auto"/>
        </w:rPr>
        <w:t>Supply for Registration Trial or Commercial Use</w:t>
      </w:r>
      <w:r>
        <w:rPr>
          <w:rFonts w:ascii="Times New Roman" w:cs="Times New Roman" w:eastAsia="Times New Roman" w:hAnsi="Times New Roman"/>
          <w:sz w:val="22"/>
          <w:szCs w:val="22"/>
          <w:color w:val="auto"/>
        </w:rPr>
        <w:t xml:space="preserve">. Aarvik shall ensure that if ArriVent exercises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Option with respect to the Collaboration Program, and, if applicable, subject to ArriVent’s payment of the royalty described in Section 5.6.1 above, ArriVent shall have the right to Manufacture, or have Manufactured by any of its Affiliate or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53" w:name="page54"/>
    <w:bookmarkEnd w:id="53"/>
    <w:p>
      <w:pPr>
        <w:jc w:val="both"/>
        <w:ind w:left="240" w:right="259"/>
        <w:spacing w:after="0" w:line="239" w:lineRule="auto"/>
        <w:rPr>
          <w:sz w:val="20"/>
          <w:szCs w:val="20"/>
          <w:color w:val="auto"/>
        </w:rPr>
      </w:pPr>
      <w:r>
        <w:rPr>
          <w:rFonts w:ascii="Times New Roman" w:cs="Times New Roman" w:eastAsia="Times New Roman" w:hAnsi="Times New Roman"/>
          <w:sz w:val="22"/>
          <w:szCs w:val="22"/>
          <w:color w:val="auto"/>
        </w:rPr>
        <w:t>any Third Party, any and all Compounds (including any component thereof) and Products within the Collaboration Program for commercial use or for use in any Phase 3 Clinical Trial or Registration Trial (whether or not denominated a “Phase 3” clinical trial under applicable regulations).</w:t>
      </w:r>
    </w:p>
    <w:p>
      <w:pPr>
        <w:spacing w:after="0" w:line="176"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22"/>
          <w:szCs w:val="22"/>
          <w:color w:val="auto"/>
        </w:rPr>
        <w:t>5.6.4</w:t>
      </w:r>
      <w:r>
        <w:rPr>
          <w:sz w:val="20"/>
          <w:szCs w:val="20"/>
          <w:color w:val="auto"/>
        </w:rPr>
        <w:tab/>
      </w:r>
      <w:r>
        <w:rPr>
          <w:rFonts w:ascii="Times New Roman" w:cs="Times New Roman" w:eastAsia="Times New Roman" w:hAnsi="Times New Roman"/>
          <w:sz w:val="22"/>
          <w:szCs w:val="22"/>
          <w:i w:val="1"/>
          <w:iCs w:val="1"/>
          <w:color w:val="auto"/>
        </w:rPr>
        <w:t>Manufacturing Criteria</w:t>
      </w:r>
      <w:r>
        <w:rPr>
          <w:rFonts w:ascii="Times New Roman" w:cs="Times New Roman" w:eastAsia="Times New Roman" w:hAnsi="Times New Roman"/>
          <w:sz w:val="22"/>
          <w:szCs w:val="22"/>
          <w:color w:val="auto"/>
        </w:rPr>
        <w:t>. Aarvik represents, warrants and covenants that if</w:t>
      </w:r>
    </w:p>
    <w:p>
      <w:pPr>
        <w:spacing w:after="0" w:line="18" w:lineRule="exact"/>
        <w:rPr>
          <w:sz w:val="20"/>
          <w:szCs w:val="20"/>
          <w:color w:val="auto"/>
        </w:rPr>
      </w:pPr>
    </w:p>
    <w:p>
      <w:pPr>
        <w:jc w:val="both"/>
        <w:ind w:left="240" w:right="259" w:firstLine="6"/>
        <w:spacing w:after="0" w:line="241" w:lineRule="auto"/>
        <w:tabs>
          <w:tab w:leader="none" w:pos="776"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fails to demonstrate that it has met all the Manufacturing Criteria (as defined in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and such other terms to be defined in a Quality agreement between ArriVent and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in advance with respect to any of the Compounds or Products within the Collaboration Program no later than</w:t>
      </w:r>
    </w:p>
    <w:p>
      <w:pPr>
        <w:spacing w:after="0" w:line="1" w:lineRule="exact"/>
        <w:rPr>
          <w:rFonts w:ascii="Times New Roman" w:cs="Times New Roman" w:eastAsia="Times New Roman" w:hAnsi="Times New Roman"/>
          <w:sz w:val="21"/>
          <w:szCs w:val="21"/>
          <w:b w:val="1"/>
          <w:bCs w:val="1"/>
          <w:color w:val="auto"/>
        </w:rPr>
      </w:pPr>
    </w:p>
    <w:p>
      <w:pPr>
        <w:jc w:val="both"/>
        <w:ind w:left="240" w:right="259" w:firstLine="6"/>
        <w:spacing w:after="0" w:line="241" w:lineRule="auto"/>
        <w:tabs>
          <w:tab w:leader="none" w:pos="762"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months prior to the date on which ArriVent intends to file the first IND with respect to the Collaboration Program to any Regulatory Authority: (a) the license granted to ArriVent under Section 5.1 of this Agreement shall automatically include all Manufacturing rights with respect to the ADCs (including any component thereof) related to the Target Pair of the Collaboration Program; (b) following ArriVent’s exercise of the Option for the Collaboration Program pursuant to Section 3.8 of this Agreement, ArriVent shall have the right to Manufacture, or have Manufactured by any of its Affiliate or any Third Party, any and all Compounds (including any component thereof), Products and other materials within the Collaboration Program for any purpose; and (c) ArriVent shall not be required to pay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royalty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of the annual net sales of the Products under section 2.2(c) of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In addition, if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fails to demonstrate that it has met all the Manufacturing Criteria as described above, then following ArriVent’s exercise of the Option for the Collaboration Program pursuant to Section 3.8 of this Agreement, Aarvik shall (and/or shall cause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to, as the case may be) immediately deliver all Manufacturing Know-How related to the Collaboration Program and enter into a manufacturing technology transfer agreement in accordance with the last sentence of Section 5.6.2 of this Agreement. Aarvik further agrees and covenants that it will share fully and timely with ArriVent all information related to whether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has satisfied the Manufacturing Criteria. In the event ArriVent does not agree that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has satisfied the Manufacturing Criteria, Aarvik shall cause</w:t>
      </w:r>
    </w:p>
    <w:p>
      <w:pPr>
        <w:spacing w:after="0" w:line="9" w:lineRule="exact"/>
        <w:rPr>
          <w:rFonts w:ascii="Times New Roman" w:cs="Times New Roman" w:eastAsia="Times New Roman" w:hAnsi="Times New Roman"/>
          <w:sz w:val="21"/>
          <w:szCs w:val="21"/>
          <w:b w:val="1"/>
          <w:bCs w:val="1"/>
          <w:color w:val="auto"/>
        </w:rPr>
      </w:pPr>
    </w:p>
    <w:p>
      <w:pPr>
        <w:ind w:left="780" w:hanging="534"/>
        <w:spacing w:after="0" w:line="230" w:lineRule="auto"/>
        <w:tabs>
          <w:tab w:leader="none" w:pos="78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agree to select a third party arbitrator that is approved by ArriVent to decide on whether</w:t>
      </w:r>
    </w:p>
    <w:p>
      <w:pPr>
        <w:jc w:val="both"/>
        <w:ind w:left="240" w:right="259" w:firstLine="6"/>
        <w:spacing w:after="0" w:line="232" w:lineRule="auto"/>
        <w:tabs>
          <w:tab w:leader="none" w:pos="787"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has satisfied the Manufacturing Criteria. If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has satisfied the Manufacturing Criteria with respect to the Compounds and Products within the Collaboration Program before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months prior to the date on which ArriVent intends to file the first IND with respect to the Collaboration Program to any Regulatory Authority, ArriVent will purchase such Compounds or Products manufactured by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for use in any Phase 1 Clinical Trial or Phase 2 Clinical Trial (as long as such Phase 2 Clinical Trial is not a Registration Trial).</w:t>
      </w:r>
    </w:p>
    <w:p>
      <w:pPr>
        <w:spacing w:after="0" w:line="177" w:lineRule="exact"/>
        <w:rPr>
          <w:sz w:val="20"/>
          <w:szCs w:val="20"/>
          <w:color w:val="auto"/>
        </w:rPr>
      </w:pPr>
    </w:p>
    <w:p>
      <w:pPr>
        <w:jc w:val="both"/>
        <w:ind w:left="240" w:right="259" w:firstLine="1296"/>
        <w:spacing w:after="0" w:line="241" w:lineRule="auto"/>
        <w:rPr>
          <w:sz w:val="20"/>
          <w:szCs w:val="20"/>
          <w:color w:val="auto"/>
        </w:rPr>
      </w:pPr>
      <w:r>
        <w:rPr>
          <w:rFonts w:ascii="Times New Roman" w:cs="Times New Roman" w:eastAsia="Times New Roman" w:hAnsi="Times New Roman"/>
          <w:sz w:val="22"/>
          <w:szCs w:val="22"/>
          <w:color w:val="auto"/>
        </w:rPr>
        <w:t xml:space="preserve">5.6.5 </w:t>
      </w:r>
      <w:r>
        <w:rPr>
          <w:rFonts w:ascii="Times New Roman" w:cs="Times New Roman" w:eastAsia="Times New Roman" w:hAnsi="Times New Roman"/>
          <w:sz w:val="22"/>
          <w:szCs w:val="22"/>
          <w:i w:val="1"/>
          <w:iCs w:val="1"/>
          <w:color w:val="auto"/>
        </w:rPr>
        <w:t>Materials Supplied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Aarvik hereby agrees that ArriVent may enter into agreement(s) with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directly in connection with the Manufacture and supply, quality and other matters of any materials to be Manufactured by or on behalf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supplied to ArriVent.</w:t>
      </w:r>
    </w:p>
    <w:p>
      <w:pPr>
        <w:spacing w:after="0" w:line="178" w:lineRule="exact"/>
        <w:rPr>
          <w:sz w:val="20"/>
          <w:szCs w:val="20"/>
          <w:color w:val="auto"/>
        </w:rPr>
      </w:pPr>
    </w:p>
    <w:p>
      <w:pPr>
        <w:jc w:val="both"/>
        <w:ind w:left="240" w:right="259" w:firstLine="540"/>
        <w:spacing w:after="0" w:line="236"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Limitation on Modification</w:t>
      </w:r>
      <w:r>
        <w:rPr>
          <w:rFonts w:ascii="Times New Roman" w:cs="Times New Roman" w:eastAsia="Times New Roman" w:hAnsi="Times New Roman"/>
          <w:sz w:val="22"/>
          <w:szCs w:val="22"/>
          <w:color w:val="auto"/>
        </w:rPr>
        <w:t>. ArriVent shall not conduct, nor shall it assist others in conducting, without Aarvik’s prior written consent, any form of (a) reverse engineering or component breakdown for the purpose of evaluating or utilizing the Aarvik IP or the Collaboration IP for any purpose other than as contemplated in this Agreement, or (b) modification of the antibody sequence other than modifications necessary for linker conjugation (which, for the avoidance of doubt, shall be considered a Compound hereunder).</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13" w:lineRule="exact"/>
        <w:rPr>
          <w:sz w:val="20"/>
          <w:szCs w:val="20"/>
          <w:color w:val="auto"/>
        </w:rPr>
      </w:pPr>
    </w:p>
    <w:p>
      <w:pPr>
        <w:ind w:left="240" w:right="279" w:firstLine="6"/>
        <w:spacing w:after="0" w:line="228" w:lineRule="auto"/>
        <w:tabs>
          <w:tab w:leader="none" w:pos="549" w:val="left"/>
        </w:tabs>
        <w:numPr>
          <w:ilvl w:val="0"/>
          <w:numId w:val="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54" w:name="page55"/>
    <w:bookmarkEnd w:id="54"/>
    <w:p>
      <w:pPr>
        <w:ind w:left="390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PAYMENTS</w:t>
      </w:r>
    </w:p>
    <w:p>
      <w:pPr>
        <w:spacing w:after="0" w:line="182" w:lineRule="exact"/>
        <w:rPr>
          <w:sz w:val="20"/>
          <w:szCs w:val="20"/>
          <w:color w:val="auto"/>
        </w:rPr>
      </w:pPr>
    </w:p>
    <w:p>
      <w:pPr>
        <w:ind w:left="240" w:right="259" w:firstLine="540"/>
        <w:spacing w:after="0" w:line="253"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Collaboration Program Execution Fee</w:t>
      </w:r>
      <w:r>
        <w:rPr>
          <w:rFonts w:ascii="Times New Roman" w:cs="Times New Roman" w:eastAsia="Times New Roman" w:hAnsi="Times New Roman"/>
          <w:sz w:val="21"/>
          <w:szCs w:val="21"/>
          <w:color w:val="auto"/>
        </w:rPr>
        <w:t xml:space="preserve">. With respect to the Collaboration Program, ArriVent has paid to Aarvik a one-time payment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US Dollars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upon completion of</w:t>
      </w:r>
    </w:p>
    <w:p>
      <w:pPr>
        <w:spacing w:after="0" w:line="1" w:lineRule="exact"/>
        <w:rPr>
          <w:sz w:val="20"/>
          <w:szCs w:val="20"/>
          <w:color w:val="auto"/>
        </w:rPr>
      </w:pPr>
    </w:p>
    <w:p>
      <w:pPr>
        <w:ind w:left="760" w:hanging="514"/>
        <w:spacing w:after="0"/>
        <w:tabs>
          <w:tab w:leader="none" w:pos="7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and delivery of all Data Packages and deliverables required under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to ArriVent.</w:t>
      </w:r>
    </w:p>
    <w:p>
      <w:pPr>
        <w:spacing w:after="0" w:line="178" w:lineRule="exact"/>
        <w:rPr>
          <w:sz w:val="20"/>
          <w:szCs w:val="20"/>
          <w:color w:val="auto"/>
        </w:rPr>
      </w:pPr>
    </w:p>
    <w:p>
      <w:pPr>
        <w:jc w:val="both"/>
        <w:ind w:left="240" w:right="259" w:firstLine="540"/>
        <w:spacing w:after="0" w:line="247"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Research Fee</w:t>
      </w:r>
      <w:r>
        <w:rPr>
          <w:rFonts w:ascii="Times New Roman" w:cs="Times New Roman" w:eastAsia="Times New Roman" w:hAnsi="Times New Roman"/>
          <w:sz w:val="21"/>
          <w:szCs w:val="21"/>
          <w:color w:val="auto"/>
        </w:rPr>
        <w:t xml:space="preserve">. Except for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ArriVent shall pay Aarvik the research fee for each Work Item prior to the commencement of the applicable SOW. For clarity, ArriVent shall not be required to make payment for any SOW to which it has decided not to proceed pursuant to Section 3.7. For each payment, Aarvik shall issue an invoice to ArriVent and ArriVent shall pay the applicable amount within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days after Aarvik providing ArriVent with such invoice. ArriVent has paid Aarvik the applicable fees for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all of which have been completed prior to the Restated Agreement Effective Date. Notwithstanding the foregoing, with respect to the Collaboration Program, and provided that no changes are made to the terms applicable to the Collaboration Program as set forth in this Agreement, the Parties hereby agree that:</w:t>
      </w:r>
    </w:p>
    <w:p>
      <w:pPr>
        <w:spacing w:after="0" w:line="170" w:lineRule="exact"/>
        <w:rPr>
          <w:sz w:val="20"/>
          <w:szCs w:val="20"/>
          <w:color w:val="auto"/>
        </w:rPr>
      </w:pPr>
    </w:p>
    <w:p>
      <w:pPr>
        <w:jc w:val="both"/>
        <w:ind w:left="240" w:right="259" w:firstLine="1296"/>
        <w:spacing w:after="0" w:line="242" w:lineRule="auto"/>
        <w:rPr>
          <w:sz w:val="20"/>
          <w:szCs w:val="20"/>
          <w:color w:val="auto"/>
        </w:rPr>
      </w:pPr>
      <w:r>
        <w:rPr>
          <w:rFonts w:ascii="Times New Roman" w:cs="Times New Roman" w:eastAsia="Times New Roman" w:hAnsi="Times New Roman"/>
          <w:sz w:val="21"/>
          <w:szCs w:val="21"/>
          <w:color w:val="auto"/>
        </w:rPr>
        <w:t xml:space="preserve">6.2.1 Subject to the rest of this Agreement (including Section 3.7.3), for each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ArriVent will pay to Aarvik the expenses (other than the costs as set forth in Section 6.2.3)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actually incurred for such SOW, plus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overhead, which shall not exceed the amount pre-approved by ArriVent prior to the commencement of such SOW pursuant to this Section 6.2.2. The research fee for each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as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is the estimated research fee calculated based on expected expenses for such SOW, plus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overhead. In the event the actual expenses for a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are anticipated to exceed the applicable amount 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then Aarvik shall (when submitting the applicable SOW to ArriVent pursuant to Section 3.4.1 above) submit to the JRC details regarding such additional costs for discussion in the JRC and for ArriVent’s approval prior and as a condition to commencement of work under such SOW. No later than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days after completion of each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Aarvik will provide ArriVent with a report setting forth in reasonable detail all expenses actually incurred by Aarvik for such SOW, and all documented evidence (including Third Party invoices related thereto). In the event that the sum of all expenses actually incurred by Aarvik for such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plus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overhead is less than the amount of research fee ArriVent paid for such SOW prior to the commencement thereof, then such overpayment will be credited against future research fees payable by ArriVent to Aarvik for the subsequent SOWs, or, if no further research fees are to be paid to Aarvik under this Agreement, Aarvik shall promptly repay such overpayment; provided that, if Aarvik completes</w:t>
      </w:r>
    </w:p>
    <w:p>
      <w:pPr>
        <w:spacing w:after="0" w:line="15" w:lineRule="exact"/>
        <w:rPr>
          <w:sz w:val="20"/>
          <w:szCs w:val="20"/>
          <w:color w:val="auto"/>
        </w:rPr>
      </w:pPr>
    </w:p>
    <w:p>
      <w:pPr>
        <w:jc w:val="both"/>
        <w:ind w:left="240" w:right="259" w:firstLine="6"/>
        <w:spacing w:after="0" w:line="234" w:lineRule="auto"/>
        <w:tabs>
          <w:tab w:leader="none" w:pos="799"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and delivers all Data Packages and deliverables required thereunder in accordance with Section 3.7, the sum of all research fees payable by ArriVent under this Agreement will not be less than the sum of all estimated research fees as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as of the Original Effective Date (i.e., 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240" w:right="25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6.2.2 In addition to the research fees set forth in Section 6.2.2, ArriVent shall reimburse Aarvik for any costs actually incurred by Aarvik to procure such amount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defined in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Agreement) (e.g., materials, shipping and handling, etc.) as Aarvik will actually use in performing the activities under the applicable SOWs; provided that Aarvik shall provide ArriVent with an estimate of such costs for ArriVent’s approval prior to procuring such materials from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and the total reimbursement amount under this Section 6.2.3 shall not exceed the amount pre-approved by ArriVent.</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13" w:lineRule="exact"/>
        <w:rPr>
          <w:sz w:val="20"/>
          <w:szCs w:val="20"/>
          <w:color w:val="auto"/>
        </w:rPr>
      </w:pPr>
    </w:p>
    <w:p>
      <w:pPr>
        <w:ind w:left="240" w:right="279" w:firstLine="6"/>
        <w:spacing w:after="0" w:line="228" w:lineRule="auto"/>
        <w:tabs>
          <w:tab w:leader="none" w:pos="549" w:val="left"/>
        </w:tabs>
        <w:numPr>
          <w:ilvl w:val="0"/>
          <w:numId w:val="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55" w:name="page56"/>
    <w:bookmarkEnd w:id="55"/>
    <w:p>
      <w:pPr>
        <w:jc w:val="both"/>
        <w:ind w:left="240" w:right="259" w:firstLine="540"/>
        <w:spacing w:after="0" w:line="244"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Option Exercise Fee</w:t>
      </w:r>
      <w:r>
        <w:rPr>
          <w:rFonts w:ascii="Times New Roman" w:cs="Times New Roman" w:eastAsia="Times New Roman" w:hAnsi="Times New Roman"/>
          <w:sz w:val="22"/>
          <w:szCs w:val="22"/>
          <w:color w:val="auto"/>
        </w:rPr>
        <w:t xml:space="preserve">. In the event that ArriVent exercises the Option with respect to the Collaboration Program, ArriVent shall pay Aarvik a one-time payment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after the date on which ArriVent exercises such Option.</w:t>
      </w:r>
    </w:p>
    <w:p>
      <w:pPr>
        <w:spacing w:after="0" w:line="173"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Milestone Payments by ArriVent</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240" w:right="25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6.4.1 </w:t>
      </w:r>
      <w:r>
        <w:rPr>
          <w:rFonts w:ascii="Times New Roman" w:cs="Times New Roman" w:eastAsia="Times New Roman" w:hAnsi="Times New Roman"/>
          <w:sz w:val="22"/>
          <w:szCs w:val="22"/>
          <w:i w:val="1"/>
          <w:iCs w:val="1"/>
          <w:color w:val="auto"/>
        </w:rPr>
        <w:t>Development Milestones</w:t>
      </w:r>
      <w:r>
        <w:rPr>
          <w:rFonts w:ascii="Times New Roman" w:cs="Times New Roman" w:eastAsia="Times New Roman" w:hAnsi="Times New Roman"/>
          <w:sz w:val="22"/>
          <w:szCs w:val="22"/>
          <w:color w:val="auto"/>
        </w:rPr>
        <w:t xml:space="preserve">. Upon achievement of any of the milestone events set forth in the following table, ArriVent shall notify Aarvik of the same and pay to Aarvik a one-time payment of the corresponding milestone payment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after the achievement of the applicable milestone. For clarity, each milestone payment shall be payable only one time for the Target Pair, no Milestone Payment would be payable for subsequent or repeated achievements of the corresponding Milestone Events with respect to the Target Pair and, therefore, the total amount of all milestones for the Target Pair under this Section 6.4.1 will not exceed 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17" w:lineRule="exact"/>
        <w:rPr>
          <w:sz w:val="20"/>
          <w:szCs w:val="20"/>
          <w:color w:val="auto"/>
        </w:rPr>
      </w:pPr>
    </w:p>
    <w:tbl>
      <w:tblPr>
        <w:tblLayout w:type="fixed"/>
        <w:tblInd w:w="590" w:type="dxa"/>
        <w:tblCellMar>
          <w:top w:w="0" w:type="dxa"/>
          <w:left w:w="0" w:type="dxa"/>
          <w:bottom w:w="0" w:type="dxa"/>
          <w:right w:w="0" w:type="dxa"/>
        </w:tblCellMar>
      </w:tblPr>
      <w:tr>
        <w:trPr>
          <w:trHeight w:val="333"/>
        </w:trPr>
        <w:tc>
          <w:tcPr>
            <w:tcW w:w="680" w:type="dxa"/>
            <w:vAlign w:val="bottom"/>
            <w:tcBorders>
              <w:top w:val="single" w:sz="8" w:color="auto"/>
              <w:left w:val="single" w:sz="8" w:color="auto"/>
            </w:tcBorders>
          </w:tcPr>
          <w:p>
            <w:pPr>
              <w:spacing w:after="0"/>
              <w:rPr>
                <w:sz w:val="24"/>
                <w:szCs w:val="24"/>
                <w:color w:val="auto"/>
              </w:rPr>
            </w:pPr>
          </w:p>
        </w:tc>
        <w:tc>
          <w:tcPr>
            <w:tcW w:w="5260" w:type="dxa"/>
            <w:vAlign w:val="bottom"/>
            <w:tcBorders>
              <w:top w:val="single" w:sz="8" w:color="auto"/>
              <w:right w:val="single" w:sz="8" w:color="auto"/>
            </w:tcBorders>
          </w:tcPr>
          <w:p>
            <w:pPr>
              <w:jc w:val="right"/>
              <w:ind w:right="2072"/>
              <w:spacing w:after="0"/>
              <w:rPr>
                <w:sz w:val="20"/>
                <w:szCs w:val="20"/>
                <w:color w:val="auto"/>
              </w:rPr>
            </w:pPr>
            <w:r>
              <w:rPr>
                <w:rFonts w:ascii="Times New Roman" w:cs="Times New Roman" w:eastAsia="Times New Roman" w:hAnsi="Times New Roman"/>
                <w:sz w:val="22"/>
                <w:szCs w:val="22"/>
                <w:b w:val="1"/>
                <w:bCs w:val="1"/>
                <w:color w:val="auto"/>
              </w:rPr>
              <w:t>Milestone Events</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Milestone Payments</w:t>
            </w:r>
          </w:p>
        </w:tc>
        <w:tc>
          <w:tcPr>
            <w:tcW w:w="0" w:type="dxa"/>
            <w:vAlign w:val="bottom"/>
          </w:tcPr>
          <w:p>
            <w:pPr>
              <w:spacing w:after="0"/>
              <w:rPr>
                <w:sz w:val="1"/>
                <w:szCs w:val="1"/>
                <w:color w:val="auto"/>
              </w:rPr>
            </w:pPr>
          </w:p>
        </w:tc>
      </w:tr>
      <w:tr>
        <w:trPr>
          <w:trHeight w:val="286"/>
        </w:trPr>
        <w:tc>
          <w:tcPr>
            <w:tcW w:w="680" w:type="dxa"/>
            <w:vAlign w:val="bottom"/>
            <w:tcBorders>
              <w:left w:val="single" w:sz="8" w:color="auto"/>
            </w:tcBorders>
          </w:tcPr>
          <w:p>
            <w:pPr>
              <w:spacing w:after="0"/>
              <w:rPr>
                <w:sz w:val="24"/>
                <w:szCs w:val="24"/>
                <w:color w:val="auto"/>
              </w:rPr>
            </w:pPr>
          </w:p>
        </w:tc>
        <w:tc>
          <w:tcPr>
            <w:tcW w:w="526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(in US Dollars)</w:t>
            </w:r>
          </w:p>
        </w:tc>
        <w:tc>
          <w:tcPr>
            <w:tcW w:w="0" w:type="dxa"/>
            <w:vAlign w:val="bottom"/>
          </w:tcPr>
          <w:p>
            <w:pPr>
              <w:spacing w:after="0"/>
              <w:rPr>
                <w:sz w:val="1"/>
                <w:szCs w:val="1"/>
                <w:color w:val="auto"/>
              </w:rPr>
            </w:pPr>
          </w:p>
        </w:tc>
      </w:tr>
      <w:tr>
        <w:trPr>
          <w:trHeight w:val="96"/>
        </w:trPr>
        <w:tc>
          <w:tcPr>
            <w:tcW w:w="680" w:type="dxa"/>
            <w:vAlign w:val="bottom"/>
            <w:tcBorders>
              <w:left w:val="single" w:sz="8" w:color="auto"/>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6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5260" w:type="dxa"/>
            <w:vAlign w:val="bottom"/>
            <w:tcBorders>
              <w:right w:val="single" w:sz="8" w:color="auto"/>
            </w:tcBorders>
          </w:tcPr>
          <w:p>
            <w:pPr>
              <w:jc w:val="right"/>
              <w:ind w:right="4612"/>
              <w:spacing w:after="0"/>
              <w:rPr>
                <w:sz w:val="20"/>
                <w:szCs w:val="20"/>
                <w:color w:val="auto"/>
              </w:rPr>
            </w:pPr>
            <w:r>
              <w:rPr>
                <w:rFonts w:ascii="Times New Roman" w:cs="Times New Roman" w:eastAsia="Times New Roman" w:hAnsi="Times New Roman"/>
                <w:sz w:val="22"/>
                <w:szCs w:val="22"/>
                <w:b w:val="1"/>
                <w:bCs w:val="1"/>
                <w:color w:val="auto"/>
              </w:rPr>
              <w:t>[***]</w:t>
            </w:r>
          </w:p>
        </w:tc>
        <w:tc>
          <w:tcPr>
            <w:tcW w:w="2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w:t>
            </w:r>
          </w:p>
        </w:tc>
        <w:tc>
          <w:tcPr>
            <w:tcW w:w="0" w:type="dxa"/>
            <w:vAlign w:val="bottom"/>
          </w:tcPr>
          <w:p>
            <w:pPr>
              <w:spacing w:after="0"/>
              <w:rPr>
                <w:sz w:val="1"/>
                <w:szCs w:val="1"/>
                <w:color w:val="auto"/>
              </w:rPr>
            </w:pPr>
          </w:p>
        </w:tc>
      </w:tr>
      <w:tr>
        <w:trPr>
          <w:trHeight w:val="77"/>
        </w:trPr>
        <w:tc>
          <w:tcPr>
            <w:tcW w:w="680" w:type="dxa"/>
            <w:vAlign w:val="bottom"/>
            <w:tcBorders>
              <w:left w:val="single" w:sz="8" w:color="auto"/>
            </w:tcBorders>
          </w:tcPr>
          <w:p>
            <w:pPr>
              <w:spacing w:after="0"/>
              <w:rPr>
                <w:sz w:val="6"/>
                <w:szCs w:val="6"/>
                <w:color w:val="auto"/>
              </w:rPr>
            </w:pPr>
          </w:p>
        </w:tc>
        <w:tc>
          <w:tcPr>
            <w:tcW w:w="5260" w:type="dxa"/>
            <w:vAlign w:val="bottom"/>
            <w:tcBorders>
              <w:right w:val="single" w:sz="8" w:color="auto"/>
            </w:tcBorders>
          </w:tcPr>
          <w:p>
            <w:pPr>
              <w:spacing w:after="0"/>
              <w:rPr>
                <w:sz w:val="6"/>
                <w:szCs w:val="6"/>
                <w:color w:val="auto"/>
              </w:rPr>
            </w:pPr>
          </w:p>
        </w:tc>
        <w:tc>
          <w:tcPr>
            <w:tcW w:w="2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80" w:type="dxa"/>
            <w:vAlign w:val="bottom"/>
            <w:tcBorders>
              <w:left w:val="single" w:sz="8" w:color="auto"/>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6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5260" w:type="dxa"/>
            <w:vAlign w:val="bottom"/>
            <w:tcBorders>
              <w:right w:val="single" w:sz="8" w:color="auto"/>
            </w:tcBorders>
          </w:tcPr>
          <w:p>
            <w:pPr>
              <w:jc w:val="right"/>
              <w:ind w:right="4612"/>
              <w:spacing w:after="0"/>
              <w:rPr>
                <w:sz w:val="20"/>
                <w:szCs w:val="20"/>
                <w:color w:val="auto"/>
              </w:rPr>
            </w:pPr>
            <w:r>
              <w:rPr>
                <w:rFonts w:ascii="Times New Roman" w:cs="Times New Roman" w:eastAsia="Times New Roman" w:hAnsi="Times New Roman"/>
                <w:sz w:val="22"/>
                <w:szCs w:val="22"/>
                <w:b w:val="1"/>
                <w:bCs w:val="1"/>
                <w:color w:val="auto"/>
              </w:rPr>
              <w:t>[***]</w:t>
            </w:r>
          </w:p>
        </w:tc>
        <w:tc>
          <w:tcPr>
            <w:tcW w:w="2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w:t>
            </w:r>
          </w:p>
        </w:tc>
        <w:tc>
          <w:tcPr>
            <w:tcW w:w="0" w:type="dxa"/>
            <w:vAlign w:val="bottom"/>
          </w:tcPr>
          <w:p>
            <w:pPr>
              <w:spacing w:after="0"/>
              <w:rPr>
                <w:sz w:val="1"/>
                <w:szCs w:val="1"/>
                <w:color w:val="auto"/>
              </w:rPr>
            </w:pPr>
          </w:p>
        </w:tc>
      </w:tr>
      <w:tr>
        <w:trPr>
          <w:trHeight w:val="77"/>
        </w:trPr>
        <w:tc>
          <w:tcPr>
            <w:tcW w:w="680" w:type="dxa"/>
            <w:vAlign w:val="bottom"/>
            <w:tcBorders>
              <w:left w:val="single" w:sz="8" w:color="auto"/>
            </w:tcBorders>
          </w:tcPr>
          <w:p>
            <w:pPr>
              <w:spacing w:after="0"/>
              <w:rPr>
                <w:sz w:val="6"/>
                <w:szCs w:val="6"/>
                <w:color w:val="auto"/>
              </w:rPr>
            </w:pPr>
          </w:p>
        </w:tc>
        <w:tc>
          <w:tcPr>
            <w:tcW w:w="5260" w:type="dxa"/>
            <w:vAlign w:val="bottom"/>
            <w:tcBorders>
              <w:right w:val="single" w:sz="8" w:color="auto"/>
            </w:tcBorders>
          </w:tcPr>
          <w:p>
            <w:pPr>
              <w:spacing w:after="0"/>
              <w:rPr>
                <w:sz w:val="6"/>
                <w:szCs w:val="6"/>
                <w:color w:val="auto"/>
              </w:rPr>
            </w:pPr>
          </w:p>
        </w:tc>
        <w:tc>
          <w:tcPr>
            <w:tcW w:w="2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80" w:type="dxa"/>
            <w:vAlign w:val="bottom"/>
            <w:tcBorders>
              <w:left w:val="single" w:sz="8" w:color="auto"/>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18"/>
        </w:trPr>
        <w:tc>
          <w:tcPr>
            <w:tcW w:w="6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5260" w:type="dxa"/>
            <w:vAlign w:val="bottom"/>
            <w:tcBorders>
              <w:right w:val="single" w:sz="8" w:color="auto"/>
            </w:tcBorders>
          </w:tcPr>
          <w:p>
            <w:pPr>
              <w:jc w:val="right"/>
              <w:ind w:right="4612"/>
              <w:spacing w:after="0"/>
              <w:rPr>
                <w:sz w:val="20"/>
                <w:szCs w:val="20"/>
                <w:color w:val="auto"/>
              </w:rPr>
            </w:pPr>
            <w:r>
              <w:rPr>
                <w:rFonts w:ascii="Times New Roman" w:cs="Times New Roman" w:eastAsia="Times New Roman" w:hAnsi="Times New Roman"/>
                <w:sz w:val="22"/>
                <w:szCs w:val="22"/>
                <w:b w:val="1"/>
                <w:bCs w:val="1"/>
                <w:color w:val="auto"/>
              </w:rPr>
              <w:t>[***]</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w:t>
            </w:r>
          </w:p>
        </w:tc>
        <w:tc>
          <w:tcPr>
            <w:tcW w:w="0" w:type="dxa"/>
            <w:vAlign w:val="bottom"/>
          </w:tcPr>
          <w:p>
            <w:pPr>
              <w:spacing w:after="0"/>
              <w:rPr>
                <w:sz w:val="1"/>
                <w:szCs w:val="1"/>
                <w:color w:val="auto"/>
              </w:rPr>
            </w:pPr>
          </w:p>
        </w:tc>
      </w:tr>
      <w:tr>
        <w:trPr>
          <w:trHeight w:val="258"/>
        </w:trPr>
        <w:tc>
          <w:tcPr>
            <w:tcW w:w="680" w:type="dxa"/>
            <w:vAlign w:val="bottom"/>
            <w:tcBorders>
              <w:left w:val="single" w:sz="8" w:color="auto"/>
              <w:bottom w:val="single" w:sz="8" w:color="auto"/>
            </w:tcBorders>
          </w:tcPr>
          <w:p>
            <w:pPr>
              <w:spacing w:after="0"/>
              <w:rPr>
                <w:sz w:val="22"/>
                <w:szCs w:val="22"/>
                <w:color w:val="auto"/>
              </w:rPr>
            </w:pPr>
          </w:p>
        </w:tc>
        <w:tc>
          <w:tcPr>
            <w:tcW w:w="52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18"/>
        </w:trPr>
        <w:tc>
          <w:tcPr>
            <w:tcW w:w="680" w:type="dxa"/>
            <w:vAlign w:val="bottom"/>
            <w:tcBorders>
              <w:left w:val="single" w:sz="8" w:color="auto"/>
            </w:tcBorders>
          </w:tcPr>
          <w:p>
            <w:pPr>
              <w:spacing w:after="0"/>
              <w:rPr>
                <w:sz w:val="24"/>
                <w:szCs w:val="24"/>
                <w:color w:val="auto"/>
              </w:rPr>
            </w:pPr>
          </w:p>
        </w:tc>
        <w:tc>
          <w:tcPr>
            <w:tcW w:w="52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Total milestone payments for the Target Pair</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w:t>
            </w:r>
          </w:p>
        </w:tc>
        <w:tc>
          <w:tcPr>
            <w:tcW w:w="0" w:type="dxa"/>
            <w:vAlign w:val="bottom"/>
          </w:tcPr>
          <w:p>
            <w:pPr>
              <w:spacing w:after="0"/>
              <w:rPr>
                <w:sz w:val="1"/>
                <w:szCs w:val="1"/>
                <w:color w:val="auto"/>
              </w:rPr>
            </w:pPr>
          </w:p>
        </w:tc>
      </w:tr>
      <w:tr>
        <w:trPr>
          <w:trHeight w:val="258"/>
        </w:trPr>
        <w:tc>
          <w:tcPr>
            <w:tcW w:w="680" w:type="dxa"/>
            <w:vAlign w:val="bottom"/>
            <w:tcBorders>
              <w:left w:val="single" w:sz="8" w:color="auto"/>
              <w:bottom w:val="single" w:sz="8" w:color="auto"/>
            </w:tcBorders>
          </w:tcPr>
          <w:p>
            <w:pPr>
              <w:spacing w:after="0"/>
              <w:rPr>
                <w:sz w:val="22"/>
                <w:szCs w:val="22"/>
                <w:color w:val="auto"/>
              </w:rPr>
            </w:pPr>
          </w:p>
        </w:tc>
        <w:tc>
          <w:tcPr>
            <w:tcW w:w="52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240" w:right="259" w:firstLine="1296"/>
        <w:spacing w:after="0" w:line="237" w:lineRule="auto"/>
        <w:rPr>
          <w:sz w:val="20"/>
          <w:szCs w:val="20"/>
          <w:color w:val="auto"/>
        </w:rPr>
      </w:pPr>
      <w:r>
        <w:rPr>
          <w:rFonts w:ascii="Times New Roman" w:cs="Times New Roman" w:eastAsia="Times New Roman" w:hAnsi="Times New Roman"/>
          <w:sz w:val="22"/>
          <w:szCs w:val="22"/>
          <w:color w:val="auto"/>
        </w:rPr>
        <w:t xml:space="preserve">6.4.2 </w:t>
      </w:r>
      <w:r>
        <w:rPr>
          <w:rFonts w:ascii="Times New Roman" w:cs="Times New Roman" w:eastAsia="Times New Roman" w:hAnsi="Times New Roman"/>
          <w:sz w:val="22"/>
          <w:szCs w:val="22"/>
          <w:i w:val="1"/>
          <w:iCs w:val="1"/>
          <w:color w:val="auto"/>
        </w:rPr>
        <w:t>Sales Milestones</w:t>
      </w:r>
      <w:r>
        <w:rPr>
          <w:rFonts w:ascii="Times New Roman" w:cs="Times New Roman" w:eastAsia="Times New Roman" w:hAnsi="Times New Roman"/>
          <w:sz w:val="22"/>
          <w:szCs w:val="22"/>
          <w:color w:val="auto"/>
        </w:rPr>
        <w:t xml:space="preserve">. After the end of the Calendar Year in which aggregate amount of annual Net Sales of a Product in the Field worldwide first reaches any threshold indicated in the sales milestone events set forth in the following table, ArriVent shall notify Aarvik of the same and pay to Aarvik a one-time payment of the corresponding milestone payment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after the achievement of the applicable milestone. For clarity, each milestone payment shall be payable only one time for a specific Product.</w:t>
      </w:r>
    </w:p>
    <w:p>
      <w:pPr>
        <w:spacing w:after="0" w:line="214" w:lineRule="exact"/>
        <w:rPr>
          <w:sz w:val="20"/>
          <w:szCs w:val="20"/>
          <w:color w:val="auto"/>
        </w:rPr>
      </w:pPr>
    </w:p>
    <w:tbl>
      <w:tblPr>
        <w:tblLayout w:type="fixed"/>
        <w:tblInd w:w="590" w:type="dxa"/>
        <w:tblCellMar>
          <w:top w:w="0" w:type="dxa"/>
          <w:left w:w="0" w:type="dxa"/>
          <w:bottom w:w="0" w:type="dxa"/>
          <w:right w:w="0" w:type="dxa"/>
        </w:tblCellMar>
      </w:tblPr>
      <w:tr>
        <w:trPr>
          <w:trHeight w:val="333"/>
        </w:trPr>
        <w:tc>
          <w:tcPr>
            <w:tcW w:w="680" w:type="dxa"/>
            <w:vAlign w:val="bottom"/>
            <w:tcBorders>
              <w:top w:val="single" w:sz="8" w:color="auto"/>
              <w:left w:val="single" w:sz="8" w:color="auto"/>
            </w:tcBorders>
          </w:tcPr>
          <w:p>
            <w:pPr>
              <w:spacing w:after="0"/>
              <w:rPr>
                <w:sz w:val="24"/>
                <w:szCs w:val="24"/>
                <w:color w:val="auto"/>
              </w:rPr>
            </w:pPr>
          </w:p>
        </w:tc>
        <w:tc>
          <w:tcPr>
            <w:tcW w:w="5260" w:type="dxa"/>
            <w:vAlign w:val="bottom"/>
            <w:tcBorders>
              <w:top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22"/>
                <w:szCs w:val="22"/>
                <w:b w:val="1"/>
                <w:bCs w:val="1"/>
                <w:color w:val="auto"/>
              </w:rPr>
              <w:t>Milestone Events</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Milestone Payments</w:t>
            </w:r>
          </w:p>
        </w:tc>
      </w:tr>
      <w:tr>
        <w:trPr>
          <w:trHeight w:val="286"/>
        </w:trPr>
        <w:tc>
          <w:tcPr>
            <w:tcW w:w="680" w:type="dxa"/>
            <w:vAlign w:val="bottom"/>
            <w:tcBorders>
              <w:left w:val="single" w:sz="8" w:color="auto"/>
            </w:tcBorders>
          </w:tcPr>
          <w:p>
            <w:pPr>
              <w:spacing w:after="0"/>
              <w:rPr>
                <w:sz w:val="24"/>
                <w:szCs w:val="24"/>
                <w:color w:val="auto"/>
              </w:rPr>
            </w:pPr>
          </w:p>
        </w:tc>
        <w:tc>
          <w:tcPr>
            <w:tcW w:w="526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(in US Dollars)</w:t>
            </w:r>
          </w:p>
        </w:tc>
      </w:tr>
      <w:tr>
        <w:trPr>
          <w:trHeight w:val="96"/>
        </w:trPr>
        <w:tc>
          <w:tcPr>
            <w:tcW w:w="680" w:type="dxa"/>
            <w:vAlign w:val="bottom"/>
            <w:tcBorders>
              <w:left w:val="single" w:sz="8" w:color="auto"/>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r>
      <w:tr>
        <w:trPr>
          <w:trHeight w:val="276"/>
        </w:trPr>
        <w:tc>
          <w:tcPr>
            <w:tcW w:w="6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5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The aggregate amount of annual Net Sales of a Product in</w:t>
            </w:r>
          </w:p>
        </w:tc>
        <w:tc>
          <w:tcPr>
            <w:tcW w:w="2200" w:type="dxa"/>
            <w:vAlign w:val="bottom"/>
            <w:tcBorders>
              <w:right w:val="single" w:sz="8" w:color="auto"/>
            </w:tcBorders>
          </w:tcPr>
          <w:p>
            <w:pPr>
              <w:spacing w:after="0"/>
              <w:rPr>
                <w:sz w:val="23"/>
                <w:szCs w:val="23"/>
                <w:color w:val="auto"/>
              </w:rPr>
            </w:pPr>
          </w:p>
        </w:tc>
      </w:tr>
      <w:tr>
        <w:trPr>
          <w:trHeight w:val="307"/>
        </w:trPr>
        <w:tc>
          <w:tcPr>
            <w:tcW w:w="680" w:type="dxa"/>
            <w:vAlign w:val="bottom"/>
            <w:tcBorders>
              <w:left w:val="single" w:sz="8" w:color="auto"/>
            </w:tcBorders>
          </w:tcPr>
          <w:p>
            <w:pPr>
              <w:spacing w:after="0"/>
              <w:rPr>
                <w:sz w:val="24"/>
                <w:szCs w:val="24"/>
                <w:color w:val="auto"/>
              </w:rPr>
            </w:pPr>
          </w:p>
        </w:tc>
        <w:tc>
          <w:tcPr>
            <w:tcW w:w="5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 xml:space="preserve">the Field worldwide first exceeds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US Dollars</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w:t>
            </w:r>
          </w:p>
        </w:tc>
      </w:tr>
      <w:tr>
        <w:trPr>
          <w:trHeight w:val="286"/>
        </w:trPr>
        <w:tc>
          <w:tcPr>
            <w:tcW w:w="680" w:type="dxa"/>
            <w:vAlign w:val="bottom"/>
            <w:tcBorders>
              <w:left w:val="single" w:sz="8" w:color="auto"/>
            </w:tcBorders>
          </w:tcPr>
          <w:p>
            <w:pPr>
              <w:spacing w:after="0"/>
              <w:rPr>
                <w:sz w:val="24"/>
                <w:szCs w:val="24"/>
                <w:color w:val="auto"/>
              </w:rPr>
            </w:pPr>
          </w:p>
        </w:tc>
        <w:tc>
          <w:tcPr>
            <w:tcW w:w="5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spacing w:after="0"/>
              <w:rPr>
                <w:sz w:val="24"/>
                <w:szCs w:val="24"/>
                <w:color w:val="auto"/>
              </w:rPr>
            </w:pPr>
          </w:p>
        </w:tc>
      </w:tr>
      <w:tr>
        <w:trPr>
          <w:trHeight w:val="123"/>
        </w:trPr>
        <w:tc>
          <w:tcPr>
            <w:tcW w:w="680" w:type="dxa"/>
            <w:vAlign w:val="bottom"/>
            <w:tcBorders>
              <w:left w:val="single" w:sz="8" w:color="auto"/>
              <w:bottom w:val="single" w:sz="8" w:color="auto"/>
            </w:tcBorders>
          </w:tcPr>
          <w:p>
            <w:pPr>
              <w:spacing w:after="0"/>
              <w:rPr>
                <w:sz w:val="10"/>
                <w:szCs w:val="10"/>
                <w:color w:val="auto"/>
              </w:rPr>
            </w:pPr>
          </w:p>
        </w:tc>
        <w:tc>
          <w:tcPr>
            <w:tcW w:w="5260" w:type="dxa"/>
            <w:vAlign w:val="bottom"/>
            <w:tcBorders>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r>
      <w:tr>
        <w:trPr>
          <w:trHeight w:val="276"/>
        </w:trPr>
        <w:tc>
          <w:tcPr>
            <w:tcW w:w="6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5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The aggregate amount of annual Net Sales of a Product in</w:t>
            </w:r>
          </w:p>
        </w:tc>
        <w:tc>
          <w:tcPr>
            <w:tcW w:w="2200" w:type="dxa"/>
            <w:vAlign w:val="bottom"/>
            <w:tcBorders>
              <w:right w:val="single" w:sz="8" w:color="auto"/>
            </w:tcBorders>
          </w:tcPr>
          <w:p>
            <w:pPr>
              <w:spacing w:after="0"/>
              <w:rPr>
                <w:sz w:val="23"/>
                <w:szCs w:val="23"/>
                <w:color w:val="auto"/>
              </w:rPr>
            </w:pPr>
          </w:p>
        </w:tc>
      </w:tr>
      <w:tr>
        <w:trPr>
          <w:trHeight w:val="307"/>
        </w:trPr>
        <w:tc>
          <w:tcPr>
            <w:tcW w:w="680" w:type="dxa"/>
            <w:vAlign w:val="bottom"/>
            <w:tcBorders>
              <w:left w:val="single" w:sz="8" w:color="auto"/>
            </w:tcBorders>
          </w:tcPr>
          <w:p>
            <w:pPr>
              <w:spacing w:after="0"/>
              <w:rPr>
                <w:sz w:val="24"/>
                <w:szCs w:val="24"/>
                <w:color w:val="auto"/>
              </w:rPr>
            </w:pPr>
          </w:p>
        </w:tc>
        <w:tc>
          <w:tcPr>
            <w:tcW w:w="5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 xml:space="preserve">the Field worldwide first exceeds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US Dollars</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w:t>
            </w:r>
          </w:p>
        </w:tc>
      </w:tr>
      <w:tr>
        <w:trPr>
          <w:trHeight w:val="286"/>
        </w:trPr>
        <w:tc>
          <w:tcPr>
            <w:tcW w:w="680" w:type="dxa"/>
            <w:vAlign w:val="bottom"/>
            <w:tcBorders>
              <w:left w:val="single" w:sz="8" w:color="auto"/>
            </w:tcBorders>
          </w:tcPr>
          <w:p>
            <w:pPr>
              <w:spacing w:after="0"/>
              <w:rPr>
                <w:sz w:val="24"/>
                <w:szCs w:val="24"/>
                <w:color w:val="auto"/>
              </w:rPr>
            </w:pPr>
          </w:p>
        </w:tc>
        <w:tc>
          <w:tcPr>
            <w:tcW w:w="5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spacing w:after="0"/>
              <w:rPr>
                <w:sz w:val="24"/>
                <w:szCs w:val="24"/>
                <w:color w:val="auto"/>
              </w:rPr>
            </w:pPr>
          </w:p>
        </w:tc>
      </w:tr>
      <w:tr>
        <w:trPr>
          <w:trHeight w:val="123"/>
        </w:trPr>
        <w:tc>
          <w:tcPr>
            <w:tcW w:w="680" w:type="dxa"/>
            <w:vAlign w:val="bottom"/>
            <w:tcBorders>
              <w:left w:val="single" w:sz="8" w:color="auto"/>
              <w:bottom w:val="single" w:sz="8" w:color="auto"/>
            </w:tcBorders>
          </w:tcPr>
          <w:p>
            <w:pPr>
              <w:spacing w:after="0"/>
              <w:rPr>
                <w:sz w:val="10"/>
                <w:szCs w:val="10"/>
                <w:color w:val="auto"/>
              </w:rPr>
            </w:pPr>
          </w:p>
        </w:tc>
        <w:tc>
          <w:tcPr>
            <w:tcW w:w="5260" w:type="dxa"/>
            <w:vAlign w:val="bottom"/>
            <w:tcBorders>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r>
      <w:tr>
        <w:trPr>
          <w:trHeight w:val="276"/>
        </w:trPr>
        <w:tc>
          <w:tcPr>
            <w:tcW w:w="6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5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The aggregate amount of annual Net Sales of a Product in</w:t>
            </w:r>
          </w:p>
        </w:tc>
        <w:tc>
          <w:tcPr>
            <w:tcW w:w="2200" w:type="dxa"/>
            <w:vAlign w:val="bottom"/>
            <w:tcBorders>
              <w:right w:val="single" w:sz="8" w:color="auto"/>
            </w:tcBorders>
          </w:tcPr>
          <w:p>
            <w:pPr>
              <w:spacing w:after="0"/>
              <w:rPr>
                <w:sz w:val="23"/>
                <w:szCs w:val="23"/>
                <w:color w:val="auto"/>
              </w:rPr>
            </w:pPr>
          </w:p>
        </w:tc>
      </w:tr>
      <w:tr>
        <w:trPr>
          <w:trHeight w:val="307"/>
        </w:trPr>
        <w:tc>
          <w:tcPr>
            <w:tcW w:w="680" w:type="dxa"/>
            <w:vAlign w:val="bottom"/>
            <w:tcBorders>
              <w:left w:val="single" w:sz="8" w:color="auto"/>
            </w:tcBorders>
          </w:tcPr>
          <w:p>
            <w:pPr>
              <w:spacing w:after="0"/>
              <w:rPr>
                <w:sz w:val="24"/>
                <w:szCs w:val="24"/>
                <w:color w:val="auto"/>
              </w:rPr>
            </w:pPr>
          </w:p>
        </w:tc>
        <w:tc>
          <w:tcPr>
            <w:tcW w:w="5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 xml:space="preserve">the Field worldwide first exceeds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US Dollars</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w:t>
            </w:r>
          </w:p>
        </w:tc>
      </w:tr>
      <w:tr>
        <w:trPr>
          <w:trHeight w:val="286"/>
        </w:trPr>
        <w:tc>
          <w:tcPr>
            <w:tcW w:w="680" w:type="dxa"/>
            <w:vAlign w:val="bottom"/>
            <w:tcBorders>
              <w:left w:val="single" w:sz="8" w:color="auto"/>
            </w:tcBorders>
          </w:tcPr>
          <w:p>
            <w:pPr>
              <w:spacing w:after="0"/>
              <w:rPr>
                <w:sz w:val="24"/>
                <w:szCs w:val="24"/>
                <w:color w:val="auto"/>
              </w:rPr>
            </w:pPr>
          </w:p>
        </w:tc>
        <w:tc>
          <w:tcPr>
            <w:tcW w:w="5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spacing w:after="0"/>
              <w:rPr>
                <w:sz w:val="24"/>
                <w:szCs w:val="24"/>
                <w:color w:val="auto"/>
              </w:rPr>
            </w:pPr>
          </w:p>
        </w:tc>
      </w:tr>
      <w:tr>
        <w:trPr>
          <w:trHeight w:val="123"/>
        </w:trPr>
        <w:tc>
          <w:tcPr>
            <w:tcW w:w="680" w:type="dxa"/>
            <w:vAlign w:val="bottom"/>
            <w:tcBorders>
              <w:left w:val="single" w:sz="8" w:color="auto"/>
              <w:bottom w:val="single" w:sz="8" w:color="auto"/>
            </w:tcBorders>
          </w:tcPr>
          <w:p>
            <w:pPr>
              <w:spacing w:after="0"/>
              <w:rPr>
                <w:sz w:val="10"/>
                <w:szCs w:val="10"/>
                <w:color w:val="auto"/>
              </w:rPr>
            </w:pPr>
          </w:p>
        </w:tc>
        <w:tc>
          <w:tcPr>
            <w:tcW w:w="5260" w:type="dxa"/>
            <w:vAlign w:val="bottom"/>
            <w:tcBorders>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r>
      <w:tr>
        <w:trPr>
          <w:trHeight w:val="367"/>
        </w:trPr>
        <w:tc>
          <w:tcPr>
            <w:tcW w:w="6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22"/>
                <w:szCs w:val="22"/>
                <w:color w:val="auto"/>
              </w:rPr>
              <w:t>20</w:t>
            </w:r>
          </w:p>
        </w:tc>
        <w:tc>
          <w:tcPr>
            <w:tcW w:w="220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9019"/>
          </w:cols>
          <w:pgMar w:left="1440" w:top="895" w:right="1440" w:bottom="1440" w:gutter="0" w:footer="0" w:header="0"/>
        </w:sectPr>
      </w:pPr>
    </w:p>
    <w:p>
      <w:pPr>
        <w:ind w:left="240" w:right="279" w:firstLine="6"/>
        <w:spacing w:after="0" w:line="228" w:lineRule="auto"/>
        <w:tabs>
          <w:tab w:leader="none" w:pos="549" w:val="left"/>
        </w:tabs>
        <w:numPr>
          <w:ilvl w:val="0"/>
          <w:numId w:val="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56" w:name="page57"/>
    <w:bookmarkEnd w:id="56"/>
    <w:tbl>
      <w:tblPr>
        <w:tblLayout w:type="fixed"/>
        <w:tblInd w:w="590" w:type="dxa"/>
        <w:tblCellMar>
          <w:top w:w="0" w:type="dxa"/>
          <w:left w:w="0" w:type="dxa"/>
          <w:bottom w:w="0" w:type="dxa"/>
          <w:right w:w="0" w:type="dxa"/>
        </w:tblCellMar>
      </w:tblPr>
      <w:tr>
        <w:trPr>
          <w:trHeight w:val="538"/>
        </w:trPr>
        <w:tc>
          <w:tcPr>
            <w:tcW w:w="5940" w:type="dxa"/>
            <w:vAlign w:val="bottom"/>
            <w:tcBorders>
              <w:top w:val="single" w:sz="8" w:color="auto"/>
              <w:left w:val="single" w:sz="8" w:color="auto"/>
              <w:right w:val="single" w:sz="8" w:color="auto"/>
            </w:tcBorders>
          </w:tcPr>
          <w:p>
            <w:pPr>
              <w:ind w:left="2400"/>
              <w:spacing w:after="0"/>
              <w:rPr>
                <w:sz w:val="20"/>
                <w:szCs w:val="20"/>
                <w:color w:val="auto"/>
              </w:rPr>
            </w:pPr>
            <w:r>
              <w:rPr>
                <w:rFonts w:ascii="Times New Roman" w:cs="Times New Roman" w:eastAsia="Times New Roman" w:hAnsi="Times New Roman"/>
                <w:sz w:val="22"/>
                <w:szCs w:val="22"/>
                <w:b w:val="1"/>
                <w:bCs w:val="1"/>
                <w:color w:val="auto"/>
                <w:w w:val="99"/>
              </w:rPr>
              <w:t>Total milestone payment per Product</w:t>
            </w:r>
          </w:p>
        </w:tc>
        <w:tc>
          <w:tcPr>
            <w:tcW w:w="2200" w:type="dxa"/>
            <w:vAlign w:val="bottom"/>
            <w:tcBorders>
              <w:top w:val="single" w:sz="8" w:color="auto"/>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58"/>
        </w:trPr>
        <w:tc>
          <w:tcPr>
            <w:tcW w:w="5940" w:type="dxa"/>
            <w:vAlign w:val="bottom"/>
            <w:tcBorders>
              <w:left w:val="single" w:sz="8" w:color="auto"/>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spacing w:after="0"/>
              <w:rPr>
                <w:sz w:val="22"/>
                <w:szCs w:val="22"/>
                <w:color w:val="auto"/>
              </w:rPr>
            </w:pPr>
          </w:p>
        </w:tc>
      </w:tr>
    </w:tbl>
    <w:p>
      <w:pPr>
        <w:spacing w:after="0" w:line="189"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Royalty Payments by ArriVent</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240" w:right="259" w:firstLine="1296"/>
        <w:spacing w:after="0" w:line="237" w:lineRule="auto"/>
        <w:rPr>
          <w:sz w:val="20"/>
          <w:szCs w:val="20"/>
          <w:color w:val="auto"/>
        </w:rPr>
      </w:pPr>
      <w:r>
        <w:rPr>
          <w:rFonts w:ascii="Times New Roman" w:cs="Times New Roman" w:eastAsia="Times New Roman" w:hAnsi="Times New Roman"/>
          <w:sz w:val="22"/>
          <w:szCs w:val="22"/>
          <w:color w:val="auto"/>
        </w:rPr>
        <w:t xml:space="preserve">6.5.1 </w:t>
      </w:r>
      <w:r>
        <w:rPr>
          <w:rFonts w:ascii="Times New Roman" w:cs="Times New Roman" w:eastAsia="Times New Roman" w:hAnsi="Times New Roman"/>
          <w:sz w:val="22"/>
          <w:szCs w:val="22"/>
          <w:i w:val="1"/>
          <w:iCs w:val="1"/>
          <w:color w:val="auto"/>
        </w:rPr>
        <w:t>Royalty Rate</w:t>
      </w:r>
      <w:r>
        <w:rPr>
          <w:rFonts w:ascii="Times New Roman" w:cs="Times New Roman" w:eastAsia="Times New Roman" w:hAnsi="Times New Roman"/>
          <w:sz w:val="22"/>
          <w:szCs w:val="22"/>
          <w:color w:val="auto"/>
        </w:rPr>
        <w:t xml:space="preserve">. Subject to the terms and conditions of this Section 6.5, on a Product-by-Product basis,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after the end of each Calendar Quarter during the Royalty Term, ArriVent shall pay to Aarvik royalties on annual Net Sales of such Product in the Field worldwide during such Calendar Quarter, as calculated by multiplying the applicable royalty rate by the corresponding amount of incremental Net Sales in the Field worldwide, as follows:</w:t>
      </w:r>
    </w:p>
    <w:p>
      <w:pPr>
        <w:spacing w:after="0" w:line="200" w:lineRule="exact"/>
        <w:rPr>
          <w:sz w:val="20"/>
          <w:szCs w:val="20"/>
          <w:color w:val="auto"/>
        </w:rPr>
      </w:pPr>
    </w:p>
    <w:p>
      <w:pPr>
        <w:spacing w:after="0" w:line="230" w:lineRule="exact"/>
        <w:rPr>
          <w:sz w:val="20"/>
          <w:szCs w:val="20"/>
          <w:color w:val="auto"/>
        </w:rPr>
      </w:pPr>
    </w:p>
    <w:tbl>
      <w:tblPr>
        <w:tblLayout w:type="fixed"/>
        <w:tblInd w:w="590" w:type="dxa"/>
        <w:tblCellMar>
          <w:top w:w="0" w:type="dxa"/>
          <w:left w:w="0" w:type="dxa"/>
          <w:bottom w:w="0" w:type="dxa"/>
          <w:right w:w="0" w:type="dxa"/>
        </w:tblCellMar>
      </w:tblPr>
      <w:tr>
        <w:trPr>
          <w:trHeight w:val="377"/>
        </w:trPr>
        <w:tc>
          <w:tcPr>
            <w:tcW w:w="680" w:type="dxa"/>
            <w:vAlign w:val="bottom"/>
            <w:tcBorders>
              <w:top w:val="single" w:sz="8" w:color="auto"/>
              <w:left w:val="single" w:sz="8" w:color="auto"/>
            </w:tcBorders>
          </w:tcPr>
          <w:p>
            <w:pPr>
              <w:spacing w:after="0"/>
              <w:rPr>
                <w:sz w:val="24"/>
                <w:szCs w:val="24"/>
                <w:color w:val="auto"/>
              </w:rPr>
            </w:pPr>
          </w:p>
        </w:tc>
        <w:tc>
          <w:tcPr>
            <w:tcW w:w="5900" w:type="dxa"/>
            <w:vAlign w:val="bottom"/>
            <w:tcBorders>
              <w:top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22"/>
                <w:szCs w:val="22"/>
                <w:b w:val="1"/>
                <w:bCs w:val="1"/>
                <w:color w:val="auto"/>
              </w:rPr>
              <w:t>Net Sales of Product</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Royalty Rate</w:t>
            </w:r>
          </w:p>
        </w:tc>
        <w:tc>
          <w:tcPr>
            <w:tcW w:w="0" w:type="dxa"/>
            <w:vAlign w:val="bottom"/>
          </w:tcPr>
          <w:p>
            <w:pPr>
              <w:spacing w:after="0"/>
              <w:rPr>
                <w:sz w:val="1"/>
                <w:szCs w:val="1"/>
                <w:color w:val="auto"/>
              </w:rPr>
            </w:pPr>
          </w:p>
        </w:tc>
      </w:tr>
      <w:tr>
        <w:trPr>
          <w:trHeight w:val="109"/>
        </w:trPr>
        <w:tc>
          <w:tcPr>
            <w:tcW w:w="680" w:type="dxa"/>
            <w:vAlign w:val="bottom"/>
            <w:tcBorders>
              <w:left w:val="single" w:sz="8" w:color="auto"/>
              <w:bottom w:val="single" w:sz="8" w:color="auto"/>
            </w:tcBorders>
          </w:tcPr>
          <w:p>
            <w:pPr>
              <w:spacing w:after="0"/>
              <w:rPr>
                <w:sz w:val="9"/>
                <w:szCs w:val="9"/>
                <w:color w:val="auto"/>
              </w:rPr>
            </w:pPr>
          </w:p>
        </w:tc>
        <w:tc>
          <w:tcPr>
            <w:tcW w:w="59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6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5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The portion of annual Net Sales of a Product equal to or greater</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w:t>
            </w: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02"/>
        </w:trPr>
        <w:tc>
          <w:tcPr>
            <w:tcW w:w="6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than 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but less than US$</w:t>
            </w:r>
            <w:r>
              <w:rPr>
                <w:rFonts w:ascii="Times New Roman" w:cs="Times New Roman" w:eastAsia="Times New Roman" w:hAnsi="Times New Roman"/>
                <w:sz w:val="22"/>
                <w:szCs w:val="22"/>
                <w:b w:val="1"/>
                <w:bCs w:val="1"/>
                <w:color w:val="auto"/>
              </w:rPr>
              <w:t>[***]</w:t>
            </w:r>
          </w:p>
        </w:tc>
        <w:tc>
          <w:tcPr>
            <w:tcW w:w="15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680" w:type="dxa"/>
            <w:vAlign w:val="bottom"/>
            <w:tcBorders>
              <w:left w:val="single" w:sz="8" w:color="auto"/>
            </w:tcBorders>
          </w:tcPr>
          <w:p>
            <w:pPr>
              <w:spacing w:after="0"/>
              <w:rPr>
                <w:sz w:val="8"/>
                <w:szCs w:val="8"/>
                <w:color w:val="auto"/>
              </w:rPr>
            </w:pPr>
          </w:p>
        </w:tc>
        <w:tc>
          <w:tcPr>
            <w:tcW w:w="590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80" w:type="dxa"/>
            <w:vAlign w:val="bottom"/>
            <w:tcBorders>
              <w:left w:val="single" w:sz="8" w:color="auto"/>
              <w:bottom w:val="single" w:sz="8" w:color="auto"/>
            </w:tcBorders>
          </w:tcPr>
          <w:p>
            <w:pPr>
              <w:spacing w:after="0"/>
              <w:rPr>
                <w:sz w:val="10"/>
                <w:szCs w:val="10"/>
                <w:color w:val="auto"/>
              </w:rPr>
            </w:pPr>
          </w:p>
        </w:tc>
        <w:tc>
          <w:tcPr>
            <w:tcW w:w="590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6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5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The portion of annual Net Sales of a Product equal to or greater</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w:t>
            </w: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02"/>
        </w:trPr>
        <w:tc>
          <w:tcPr>
            <w:tcW w:w="6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than 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but less than US$</w:t>
            </w:r>
            <w:r>
              <w:rPr>
                <w:rFonts w:ascii="Times New Roman" w:cs="Times New Roman" w:eastAsia="Times New Roman" w:hAnsi="Times New Roman"/>
                <w:sz w:val="22"/>
                <w:szCs w:val="22"/>
                <w:b w:val="1"/>
                <w:bCs w:val="1"/>
                <w:color w:val="auto"/>
              </w:rPr>
              <w:t>[***]</w:t>
            </w:r>
          </w:p>
        </w:tc>
        <w:tc>
          <w:tcPr>
            <w:tcW w:w="15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80" w:type="dxa"/>
            <w:vAlign w:val="bottom"/>
            <w:tcBorders>
              <w:left w:val="single" w:sz="8" w:color="auto"/>
            </w:tcBorders>
          </w:tcPr>
          <w:p>
            <w:pPr>
              <w:spacing w:after="0"/>
              <w:rPr>
                <w:sz w:val="8"/>
                <w:szCs w:val="8"/>
                <w:color w:val="auto"/>
              </w:rPr>
            </w:pPr>
          </w:p>
        </w:tc>
        <w:tc>
          <w:tcPr>
            <w:tcW w:w="590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80" w:type="dxa"/>
            <w:vAlign w:val="bottom"/>
            <w:tcBorders>
              <w:left w:val="single" w:sz="8" w:color="auto"/>
              <w:bottom w:val="single" w:sz="8" w:color="auto"/>
            </w:tcBorders>
          </w:tcPr>
          <w:p>
            <w:pPr>
              <w:spacing w:after="0"/>
              <w:rPr>
                <w:sz w:val="10"/>
                <w:szCs w:val="10"/>
                <w:color w:val="auto"/>
              </w:rPr>
            </w:pPr>
          </w:p>
        </w:tc>
        <w:tc>
          <w:tcPr>
            <w:tcW w:w="590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6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5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The portion of annual Net Sales of a Product equal to or greater</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w:t>
            </w: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02"/>
        </w:trPr>
        <w:tc>
          <w:tcPr>
            <w:tcW w:w="6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than US$</w:t>
            </w:r>
            <w:r>
              <w:rPr>
                <w:rFonts w:ascii="Times New Roman" w:cs="Times New Roman" w:eastAsia="Times New Roman" w:hAnsi="Times New Roman"/>
                <w:sz w:val="22"/>
                <w:szCs w:val="22"/>
                <w:b w:val="1"/>
                <w:bCs w:val="1"/>
                <w:color w:val="auto"/>
              </w:rPr>
              <w:t>[***]</w:t>
            </w:r>
          </w:p>
        </w:tc>
        <w:tc>
          <w:tcPr>
            <w:tcW w:w="15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80" w:type="dxa"/>
            <w:vAlign w:val="bottom"/>
            <w:tcBorders>
              <w:left w:val="single" w:sz="8" w:color="auto"/>
            </w:tcBorders>
          </w:tcPr>
          <w:p>
            <w:pPr>
              <w:spacing w:after="0"/>
              <w:rPr>
                <w:sz w:val="8"/>
                <w:szCs w:val="8"/>
                <w:color w:val="auto"/>
              </w:rPr>
            </w:pPr>
          </w:p>
        </w:tc>
        <w:tc>
          <w:tcPr>
            <w:tcW w:w="590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80" w:type="dxa"/>
            <w:vAlign w:val="bottom"/>
            <w:tcBorders>
              <w:left w:val="single" w:sz="8" w:color="auto"/>
              <w:bottom w:val="single" w:sz="8" w:color="auto"/>
            </w:tcBorders>
          </w:tcPr>
          <w:p>
            <w:pPr>
              <w:spacing w:after="0"/>
              <w:rPr>
                <w:sz w:val="10"/>
                <w:szCs w:val="10"/>
                <w:color w:val="auto"/>
              </w:rPr>
            </w:pPr>
          </w:p>
        </w:tc>
        <w:tc>
          <w:tcPr>
            <w:tcW w:w="590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240" w:right="259" w:firstLine="1296"/>
        <w:spacing w:after="0" w:line="248" w:lineRule="auto"/>
        <w:rPr>
          <w:sz w:val="20"/>
          <w:szCs w:val="20"/>
          <w:color w:val="auto"/>
        </w:rPr>
      </w:pPr>
      <w:r>
        <w:rPr>
          <w:rFonts w:ascii="Times New Roman" w:cs="Times New Roman" w:eastAsia="Times New Roman" w:hAnsi="Times New Roman"/>
          <w:sz w:val="21"/>
          <w:szCs w:val="21"/>
          <w:color w:val="auto"/>
        </w:rPr>
        <w:t xml:space="preserve">6.5.2 </w:t>
      </w:r>
      <w:r>
        <w:rPr>
          <w:rFonts w:ascii="Times New Roman" w:cs="Times New Roman" w:eastAsia="Times New Roman" w:hAnsi="Times New Roman"/>
          <w:sz w:val="21"/>
          <w:szCs w:val="21"/>
          <w:i w:val="1"/>
          <w:iCs w:val="1"/>
          <w:color w:val="auto"/>
        </w:rPr>
        <w:t>Royalty Term</w:t>
      </w:r>
      <w:r>
        <w:rPr>
          <w:rFonts w:ascii="Times New Roman" w:cs="Times New Roman" w:eastAsia="Times New Roman" w:hAnsi="Times New Roman"/>
          <w:sz w:val="21"/>
          <w:szCs w:val="21"/>
          <w:color w:val="auto"/>
        </w:rPr>
        <w:t>. Royalties payable under Section 6.5.1 shall be paid by ArriVent, on a Product-by-Product and jurisdiction-by-jurisdiction basis, beginning on the date of the First Commercial Sale of each Product in a jurisdiction and continuing until the earliest of (a) the first approval of a Biosimilar Product with respect to such Product in such jurisdiction, (b) the</w:t>
      </w:r>
    </w:p>
    <w:p>
      <w:pPr>
        <w:spacing w:after="0" w:line="2" w:lineRule="exact"/>
        <w:rPr>
          <w:sz w:val="20"/>
          <w:szCs w:val="20"/>
          <w:color w:val="auto"/>
        </w:rPr>
      </w:pPr>
    </w:p>
    <w:p>
      <w:pPr>
        <w:jc w:val="both"/>
        <w:ind w:left="240" w:right="259" w:firstLine="6"/>
        <w:spacing w:after="0" w:line="234" w:lineRule="auto"/>
        <w:tabs>
          <w:tab w:leader="none" w:pos="802"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anniversary of the date of the First Commercial Sale of such Product in such jurisdiction, and (c) the expiration of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Valid Claim of a Patent contained in the Collaboration IP Covering the Compound contained in such Product in such jurisdiction (the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240" w:right="25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6.5.3 </w:t>
      </w:r>
      <w:r>
        <w:rPr>
          <w:rFonts w:ascii="Times New Roman" w:cs="Times New Roman" w:eastAsia="Times New Roman" w:hAnsi="Times New Roman"/>
          <w:sz w:val="22"/>
          <w:szCs w:val="22"/>
          <w:i w:val="1"/>
          <w:iCs w:val="1"/>
          <w:color w:val="auto"/>
        </w:rPr>
        <w:t>Royalty Reduction</w:t>
      </w:r>
      <w:r>
        <w:rPr>
          <w:rFonts w:ascii="Times New Roman" w:cs="Times New Roman" w:eastAsia="Times New Roman" w:hAnsi="Times New Roman"/>
          <w:sz w:val="22"/>
          <w:szCs w:val="22"/>
          <w:color w:val="auto"/>
        </w:rPr>
        <w:t xml:space="preserve">. If ArriVent and/or its Affiliates or Sublicensees obtain from a Third Party a license under any Patent right that, absent a license thereunder, would be infringed by the Research, Development, Manufacture, or Commercialization of any Compound or Product in a jurisdiction (i.e., a “blocking patent”), to the extent such infringement arises from or relates to the antibody sequences, linker and/or payloads of such Compound or Product, ArriVent shall (i) notify Aarvik of such license at least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prior to the execution of such license and allow Aarvik to provide feedback regarding same within such period prior to execution of such license, and (ii) have the right to deduct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percent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any royalty or other payment due under such license with the Third Party from the royalty owing to Aarvik for the applicable Product in such jurisdiction under Section 6.5. Notwithstanding the foregoing, in no event shall the reduction permitted in this Section 6.5.3 reduce the payment due to Aarvik with respect to the sale of the applicable Product in such jurisdiction for any Calendar Quarter by more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percent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of the total payment that would have been payable prior to such reduction; provided that any credits earned under this Section 6.5.3 by reason of payments to Third Party licensors that may</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9019"/>
          </w:cols>
          <w:pgMar w:left="1440" w:top="903"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03" w:right="1440" w:bottom="1440" w:gutter="0" w:footer="0" w:header="0"/>
          <w:type w:val="continuous"/>
        </w:sectPr>
      </w:pPr>
    </w:p>
    <w:bookmarkStart w:id="57" w:name="page58"/>
    <w:bookmarkEnd w:id="57"/>
    <w:p>
      <w:pPr>
        <w:jc w:val="both"/>
        <w:ind w:left="240" w:right="259"/>
        <w:spacing w:after="0" w:line="258" w:lineRule="auto"/>
        <w:rPr>
          <w:sz w:val="20"/>
          <w:szCs w:val="20"/>
          <w:color w:val="auto"/>
        </w:rPr>
      </w:pPr>
      <w:r>
        <w:rPr>
          <w:rFonts w:ascii="Times New Roman" w:cs="Times New Roman" w:eastAsia="Times New Roman" w:hAnsi="Times New Roman"/>
          <w:sz w:val="22"/>
          <w:szCs w:val="22"/>
          <w:color w:val="auto"/>
        </w:rPr>
        <w:t>not be used to offset the royalty payment due to Aarvik as a result of the foregoing limitation may be carried to and applied to reduce royalty payments in future Calendar Quarters.</w:t>
      </w:r>
    </w:p>
    <w:p>
      <w:pPr>
        <w:spacing w:after="0" w:line="158"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Financial Records and Audit Rights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240" w:right="259" w:firstLine="1296"/>
        <w:spacing w:after="0" w:line="252" w:lineRule="auto"/>
        <w:rPr>
          <w:sz w:val="20"/>
          <w:szCs w:val="20"/>
          <w:color w:val="auto"/>
        </w:rPr>
      </w:pPr>
      <w:r>
        <w:rPr>
          <w:rFonts w:ascii="Times New Roman" w:cs="Times New Roman" w:eastAsia="Times New Roman" w:hAnsi="Times New Roman"/>
          <w:sz w:val="21"/>
          <w:szCs w:val="21"/>
          <w:color w:val="auto"/>
        </w:rPr>
        <w:t xml:space="preserve">6.6.1 </w:t>
      </w:r>
      <w:r>
        <w:rPr>
          <w:rFonts w:ascii="Times New Roman" w:cs="Times New Roman" w:eastAsia="Times New Roman" w:hAnsi="Times New Roman"/>
          <w:sz w:val="21"/>
          <w:szCs w:val="21"/>
          <w:i w:val="1"/>
          <w:iCs w:val="1"/>
          <w:color w:val="auto"/>
        </w:rPr>
        <w:t>Financial Records</w:t>
      </w:r>
      <w:r>
        <w:rPr>
          <w:rFonts w:ascii="Times New Roman" w:cs="Times New Roman" w:eastAsia="Times New Roman" w:hAnsi="Times New Roman"/>
          <w:sz w:val="21"/>
          <w:szCs w:val="21"/>
          <w:color w:val="auto"/>
        </w:rPr>
        <w:t xml:space="preserve">. Each Party shall, and shall cause its Affiliates and Sublicensees to, keep complete and accurate books and records in sufficient detail for the purpose of determining all amounts payable hereunder and verifying compliance with its payment obligations under this Agreement. Such books and records shall be retained for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full Calendar Years after the end of the Calendar Year to which such books and records pertain.</w:t>
      </w:r>
    </w:p>
    <w:p>
      <w:pPr>
        <w:spacing w:after="0" w:line="163" w:lineRule="exact"/>
        <w:rPr>
          <w:sz w:val="20"/>
          <w:szCs w:val="20"/>
          <w:color w:val="auto"/>
        </w:rPr>
      </w:pPr>
    </w:p>
    <w:p>
      <w:pPr>
        <w:jc w:val="both"/>
        <w:ind w:left="240" w:right="259" w:firstLine="1296"/>
        <w:spacing w:after="0" w:line="242" w:lineRule="auto"/>
        <w:rPr>
          <w:sz w:val="20"/>
          <w:szCs w:val="20"/>
          <w:color w:val="auto"/>
        </w:rPr>
      </w:pPr>
      <w:r>
        <w:rPr>
          <w:rFonts w:ascii="Times New Roman" w:cs="Times New Roman" w:eastAsia="Times New Roman" w:hAnsi="Times New Roman"/>
          <w:sz w:val="21"/>
          <w:szCs w:val="21"/>
          <w:color w:val="auto"/>
        </w:rPr>
        <w:t xml:space="preserve">6.6.2 </w:t>
      </w:r>
      <w:r>
        <w:rPr>
          <w:rFonts w:ascii="Times New Roman" w:cs="Times New Roman" w:eastAsia="Times New Roman" w:hAnsi="Times New Roman"/>
          <w:sz w:val="21"/>
          <w:szCs w:val="21"/>
          <w:i w:val="1"/>
          <w:iCs w:val="1"/>
          <w:color w:val="auto"/>
        </w:rPr>
        <w:t>Audit Rights</w:t>
      </w:r>
      <w:r>
        <w:rPr>
          <w:rFonts w:ascii="Times New Roman" w:cs="Times New Roman" w:eastAsia="Times New Roman" w:hAnsi="Times New Roman"/>
          <w:sz w:val="21"/>
          <w:szCs w:val="21"/>
          <w:color w:val="auto"/>
        </w:rPr>
        <w:t xml:space="preserve">. Upon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days prior notice from one party (referred to as the “</w:t>
      </w:r>
      <w:r>
        <w:rPr>
          <w:rFonts w:ascii="Times New Roman" w:cs="Times New Roman" w:eastAsia="Times New Roman" w:hAnsi="Times New Roman"/>
          <w:sz w:val="21"/>
          <w:szCs w:val="21"/>
          <w:b w:val="1"/>
          <w:bCs w:val="1"/>
          <w:color w:val="auto"/>
        </w:rPr>
        <w:t>Requesting Party</w:t>
      </w:r>
      <w:r>
        <w:rPr>
          <w:rFonts w:ascii="Times New Roman" w:cs="Times New Roman" w:eastAsia="Times New Roman" w:hAnsi="Times New Roman"/>
          <w:sz w:val="21"/>
          <w:szCs w:val="21"/>
          <w:color w:val="auto"/>
        </w:rPr>
        <w:t xml:space="preserve">” in this Section 6.6.2), the other Party will permit, and will cause its Affiliates and Sublicensees to permit, an independent certified public accounting firm of nationally recognized standing selected by the Requesting Party and reasonably acceptable to the other Party, to examine, at the Requesting Party’s sole expense, the relevant books and records of the other Party, its Affiliates and Sublicensees for the sole purpose of verifying the amounts reported by the other Party and payments made by any Party in accordance with Article 6. An audit by the Requesting Party under this Section 6.6.2 will occur not more than once in any Calendar Year and will be limited to the pertinent books and records for any Calendar Year ending not more than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years before the date of the request. The accounting firm will be provided access to such books and records at the facility(ies) of the other Party, its Affiliates or Sublicensees, as applicable, where such books and records are normally kept and such examination will be conducted during normal business hours. The other Party or the applicable Sublicensee may require the accounting firm to sign a reasonably acceptable non-disclosure agreement before providing the accounting firm with access to facilities or records. Upon completion of the audit, the accounting firm will provide both Parties a written report disclosing any discrepancies with the specific details concerning any such discrepancies. Such accounting firm shall not disclose the other Party’s Confidential Information to the Requesting Party, except to the extent such disclosure is necessary to verify the accuracy of the reports furnished by the other Party in accordance with Section 6.6.1 or the amount of payments by any Party under this Agreement, in which case the Requesting Party’s obligations with respect to such Confidential Information shall be subject to Article 8. If such accounting firm concludes that additional payments were due to the Requesting Party, then the other Party will pay to the Requesting Party such additional payments within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days of the date the other Party receives such accountant’s written report. Further, if the amount of such underpayments exceeds more than</w:t>
      </w:r>
    </w:p>
    <w:p>
      <w:pPr>
        <w:spacing w:after="0" w:line="16" w:lineRule="exact"/>
        <w:rPr>
          <w:sz w:val="20"/>
          <w:szCs w:val="20"/>
          <w:color w:val="auto"/>
        </w:rPr>
      </w:pPr>
    </w:p>
    <w:p>
      <w:pPr>
        <w:jc w:val="both"/>
        <w:ind w:left="240" w:right="259" w:firstLine="6"/>
        <w:spacing w:after="0" w:line="231" w:lineRule="auto"/>
        <w:tabs>
          <w:tab w:leader="none" w:pos="769"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percent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of the amount that was properly payable to the Requesting Party, then the other Party will reimburse the Requesting Party for the Requesting Party’s reasonable documented out-of-pocket costs in connection with the audit. If such accounting firm concludes that the other Party overpaid any payments to the Requesting Party, then such overpayments will be credited against future amounts payable by the other Party to the Requesting Party, or, if no further payments are to be made to the other Party under this Agreement, the Requesting Party shall promptly repay such overpayment. Notwithstanding any provision of this Agreement to the contrary, all reports and financial information of the other Party or its Affiliates’ or Sublicensees which are provided to or subject to review by the Requesting Party under this Section 6.6.2 will be deemed to be the other Party’s Confidential Information and subject to the provisions of Article 8.</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13" w:lineRule="exact"/>
        <w:rPr>
          <w:sz w:val="20"/>
          <w:szCs w:val="20"/>
          <w:color w:val="auto"/>
        </w:rPr>
      </w:pPr>
    </w:p>
    <w:p>
      <w:pPr>
        <w:ind w:left="240" w:right="279" w:firstLine="6"/>
        <w:spacing w:after="0" w:line="228" w:lineRule="auto"/>
        <w:tabs>
          <w:tab w:leader="none" w:pos="549" w:val="left"/>
        </w:tabs>
        <w:numPr>
          <w:ilvl w:val="0"/>
          <w:numId w:val="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182"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Inventorship; Ownership</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240" w:right="25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i w:val="1"/>
          <w:iCs w:val="1"/>
          <w:color w:val="auto"/>
        </w:rPr>
        <w:t>Background and Foreground IP</w:t>
      </w:r>
      <w:r>
        <w:rPr>
          <w:rFonts w:ascii="Times New Roman" w:cs="Times New Roman" w:eastAsia="Times New Roman" w:hAnsi="Times New Roman"/>
          <w:sz w:val="22"/>
          <w:szCs w:val="22"/>
          <w:color w:val="auto"/>
        </w:rPr>
        <w:t>. As between the Parties, each Party shall remain the owner and shall retain control of the Intellectual Property Rights that it or any its Affiliates owns or Controls prior to the Original Effective Date of this Agreement or outside the Collaboration pursuant to this Agreement. Unless otherwise specified in this Agreement, as between the Parties, any and all inventions, discoveries, improvements and other technology that are discovered, made, generated, conceived or reduced to practice in the course of the performance of the activities pursuant to the SOWs under this Agreement shall be owned in accordance with inventorship as determined under United States patent laws.</w:t>
      </w:r>
    </w:p>
    <w:p>
      <w:pPr>
        <w:spacing w:after="0" w:line="178"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22"/>
          <w:szCs w:val="22"/>
          <w:color w:val="auto"/>
        </w:rPr>
        <w:t>7.1.2</w:t>
      </w:r>
      <w:r>
        <w:rPr>
          <w:sz w:val="20"/>
          <w:szCs w:val="20"/>
          <w:color w:val="auto"/>
        </w:rPr>
        <w:tab/>
      </w:r>
      <w:r>
        <w:rPr>
          <w:rFonts w:ascii="Times New Roman" w:cs="Times New Roman" w:eastAsia="Times New Roman" w:hAnsi="Times New Roman"/>
          <w:sz w:val="21"/>
          <w:szCs w:val="21"/>
          <w:i w:val="1"/>
          <w:iCs w:val="1"/>
          <w:color w:val="auto"/>
        </w:rPr>
        <w:t>Collaboration IP</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240" w:right="279" w:firstLine="1302"/>
        <w:spacing w:after="0" w:line="258" w:lineRule="auto"/>
        <w:tabs>
          <w:tab w:leader="none" w:pos="218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Parties, Aarvik shall solely own all right, interest and title in and to the Collaboration IP with respect to the Collaboration Program.</w:t>
      </w:r>
    </w:p>
    <w:p>
      <w:pPr>
        <w:spacing w:after="0" w:line="158" w:lineRule="exact"/>
        <w:rPr>
          <w:rFonts w:ascii="Times New Roman" w:cs="Times New Roman" w:eastAsia="Times New Roman" w:hAnsi="Times New Roman"/>
          <w:sz w:val="22"/>
          <w:szCs w:val="22"/>
          <w:color w:val="auto"/>
        </w:rPr>
      </w:pPr>
    </w:p>
    <w:p>
      <w:pPr>
        <w:jc w:val="both"/>
        <w:ind w:left="240" w:right="259" w:firstLine="1302"/>
        <w:spacing w:after="0" w:line="244" w:lineRule="auto"/>
        <w:tabs>
          <w:tab w:leader="none" w:pos="218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ArriVent fails to exercise the Option for the Collaboration Program before the expiration of the Option Period, then Aarvik may terminate this Agreement pursuant and subject to the terms set forth in Section 11.3 below.</w:t>
      </w:r>
    </w:p>
    <w:p>
      <w:pPr>
        <w:spacing w:after="0" w:line="173" w:lineRule="exact"/>
        <w:rPr>
          <w:rFonts w:ascii="Times New Roman" w:cs="Times New Roman" w:eastAsia="Times New Roman" w:hAnsi="Times New Roman"/>
          <w:sz w:val="22"/>
          <w:szCs w:val="22"/>
          <w:color w:val="auto"/>
        </w:rPr>
      </w:pPr>
    </w:p>
    <w:p>
      <w:pPr>
        <w:jc w:val="both"/>
        <w:ind w:left="240" w:right="259" w:firstLine="1302"/>
        <w:spacing w:after="0" w:line="239" w:lineRule="auto"/>
        <w:tabs>
          <w:tab w:leader="none" w:pos="218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ArriVent fails to use Commercially Reasonable Efforts to achieve the applicable Key Milestones after its exercise of the Option for the Collaboration Program and, then Aarvik may terminate this Agreement pursuant and subject to the terms set forth in Section 11.3 below.</w:t>
      </w:r>
    </w:p>
    <w:p>
      <w:pPr>
        <w:spacing w:after="0" w:line="176" w:lineRule="exact"/>
        <w:rPr>
          <w:sz w:val="20"/>
          <w:szCs w:val="20"/>
          <w:color w:val="auto"/>
        </w:rPr>
      </w:pPr>
    </w:p>
    <w:p>
      <w:pPr>
        <w:jc w:val="both"/>
        <w:ind w:left="240" w:right="25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7.1.3 </w:t>
      </w:r>
      <w:r>
        <w:rPr>
          <w:rFonts w:ascii="Times New Roman" w:cs="Times New Roman" w:eastAsia="Times New Roman" w:hAnsi="Times New Roman"/>
          <w:sz w:val="22"/>
          <w:szCs w:val="22"/>
          <w:i w:val="1"/>
          <w:iCs w:val="1"/>
          <w:color w:val="auto"/>
        </w:rPr>
        <w:t>Inventor Assignment Obligation</w:t>
      </w:r>
      <w:r>
        <w:rPr>
          <w:rFonts w:ascii="Times New Roman" w:cs="Times New Roman" w:eastAsia="Times New Roman" w:hAnsi="Times New Roman"/>
          <w:sz w:val="22"/>
          <w:szCs w:val="22"/>
          <w:color w:val="auto"/>
        </w:rPr>
        <w:t>. Aarvik shall cause all of its employees, independent contractors, consultants, Sublicensees and others who perform activities under this Agreement to be under an obligation to assign their rights in any and all Collaboration IP to Aarvik. Aarvik shall promptly disclose to the ArriVent in writing the conception, discovery, development, making, or reduction to practice of any Collaboration IP. Aarvik represents and covenants that all personnel performing any part of the activities under this Agreement are obligated to assign to Aarvik all the inventions, discoveries, improvements, other technology and Intellectual Property Rights that are necessary to enable Aarvik to assign or grant all rights Aarvik purports to assign or grant under this Agreement. Aarvik agrees to provide ArriVent the right to inspect Aarvik’s assignment forms used with its personnel for conformance with Applicable Laws. Aarvik shall cause its independent contractors or consultants to execute and record assignments and other necessary documents consistent with such ownership. Aarvik shall adopt and implement a service invention remuneration and reward policy and pay inventors of inventions generated under this Agreement reasonable remuneration and rewards required under Applicable Law and obtain their acknowledgement of the receipt thereof.</w:t>
      </w:r>
    </w:p>
    <w:p>
      <w:pPr>
        <w:spacing w:after="0" w:line="181"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Patent Prosecution and Maintenance</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7.2.1 </w:t>
      </w:r>
      <w:r>
        <w:rPr>
          <w:rFonts w:ascii="Times New Roman" w:cs="Times New Roman" w:eastAsia="Times New Roman" w:hAnsi="Times New Roman"/>
          <w:sz w:val="22"/>
          <w:szCs w:val="22"/>
          <w:i w:val="1"/>
          <w:iCs w:val="1"/>
          <w:color w:val="auto"/>
        </w:rPr>
        <w:t>Prior to Option Exercise</w:t>
      </w:r>
      <w:r>
        <w:rPr>
          <w:rFonts w:ascii="Times New Roman" w:cs="Times New Roman" w:eastAsia="Times New Roman" w:hAnsi="Times New Roman"/>
          <w:sz w:val="22"/>
          <w:szCs w:val="22"/>
          <w:color w:val="auto"/>
        </w:rPr>
        <w:t>. Prior to ArriVent’s exercise of the Option, Aarvik shall have the obligation, through the use of outside counsel approved by ArriVent, to prepare, file, prosecute, and maintain any Product Specific Collaboration Patents. Aarvik shall keep ArriVent informed of developments with respect to such Product Specific Collaboration Patents and shall, subject to the provisions of Section 8.1, furnish ArriVent with copies of</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9019"/>
          </w:cols>
          <w:pgMar w:left="1440" w:top="89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5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59" w:name="page60"/>
    <w:bookmarkEnd w:id="59"/>
    <w:p>
      <w:pPr>
        <w:jc w:val="both"/>
        <w:ind w:left="240" w:right="259"/>
        <w:spacing w:after="0" w:line="239" w:lineRule="auto"/>
        <w:rPr>
          <w:sz w:val="20"/>
          <w:szCs w:val="20"/>
          <w:color w:val="auto"/>
        </w:rPr>
      </w:pPr>
      <w:r>
        <w:rPr>
          <w:rFonts w:ascii="Times New Roman" w:cs="Times New Roman" w:eastAsia="Times New Roman" w:hAnsi="Times New Roman"/>
          <w:sz w:val="22"/>
          <w:szCs w:val="22"/>
          <w:color w:val="auto"/>
        </w:rPr>
        <w:t>applications for such Product Specific Collaboration Patents, amendments thereto and other related correspondence to and from patent offices, permit ArriVent a reasonable opportunity to review and offer comments. ArriVent shall reasonably assist and cooperate in prosecuting and maintaining the Product Specific Collaboration Patents.</w:t>
      </w:r>
    </w:p>
    <w:p>
      <w:pPr>
        <w:spacing w:after="0" w:line="176"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1"/>
          <w:szCs w:val="21"/>
          <w:color w:val="auto"/>
        </w:rPr>
        <w:t xml:space="preserve">7.2.2 </w:t>
      </w:r>
      <w:r>
        <w:rPr>
          <w:rFonts w:ascii="Times New Roman" w:cs="Times New Roman" w:eastAsia="Times New Roman" w:hAnsi="Times New Roman"/>
          <w:sz w:val="21"/>
          <w:szCs w:val="21"/>
          <w:i w:val="1"/>
          <w:iCs w:val="1"/>
          <w:color w:val="auto"/>
        </w:rPr>
        <w:t>After Option Exercise</w:t>
      </w:r>
      <w:r>
        <w:rPr>
          <w:rFonts w:ascii="Times New Roman" w:cs="Times New Roman" w:eastAsia="Times New Roman" w:hAnsi="Times New Roman"/>
          <w:sz w:val="21"/>
          <w:szCs w:val="21"/>
          <w:color w:val="auto"/>
        </w:rPr>
        <w:t xml:space="preserve">. After ArriVent’s exercise of the Option, as between the Parties, ArriVent shall have the sole right and responsibility for the filing, prosecution and maintenance of Product Specific Collaboration Patents. If ArriVent wishes to file any Product Specific Collaboration Patent, it shall provide Aarvik a copy of the proposed patent application at least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days prior to the proposed filing date of such application, and the Parties shall coordinate such filings to avoid creating potential issues in the prosecution of such patent applications. If Aarvik requests in writing additional time for coordination efforts, ArriVent shall delay the filing of such application by an additional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days, for a total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days from ArriVent’s provision of a copy of such patent application to Aarvik. In prosecution of Product Specific Collaboration Patents, ArriVent shall provide to Aarvik drafts of all substantive submissions to be made to any patent office, together with copies of any actions on which such communications are based. Within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days of such provision, Aarvik may, in good faith, suggest amendments to such submissions to avoid conflict with Aarvik Patents. ArriVent will incorporate any such reasonable amendments into such submission.</w:t>
      </w:r>
    </w:p>
    <w:p>
      <w:pPr>
        <w:spacing w:after="0" w:line="185"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Defense</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240" w:right="25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7.3.1 </w:t>
      </w:r>
      <w:r>
        <w:rPr>
          <w:rFonts w:ascii="Times New Roman" w:cs="Times New Roman" w:eastAsia="Times New Roman" w:hAnsi="Times New Roman"/>
          <w:sz w:val="22"/>
          <w:szCs w:val="22"/>
          <w:i w:val="1"/>
          <w:iCs w:val="1"/>
          <w:color w:val="auto"/>
        </w:rPr>
        <w:t>Notice; Solely-Owned Patents</w:t>
      </w:r>
      <w:r>
        <w:rPr>
          <w:rFonts w:ascii="Times New Roman" w:cs="Times New Roman" w:eastAsia="Times New Roman" w:hAnsi="Times New Roman"/>
          <w:sz w:val="22"/>
          <w:szCs w:val="22"/>
          <w:color w:val="auto"/>
        </w:rPr>
        <w:t>. Each Party shall promptly notify the other if it becomes aware of any claim, suit, proceeding or allegation by a Third Party regarding the invalidity or unenforceability of any Aarvik Patent or Product Specific Collaboration Patent and/or alleging the infringement, violation or misappropriation of any Third Party’s Intellectual Property Rights based on either Party’s activities under this Agreement. Subject to the provisions of this Section 7.3, each Party shall have the sole right, but not the obligation, to defend and control the defense of any such Third Party claim, suit, or proceeding concerning its own allegedly infringing activity at its own cost and expense, using counsel of its own choice brought against such Party.</w:t>
      </w:r>
    </w:p>
    <w:p>
      <w:pPr>
        <w:spacing w:after="0" w:line="174" w:lineRule="exact"/>
        <w:rPr>
          <w:sz w:val="20"/>
          <w:szCs w:val="20"/>
          <w:color w:val="auto"/>
        </w:rPr>
      </w:pPr>
    </w:p>
    <w:p>
      <w:pPr>
        <w:jc w:val="both"/>
        <w:ind w:left="240" w:right="259" w:firstLine="1296"/>
        <w:spacing w:after="0" w:line="234" w:lineRule="auto"/>
        <w:rPr>
          <w:sz w:val="20"/>
          <w:szCs w:val="20"/>
          <w:color w:val="auto"/>
        </w:rPr>
      </w:pPr>
      <w:r>
        <w:rPr>
          <w:rFonts w:ascii="Times New Roman" w:cs="Times New Roman" w:eastAsia="Times New Roman" w:hAnsi="Times New Roman"/>
          <w:sz w:val="22"/>
          <w:szCs w:val="22"/>
          <w:color w:val="auto"/>
        </w:rPr>
        <w:t xml:space="preserve">7.3.2 </w:t>
      </w:r>
      <w:r>
        <w:rPr>
          <w:rFonts w:ascii="Times New Roman" w:cs="Times New Roman" w:eastAsia="Times New Roman" w:hAnsi="Times New Roman"/>
          <w:sz w:val="22"/>
          <w:szCs w:val="22"/>
          <w:i w:val="1"/>
          <w:iCs w:val="1"/>
          <w:color w:val="auto"/>
        </w:rPr>
        <w:t>Prior to the Option Exercise</w:t>
      </w:r>
      <w:r>
        <w:rPr>
          <w:rFonts w:ascii="Times New Roman" w:cs="Times New Roman" w:eastAsia="Times New Roman" w:hAnsi="Times New Roman"/>
          <w:sz w:val="22"/>
          <w:szCs w:val="22"/>
          <w:color w:val="auto"/>
        </w:rPr>
        <w:t xml:space="preserve">. Prior to ArriVent’s exercise of the Option, Aarvik shall have the first right, but not the obligation, to defend and control the defense of any such Third Party claim, suit, or proceeding concerning any Product Specific Collaboration Patent at its own cost and expense, using counsel of its own choice; provided, that, if Aarvik decides not to defend any such claim, then Aarvik shall provide reasonable prior written notice to ArriVent of such intention (which notice shall, where reasonably practical, be given no later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prior to the next deadline for any action that may be taken with respect to such suit), and ArriVent shall thereupon have the option to assume the control and direction of the defense, at its sole cost and expense; provided that, in deciding whether to defend such claim, suit, proceeding or allegation, ArriVent shall take into consideration Aarvik’s business reasons for deciding not to defend such claim, suit, proceeding or allegation.</w:t>
      </w:r>
    </w:p>
    <w:p>
      <w:pPr>
        <w:spacing w:after="0" w:line="176" w:lineRule="exact"/>
        <w:rPr>
          <w:sz w:val="20"/>
          <w:szCs w:val="20"/>
          <w:color w:val="auto"/>
        </w:rPr>
      </w:pPr>
    </w:p>
    <w:p>
      <w:pPr>
        <w:jc w:val="both"/>
        <w:ind w:left="240" w:right="259" w:firstLine="1296"/>
        <w:spacing w:after="0" w:line="237" w:lineRule="auto"/>
        <w:rPr>
          <w:sz w:val="20"/>
          <w:szCs w:val="20"/>
          <w:color w:val="auto"/>
        </w:rPr>
      </w:pPr>
      <w:r>
        <w:rPr>
          <w:rFonts w:ascii="Times New Roman" w:cs="Times New Roman" w:eastAsia="Times New Roman" w:hAnsi="Times New Roman"/>
          <w:sz w:val="22"/>
          <w:szCs w:val="22"/>
          <w:color w:val="auto"/>
        </w:rPr>
        <w:t xml:space="preserve">7.3.3 </w:t>
      </w:r>
      <w:r>
        <w:rPr>
          <w:rFonts w:ascii="Times New Roman" w:cs="Times New Roman" w:eastAsia="Times New Roman" w:hAnsi="Times New Roman"/>
          <w:sz w:val="22"/>
          <w:szCs w:val="22"/>
          <w:i w:val="1"/>
          <w:iCs w:val="1"/>
          <w:color w:val="auto"/>
        </w:rPr>
        <w:t>After the Option Exercise</w:t>
      </w:r>
      <w:r>
        <w:rPr>
          <w:rFonts w:ascii="Times New Roman" w:cs="Times New Roman" w:eastAsia="Times New Roman" w:hAnsi="Times New Roman"/>
          <w:sz w:val="22"/>
          <w:szCs w:val="22"/>
          <w:color w:val="auto"/>
        </w:rPr>
        <w:t>. After ArriVent’s exercise of the Option, Arrivent shall have the first right, but not the obligation, to defend and control the defense of any such Third Party claim, suit, or proceeding concerning any Product Specific Collaboration Patent at its own cost and expense, using counsel of its own choice; provided, that, if Arrivent decides not to defend any such claim, then Arrivent shall provide reasonable prior written notice to Aarvik of such intention (which notice shall, where reasonably practical, be given no</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60" w:name="page61"/>
    <w:bookmarkEnd w:id="60"/>
    <w:p>
      <w:pPr>
        <w:jc w:val="both"/>
        <w:ind w:left="240" w:right="259"/>
        <w:spacing w:after="0" w:line="252" w:lineRule="auto"/>
        <w:rPr>
          <w:sz w:val="20"/>
          <w:szCs w:val="20"/>
          <w:color w:val="auto"/>
        </w:rPr>
      </w:pPr>
      <w:r>
        <w:rPr>
          <w:rFonts w:ascii="Times New Roman" w:cs="Times New Roman" w:eastAsia="Times New Roman" w:hAnsi="Times New Roman"/>
          <w:sz w:val="21"/>
          <w:szCs w:val="21"/>
          <w:color w:val="auto"/>
        </w:rPr>
        <w:t xml:space="preserve">later than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days prior to the next deadline for any action that may be taken with respect to such suit), and Aarvik shall thereupon have the option to assume the control and direction of the defense, at its sole cost and expense; provided that, in deciding whether to defend such claim, suit, proceeding or allegation, Aaarvik shall take into consideration ArriVent’s business reasons for deciding not to defend such claim, suit, proceeding or allegation.</w:t>
      </w:r>
    </w:p>
    <w:p>
      <w:pPr>
        <w:spacing w:after="0" w:line="163" w:lineRule="exact"/>
        <w:rPr>
          <w:sz w:val="20"/>
          <w:szCs w:val="20"/>
          <w:color w:val="auto"/>
        </w:rPr>
      </w:pPr>
    </w:p>
    <w:p>
      <w:pPr>
        <w:jc w:val="both"/>
        <w:ind w:left="240" w:right="25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7.3.4 </w:t>
      </w:r>
      <w:r>
        <w:rPr>
          <w:rFonts w:ascii="Times New Roman" w:cs="Times New Roman" w:eastAsia="Times New Roman" w:hAnsi="Times New Roman"/>
          <w:sz w:val="22"/>
          <w:szCs w:val="22"/>
          <w:i w:val="1"/>
          <w:iCs w:val="1"/>
          <w:color w:val="auto"/>
        </w:rPr>
        <w:t>Cooperation</w:t>
      </w:r>
      <w:r>
        <w:rPr>
          <w:rFonts w:ascii="Times New Roman" w:cs="Times New Roman" w:eastAsia="Times New Roman" w:hAnsi="Times New Roman"/>
          <w:sz w:val="22"/>
          <w:szCs w:val="22"/>
          <w:color w:val="auto"/>
        </w:rPr>
        <w:t>. In the event the Party controlling the defense in accordance with this Section 7.3 (the “</w:t>
      </w:r>
      <w:r>
        <w:rPr>
          <w:rFonts w:ascii="Times New Roman" w:cs="Times New Roman" w:eastAsia="Times New Roman" w:hAnsi="Times New Roman"/>
          <w:sz w:val="22"/>
          <w:szCs w:val="22"/>
          <w:b w:val="1"/>
          <w:bCs w:val="1"/>
          <w:color w:val="auto"/>
        </w:rPr>
        <w:t>Controlling Party</w:t>
      </w:r>
      <w:r>
        <w:rPr>
          <w:rFonts w:ascii="Times New Roman" w:cs="Times New Roman" w:eastAsia="Times New Roman" w:hAnsi="Times New Roman"/>
          <w:sz w:val="22"/>
          <w:szCs w:val="22"/>
          <w:color w:val="auto"/>
        </w:rPr>
        <w:t>”) finds it necessary or desirable for the other Party (the “</w:t>
      </w:r>
      <w:r>
        <w:rPr>
          <w:rFonts w:ascii="Times New Roman" w:cs="Times New Roman" w:eastAsia="Times New Roman" w:hAnsi="Times New Roman"/>
          <w:sz w:val="22"/>
          <w:szCs w:val="22"/>
          <w:b w:val="1"/>
          <w:bCs w:val="1"/>
          <w:color w:val="auto"/>
        </w:rPr>
        <w:t>Non-Controlling Party</w:t>
      </w:r>
      <w:r>
        <w:rPr>
          <w:rFonts w:ascii="Times New Roman" w:cs="Times New Roman" w:eastAsia="Times New Roman" w:hAnsi="Times New Roman"/>
          <w:sz w:val="22"/>
          <w:szCs w:val="22"/>
          <w:color w:val="auto"/>
        </w:rPr>
        <w:t>”) to join the Controlling Party as a party to any such action, the Parties shall cooperate to execute all papers and perform such acts as shall be reasonably required for the Non-Controlling Party to join such action, all at the Controlling Party’s sole cost and expense; provided that the Non-Controlling Party may be represented by its own counsel at the Non-Controlling Party’s discretion and sole cost and expense. Each Party shall keep the other Party reasonably informed of all material developments in connection with any such claim, suit, or proceeding set forth in this Section 7.3. Regardless of whether the Non-Controlling Party is joined as a party to an action under this Section 7.3, the Non-Controlling Party agrees to provide reasonable cooperation and assistance of a technical nature which the Controlling Party may require in the defense of any such action.</w:t>
      </w:r>
    </w:p>
    <w:p>
      <w:pPr>
        <w:spacing w:after="0" w:line="185" w:lineRule="exact"/>
        <w:rPr>
          <w:sz w:val="20"/>
          <w:szCs w:val="20"/>
          <w:color w:val="auto"/>
        </w:rPr>
      </w:pPr>
    </w:p>
    <w:p>
      <w:pPr>
        <w:jc w:val="both"/>
        <w:ind w:left="240" w:right="25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7.3.5 </w:t>
      </w:r>
      <w:r>
        <w:rPr>
          <w:rFonts w:ascii="Times New Roman" w:cs="Times New Roman" w:eastAsia="Times New Roman" w:hAnsi="Times New Roman"/>
          <w:sz w:val="22"/>
          <w:szCs w:val="22"/>
          <w:i w:val="1"/>
          <w:iCs w:val="1"/>
          <w:color w:val="auto"/>
        </w:rPr>
        <w:t>Recovery</w:t>
      </w:r>
      <w:r>
        <w:rPr>
          <w:rFonts w:ascii="Times New Roman" w:cs="Times New Roman" w:eastAsia="Times New Roman" w:hAnsi="Times New Roman"/>
          <w:sz w:val="22"/>
          <w:szCs w:val="22"/>
          <w:color w:val="auto"/>
        </w:rPr>
        <w:t>. Except as otherwise agreed by the Parties in connection with a cost sharing arrangement, any recovery realized as a result of such litigation described in this Section 7.3 (whether by way of settlement or otherwise) shall be first, allocated to reimburse the Parties for their costs and expenses in making such recovery (which amounts shall be allocated pro rata if insufficient to cover the totality of such expenses). Any remainder after such reimbursement is made shall be retained by the Party that has exercised its right to defend or control the defense of any such Third Party claim, suit or proceeding.</w:t>
      </w:r>
    </w:p>
    <w:p>
      <w:pPr>
        <w:spacing w:after="0" w:line="180"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240" w:right="259" w:firstLine="1296"/>
        <w:spacing w:after="0" w:line="246" w:lineRule="auto"/>
        <w:rPr>
          <w:sz w:val="20"/>
          <w:szCs w:val="20"/>
          <w:color w:val="auto"/>
        </w:rPr>
      </w:pPr>
      <w:r>
        <w:rPr>
          <w:rFonts w:ascii="Times New Roman" w:cs="Times New Roman" w:eastAsia="Times New Roman" w:hAnsi="Times New Roman"/>
          <w:sz w:val="22"/>
          <w:szCs w:val="22"/>
          <w:color w:val="auto"/>
        </w:rPr>
        <w:t xml:space="preserve">7.4.1 </w:t>
      </w: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During the Term, each Party shall promptly notify the other in writing of any alleged or threatened infringement of any Aarvik Patent or Product Specific Collaboration Patent (each, an “</w:t>
      </w:r>
      <w:r>
        <w:rPr>
          <w:rFonts w:ascii="Times New Roman" w:cs="Times New Roman" w:eastAsia="Times New Roman" w:hAnsi="Times New Roman"/>
          <w:sz w:val="22"/>
          <w:szCs w:val="22"/>
          <w:b w:val="1"/>
          <w:bCs w:val="1"/>
          <w:color w:val="auto"/>
        </w:rPr>
        <w:t>Infringement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left="240" w:right="259" w:firstLine="1296"/>
        <w:spacing w:after="0" w:line="234" w:lineRule="auto"/>
        <w:rPr>
          <w:sz w:val="20"/>
          <w:szCs w:val="20"/>
          <w:color w:val="auto"/>
        </w:rPr>
      </w:pPr>
      <w:r>
        <w:rPr>
          <w:rFonts w:ascii="Times New Roman" w:cs="Times New Roman" w:eastAsia="Times New Roman" w:hAnsi="Times New Roman"/>
          <w:sz w:val="22"/>
          <w:szCs w:val="22"/>
          <w:color w:val="auto"/>
        </w:rPr>
        <w:t xml:space="preserve">7.4.2 </w:t>
      </w:r>
      <w:r>
        <w:rPr>
          <w:rFonts w:ascii="Times New Roman" w:cs="Times New Roman" w:eastAsia="Times New Roman" w:hAnsi="Times New Roman"/>
          <w:sz w:val="22"/>
          <w:szCs w:val="22"/>
          <w:i w:val="1"/>
          <w:iCs w:val="1"/>
          <w:color w:val="auto"/>
        </w:rPr>
        <w:t>Prior to Option Exercise</w:t>
      </w:r>
      <w:r>
        <w:rPr>
          <w:rFonts w:ascii="Times New Roman" w:cs="Times New Roman" w:eastAsia="Times New Roman" w:hAnsi="Times New Roman"/>
          <w:sz w:val="22"/>
          <w:szCs w:val="22"/>
          <w:color w:val="auto"/>
        </w:rPr>
        <w:t xml:space="preserve">. Prior to ArriVent’s exercise of the Option with respect to the Collaboration Program,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have the first right, but not the obligation, to enforce any relevant Product Specific Collaboration Patent, with respect to any such Infringement. In the event that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decides not to prosecute any such Infringement of a Product Specific Collaboration Patent,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provide reasonable prior written notice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such intention (which notice shall, where reasonably practical, be given no later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prior to the next deadline for any action that may be taken with respect to such suit),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thereupon have the option to assume the control and direction of the prosecution of such Infringement, at its sole cost and expense; provided that, in deciding whether to exercise its option and in prosecuting such Infringement,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take into consideration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reasons for deciding not to prosecute the infringement.</w:t>
      </w:r>
    </w:p>
    <w:p>
      <w:pPr>
        <w:spacing w:after="0" w:line="176"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7.4.3 </w:t>
      </w:r>
      <w:r>
        <w:rPr>
          <w:rFonts w:ascii="Times New Roman" w:cs="Times New Roman" w:eastAsia="Times New Roman" w:hAnsi="Times New Roman"/>
          <w:sz w:val="22"/>
          <w:szCs w:val="22"/>
          <w:i w:val="1"/>
          <w:iCs w:val="1"/>
          <w:color w:val="auto"/>
        </w:rPr>
        <w:t>After Option Exercise</w:t>
      </w:r>
      <w:r>
        <w:rPr>
          <w:rFonts w:ascii="Times New Roman" w:cs="Times New Roman" w:eastAsia="Times New Roman" w:hAnsi="Times New Roman"/>
          <w:sz w:val="22"/>
          <w:szCs w:val="22"/>
          <w:color w:val="auto"/>
        </w:rPr>
        <w:t xml:space="preserve">. After ArriVent’s exercise of the Option with respect to the Collaboration Program,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have the first right, but not the obligation, to enforce any relevant Product Specific Collaboration Patent, with respect to any such Infringement. In the event that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decides not to prosecute any such Infringement of a Product Specific Collaboration Patent,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provide reasonable prior written notice to</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9019"/>
          </w:cols>
          <w:pgMar w:left="1440" w:top="1107"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type w:val="continuous"/>
        </w:sectPr>
      </w:pPr>
    </w:p>
    <w:bookmarkStart w:id="61" w:name="page62"/>
    <w:bookmarkEnd w:id="61"/>
    <w:p>
      <w:pPr>
        <w:ind w:left="800" w:hanging="554"/>
        <w:spacing w:after="0"/>
        <w:tabs>
          <w:tab w:leader="none" w:pos="80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of such intention (which notice shall, where reasonably practical, be given no later than</w:t>
      </w:r>
    </w:p>
    <w:p>
      <w:pPr>
        <w:spacing w:after="0" w:line="14" w:lineRule="exact"/>
        <w:rPr>
          <w:rFonts w:ascii="Times New Roman" w:cs="Times New Roman" w:eastAsia="Times New Roman" w:hAnsi="Times New Roman"/>
          <w:sz w:val="22"/>
          <w:szCs w:val="22"/>
          <w:b w:val="1"/>
          <w:bCs w:val="1"/>
          <w:color w:val="auto"/>
        </w:rPr>
      </w:pPr>
    </w:p>
    <w:p>
      <w:pPr>
        <w:jc w:val="both"/>
        <w:ind w:left="240" w:right="259" w:firstLine="6"/>
        <w:spacing w:after="0" w:line="241" w:lineRule="auto"/>
        <w:tabs>
          <w:tab w:leader="none" w:pos="762"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days prior to the next deadline for any action that may be taken with respect to such suit), and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shall thereupon have the option to assume the control and direction of the prosecution of such Infringement, at its sole cost and expense; provided that, in deciding whether to exercise its option and in prosecuting such Infringement,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shall take into consideration</w:t>
      </w:r>
    </w:p>
    <w:p>
      <w:pPr>
        <w:spacing w:after="0" w:line="2" w:lineRule="exact"/>
        <w:rPr>
          <w:rFonts w:ascii="Times New Roman" w:cs="Times New Roman" w:eastAsia="Times New Roman" w:hAnsi="Times New Roman"/>
          <w:sz w:val="21"/>
          <w:szCs w:val="21"/>
          <w:b w:val="1"/>
          <w:bCs w:val="1"/>
          <w:color w:val="auto"/>
        </w:rPr>
      </w:pPr>
    </w:p>
    <w:p>
      <w:pPr>
        <w:jc w:val="both"/>
        <w:ind w:left="240" w:right="259" w:firstLine="6"/>
        <w:spacing w:after="0" w:line="232" w:lineRule="auto"/>
        <w:tabs>
          <w:tab w:leader="none" w:pos="77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business reasons for deciding not to prosecute the infringement. Further, if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desire to enforce (i) a Patent (including, without limitation, a Product Specific Collaboration Patent) that is subject to a terminal disclaimer over a Patent Controlled by the other Party, or (ii) a Patent over which a terminal disclaimer Controlled by the other Party has been filed, it will inform the other Party before brining such enforcement action. If either Party believes that joint enforcement of both Patents is necessary to maintain enforceability of either Patent, the Parties will cooperate in good faith in such enforcement of such Patents ot maintain enforceability.</w:t>
      </w:r>
    </w:p>
    <w:p>
      <w:pPr>
        <w:spacing w:after="0" w:line="177" w:lineRule="exact"/>
        <w:rPr>
          <w:sz w:val="20"/>
          <w:szCs w:val="20"/>
          <w:color w:val="auto"/>
        </w:rPr>
      </w:pPr>
    </w:p>
    <w:p>
      <w:pPr>
        <w:jc w:val="both"/>
        <w:ind w:left="240" w:right="259" w:firstLine="1296"/>
        <w:spacing w:after="0" w:line="232" w:lineRule="auto"/>
        <w:rPr>
          <w:sz w:val="20"/>
          <w:szCs w:val="20"/>
          <w:color w:val="auto"/>
        </w:rPr>
      </w:pPr>
      <w:r>
        <w:rPr>
          <w:rFonts w:ascii="Times New Roman" w:cs="Times New Roman" w:eastAsia="Times New Roman" w:hAnsi="Times New Roman"/>
          <w:sz w:val="22"/>
          <w:szCs w:val="22"/>
          <w:color w:val="auto"/>
        </w:rPr>
        <w:t xml:space="preserve">7.4.4 </w:t>
      </w:r>
      <w:r>
        <w:rPr>
          <w:rFonts w:ascii="Times New Roman" w:cs="Times New Roman" w:eastAsia="Times New Roman" w:hAnsi="Times New Roman"/>
          <w:sz w:val="22"/>
          <w:szCs w:val="22"/>
          <w:i w:val="1"/>
          <w:iCs w:val="1"/>
          <w:color w:val="auto"/>
        </w:rPr>
        <w:t>Cooperation</w:t>
      </w:r>
      <w:r>
        <w:rPr>
          <w:rFonts w:ascii="Times New Roman" w:cs="Times New Roman" w:eastAsia="Times New Roman" w:hAnsi="Times New Roman"/>
          <w:sz w:val="22"/>
          <w:szCs w:val="22"/>
          <w:color w:val="auto"/>
        </w:rPr>
        <w:t>. In the event a Party prosecutes Infringement of a Patent pursuant to this Section 7.4 (the “</w:t>
      </w:r>
      <w:r>
        <w:rPr>
          <w:rFonts w:ascii="Times New Roman" w:cs="Times New Roman" w:eastAsia="Times New Roman" w:hAnsi="Times New Roman"/>
          <w:sz w:val="22"/>
          <w:szCs w:val="22"/>
          <w:b w:val="1"/>
          <w:bCs w:val="1"/>
          <w:color w:val="auto"/>
        </w:rPr>
        <w:t>Prosecuting Party</w:t>
      </w:r>
      <w:r>
        <w:rPr>
          <w:rFonts w:ascii="Times New Roman" w:cs="Times New Roman" w:eastAsia="Times New Roman" w:hAnsi="Times New Roman"/>
          <w:sz w:val="22"/>
          <w:szCs w:val="22"/>
          <w:color w:val="auto"/>
        </w:rPr>
        <w:t>”) and the Prosecuting Party finds it necessary or desirable for the other Party (the “</w:t>
      </w:r>
      <w:r>
        <w:rPr>
          <w:rFonts w:ascii="Times New Roman" w:cs="Times New Roman" w:eastAsia="Times New Roman" w:hAnsi="Times New Roman"/>
          <w:sz w:val="22"/>
          <w:szCs w:val="22"/>
          <w:b w:val="1"/>
          <w:bCs w:val="1"/>
          <w:color w:val="auto"/>
        </w:rPr>
        <w:t>Non-Prosecuting Party</w:t>
      </w:r>
      <w:r>
        <w:rPr>
          <w:rFonts w:ascii="Times New Roman" w:cs="Times New Roman" w:eastAsia="Times New Roman" w:hAnsi="Times New Roman"/>
          <w:sz w:val="22"/>
          <w:szCs w:val="22"/>
          <w:color w:val="auto"/>
        </w:rPr>
        <w:t>”) to join the Prosecuting Party as a party to any such action, the Non-Prosecuting Party shall, at the Prosecuting Party’s request, join as a party to such claim, suit or proceeding and participate at the Prosecuting Party’s cost and expense; provided that, (i) the Prosecuting Party shall retain control of the prosecution of such claim, suit or proceeding, and (ii) the Non-Prosecuting Party may be represented by its own counsel at the Non-Prosecuting Party’s discretion and sole cost and expense. During any such claim, suit, or proceeding in which the Non-Prosecuting Party has joined pursuant to this Section 7.4.4, the Prosecuting Party shall: (a) provide the Non-Prosecuting Party with drafts of all official papers and statements (whether written or oral) prior to their submission in such claim, suit, or proceeding, in sufficient time to allow the Non-Prosecuting Party to review, consider and substantively comment thereon; (b) reasonably consider taking action to incorporate the Non-Prosecuting Party’s comments on all such official papers and statements; and (c) not settle any such claim, suit, or proceeding that imposes any obligations on the Non-Prosecuting Party. Regardless of whether the Non-Prosecuting Party is joined as a party to an action under this Section 7.4.4, the Non-Prosecuting Party agrees to provide reasonable cooperation and assistance of a technical nature which the Prosecuting Party may require in the prosecution of any such action.</w:t>
      </w:r>
    </w:p>
    <w:p>
      <w:pPr>
        <w:spacing w:after="0" w:line="187" w:lineRule="exact"/>
        <w:rPr>
          <w:sz w:val="20"/>
          <w:szCs w:val="20"/>
          <w:color w:val="auto"/>
        </w:rPr>
      </w:pPr>
    </w:p>
    <w:p>
      <w:pPr>
        <w:jc w:val="both"/>
        <w:ind w:left="240" w:right="25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7.4.5 </w:t>
      </w:r>
      <w:r>
        <w:rPr>
          <w:rFonts w:ascii="Times New Roman" w:cs="Times New Roman" w:eastAsia="Times New Roman" w:hAnsi="Times New Roman"/>
          <w:sz w:val="22"/>
          <w:szCs w:val="22"/>
          <w:i w:val="1"/>
          <w:iCs w:val="1"/>
          <w:color w:val="auto"/>
        </w:rPr>
        <w:t>Recovery</w:t>
      </w:r>
      <w:r>
        <w:rPr>
          <w:rFonts w:ascii="Times New Roman" w:cs="Times New Roman" w:eastAsia="Times New Roman" w:hAnsi="Times New Roman"/>
          <w:sz w:val="22"/>
          <w:szCs w:val="22"/>
          <w:color w:val="auto"/>
        </w:rPr>
        <w:t>. Except as otherwise agreed by the Parties in connection with a cost sharing arrangement, any recovery realized as a result of such litigation described in this Section 7.4 (whether by way of settlement or otherwise) shall be first allocated to reimburse the Parties for their costs and expenses in making such recovery (which amounts shall be allocated pro rata if insufficient to cover the totality of such expenses). Any remainder after such reimbursement is made shall be retained by the Party that has exercised its right to enforce the Infringement.</w:t>
      </w:r>
    </w:p>
    <w:p>
      <w:pPr>
        <w:spacing w:after="0" w:line="180" w:lineRule="exact"/>
        <w:rPr>
          <w:sz w:val="20"/>
          <w:szCs w:val="20"/>
          <w:color w:val="auto"/>
        </w:rPr>
      </w:pPr>
    </w:p>
    <w:p>
      <w:pPr>
        <w:jc w:val="both"/>
        <w:ind w:left="240" w:right="259" w:firstLine="540"/>
        <w:spacing w:after="0" w:line="235"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Patent Listing</w:t>
      </w:r>
      <w:r>
        <w:rPr>
          <w:rFonts w:ascii="Times New Roman" w:cs="Times New Roman" w:eastAsia="Times New Roman" w:hAnsi="Times New Roman"/>
          <w:sz w:val="22"/>
          <w:szCs w:val="22"/>
          <w:color w:val="auto"/>
        </w:rPr>
        <w:t>. After ArriVent exercises the Option, as between Parties, ArriVent shall have full decision-making power and responsibility for performing all patent listing acts and requirements with respect to any Product Specific Collaboration Patent, including such Patents that claim either: the active drug substance of the applicable Compound, the applicable Product itself (formulation and composition), or an approved method of use for the applicable Product that have become the subject of an MAA submitted to any applicable Regulatory Authority, all so-called “</w:t>
      </w:r>
      <w:r>
        <w:rPr>
          <w:rFonts w:ascii="Times New Roman" w:cs="Times New Roman" w:eastAsia="Times New Roman" w:hAnsi="Times New Roman"/>
          <w:sz w:val="22"/>
          <w:szCs w:val="22"/>
          <w:b w:val="1"/>
          <w:bCs w:val="1"/>
          <w:color w:val="auto"/>
        </w:rPr>
        <w:t>Patent Register</w:t>
      </w:r>
      <w:r>
        <w:rPr>
          <w:rFonts w:ascii="Times New Roman" w:cs="Times New Roman" w:eastAsia="Times New Roman" w:hAnsi="Times New Roman"/>
          <w:sz w:val="22"/>
          <w:szCs w:val="22"/>
          <w:color w:val="auto"/>
        </w:rPr>
        <w:t>” listings as required in Canada, all acts required of the Reference Product Sponsor under the US Biologicals Price Competition and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5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62" w:name="page63"/>
    <w:bookmarkEnd w:id="62"/>
    <w:p>
      <w:pPr>
        <w:jc w:val="both"/>
        <w:ind w:left="240" w:right="259"/>
        <w:spacing w:after="0" w:line="246" w:lineRule="auto"/>
        <w:rPr>
          <w:sz w:val="20"/>
          <w:szCs w:val="20"/>
          <w:color w:val="auto"/>
        </w:rPr>
      </w:pPr>
      <w:r>
        <w:rPr>
          <w:rFonts w:ascii="Times New Roman" w:cs="Times New Roman" w:eastAsia="Times New Roman" w:hAnsi="Times New Roman"/>
          <w:sz w:val="22"/>
          <w:szCs w:val="22"/>
          <w:color w:val="auto"/>
        </w:rPr>
        <w:t>Innovation Act of 2009 (42 U.S.C. § 262) (“</w:t>
      </w:r>
      <w:r>
        <w:rPr>
          <w:rFonts w:ascii="Times New Roman" w:cs="Times New Roman" w:eastAsia="Times New Roman" w:hAnsi="Times New Roman"/>
          <w:sz w:val="22"/>
          <w:szCs w:val="22"/>
          <w:b w:val="1"/>
          <w:bCs w:val="1"/>
          <w:color w:val="auto"/>
        </w:rPr>
        <w:t>Biologics Act</w:t>
      </w:r>
      <w:r>
        <w:rPr>
          <w:rFonts w:ascii="Times New Roman" w:cs="Times New Roman" w:eastAsia="Times New Roman" w:hAnsi="Times New Roman"/>
          <w:sz w:val="22"/>
          <w:szCs w:val="22"/>
          <w:color w:val="auto"/>
        </w:rPr>
        <w:t>”), or any foreign equivalents thereof. Aarvik shall cooperate with ArriVent, as required, to perform any of the above-referenced listing acts.</w:t>
      </w:r>
    </w:p>
    <w:p>
      <w:pPr>
        <w:spacing w:after="0" w:line="171" w:lineRule="exact"/>
        <w:rPr>
          <w:sz w:val="20"/>
          <w:szCs w:val="20"/>
          <w:color w:val="auto"/>
        </w:rPr>
      </w:pPr>
    </w:p>
    <w:p>
      <w:pPr>
        <w:jc w:val="both"/>
        <w:ind w:left="240" w:right="259" w:firstLine="540"/>
        <w:spacing w:after="0" w:line="235"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ArriVent shall have the sole right and be solely responsible for the selection of all trademarks which it employs in connection with a Product worldwide and shall own and control such trademarks. ArriVent shall be responsible for registration and maintenance of all such trademarks. Nothing in this Agreement shall be construed as a grant of rights, by license or otherwise, to Aarvik to use such trademarks or any other trademarks owned by ArriVent for any purpose. ArriVent shall own such trademarks and shall retain such ownership upon termination or expiration of this Agreement.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78" w:lineRule="exact"/>
        <w:rPr>
          <w:sz w:val="20"/>
          <w:szCs w:val="20"/>
          <w:color w:val="auto"/>
        </w:rPr>
      </w:pPr>
    </w:p>
    <w:p>
      <w:pPr>
        <w:jc w:val="both"/>
        <w:ind w:left="240" w:right="259" w:firstLine="540"/>
        <w:spacing w:after="0" w:line="243"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Confidentiality Obligation</w:t>
      </w:r>
      <w:r>
        <w:rPr>
          <w:rFonts w:ascii="Times New Roman" w:cs="Times New Roman" w:eastAsia="Times New Roman" w:hAnsi="Times New Roman"/>
          <w:sz w:val="21"/>
          <w:szCs w:val="21"/>
          <w:color w:val="auto"/>
        </w:rPr>
        <w:t xml:space="preserve">. At all times during the Term and for a period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years following the expiration or termination of this Agreement in its entirety, each Party shall, and shall cause its Representatives, Affiliates, and any Third Parties permitted to receive Confidential Information under this Agreement from such Party, to keep confidential and not publish or otherwise disclose to a Third Party (other than as expressly permitted hereunder) and not use, directly or indirectly, for any purpose, any Confidential Information furnished or otherwise made known to it, directly or indirectly, by the other Party, except to the extent such disclosure or use is expressly permitted by the terms of this Agreement or is reasonably necessary or useful for the performance of, or the exercise of such Party’s rights under, this Agreement.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any technical, business, or other information provided by or on behalf of one Party to the other Party in connection with this Agreement, whether prior to, on, or after the Original Effective Date, including information relating to the terms of this Agreement, any research and development contemplated under this Agreement, any Know-How with respect thereto developed by or on behalf of the disclosing Party or its Affiliates, or the scientific, regulatory or business affairs or other activities of either Party. The Aarvik Patents shall be Confidential Information of Aarvik and are not intended to be disclosed to ArriVent, provided, however, that if the Aarvik Patents are disclosed to ArriVent only in-house and external legal counsel for ArriVent shall have access thereto. The Parties hereby agree that any Know-How generated under the SOWs for the Collaboration Program, and the Product Specific Collaboration Patents, shall be considered Confidential Information of both Parties. Only in-house and external legal counsel for ArriVent shall have access to the Product Specific Collaboration Patents for the purposes of prosecuting such Product Specific Collaboration Patents under Section 7.2.1.</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If ArriVent exercises the Option before publication of the Product Specific Collaboration Patents,</w:t>
      </w:r>
    </w:p>
    <w:p>
      <w:pPr>
        <w:spacing w:after="0" w:line="26" w:lineRule="exact"/>
        <w:rPr>
          <w:sz w:val="20"/>
          <w:szCs w:val="20"/>
          <w:color w:val="auto"/>
        </w:rPr>
      </w:pPr>
    </w:p>
    <w:p>
      <w:pPr>
        <w:jc w:val="both"/>
        <w:ind w:left="240" w:right="259" w:firstLine="6"/>
        <w:spacing w:after="0" w:line="231" w:lineRule="auto"/>
        <w:tabs>
          <w:tab w:leader="none" w:pos="50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ArriVent may share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only with ArriVent’s internal research team and Third Party service providers directly involved with Exploitation for ArriVent, where such Third Party service providers are disclosed to and approved Aarvik in advance in writing (which approval shall not be unreasonably withheld, conditioned or delayed) provided that such Third Parties shall be bound by a written agreement having confidentiality and non-use terms and conditions at least as stringent as those in this Agreement, and (ii) if the Initial Lead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Antibody is replaced with the Backup Lead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Antibody pursuant to Section 3.8.3, ArriVent may share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only with ArriVent’s internal research team and Third Party service providers directly involved with Exploitation for ArriVent, where such Third Parties are disclosed to and approved by Aarvik in advance in writing (which approval shall not be unreasonably withheld, conditioned or delayed) provided that such Third Parties shall be bound by a written agreement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9019"/>
          </w:cols>
          <w:pgMar w:left="1440" w:top="1107"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6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type w:val="continuous"/>
        </w:sectPr>
      </w:pPr>
    </w:p>
    <w:bookmarkStart w:id="63" w:name="page64"/>
    <w:bookmarkEnd w:id="63"/>
    <w:p>
      <w:pPr>
        <w:jc w:val="both"/>
        <w:ind w:left="240" w:right="259"/>
        <w:spacing w:after="0" w:line="246" w:lineRule="auto"/>
        <w:rPr>
          <w:sz w:val="20"/>
          <w:szCs w:val="20"/>
          <w:color w:val="auto"/>
        </w:rPr>
      </w:pPr>
      <w:r>
        <w:rPr>
          <w:rFonts w:ascii="Times New Roman" w:cs="Times New Roman" w:eastAsia="Times New Roman" w:hAnsi="Times New Roman"/>
          <w:sz w:val="21"/>
          <w:szCs w:val="21"/>
          <w:color w:val="auto"/>
        </w:rPr>
        <w:t xml:space="preserve">having confidentiality and non-use terms and conditions at least as stringent as those in this Agreement. Prior to the publication of the Product Specific Collaboration Patents and continuing after the publication of the Product Specific Collaboration Patents until ArriVent’s filing of an IND with respect to a Product, ArriVent shall not specifically identify in the Product Specific Collaboration Patents for any Third Party the Initial Lead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Antibody or the Backup Lead</w:t>
      </w:r>
    </w:p>
    <w:p>
      <w:pPr>
        <w:spacing w:after="0" w:line="1" w:lineRule="exact"/>
        <w:rPr>
          <w:sz w:val="20"/>
          <w:szCs w:val="20"/>
          <w:color w:val="auto"/>
        </w:rPr>
      </w:pPr>
    </w:p>
    <w:p>
      <w:pPr>
        <w:jc w:val="both"/>
        <w:ind w:left="240" w:right="259" w:firstLine="6"/>
        <w:spacing w:after="0" w:line="233" w:lineRule="auto"/>
        <w:tabs>
          <w:tab w:leader="none" w:pos="762"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Antibody unless disclosed to and approved by Aarvik in advance in writing (which approval shall not be unreasonably withheld, conditioned or delayed). The restrictions set forth in this paragraph are in addition to the other confidentiality and non-use restrictions set forth in this Agreement, and the permitted disclosure provisions in Sections 8.2.4 and 8.2.6 shall not apply thereto.</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The  confidentiality  and  non-use  obligations  under  this  Section  8.1  with  respect  to  any</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Confidential Information shall not include any information that:</w:t>
      </w:r>
    </w:p>
    <w:p>
      <w:pPr>
        <w:spacing w:after="0" w:line="182"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8.1.1 is or hereafter becomes part of the public domain by public use, publication, general knowledge or the like through no wrongful act, fault or negligence on the part of the receiving Party;</w:t>
      </w:r>
    </w:p>
    <w:p>
      <w:pPr>
        <w:spacing w:after="0" w:line="173"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8.1.2 can be demonstrated by documentation or other competent proof to have been in the receiving Party’s possession prior to disclosure by the disclosing Party without any obligation of confidentiality with respect to such information;</w:t>
      </w:r>
    </w:p>
    <w:p>
      <w:pPr>
        <w:spacing w:after="0" w:line="173" w:lineRule="exact"/>
        <w:rPr>
          <w:sz w:val="20"/>
          <w:szCs w:val="20"/>
          <w:color w:val="auto"/>
        </w:rPr>
      </w:pPr>
    </w:p>
    <w:p>
      <w:pPr>
        <w:jc w:val="both"/>
        <w:ind w:left="240" w:right="259" w:firstLine="1296"/>
        <w:spacing w:after="0" w:line="258" w:lineRule="auto"/>
        <w:rPr>
          <w:sz w:val="20"/>
          <w:szCs w:val="20"/>
          <w:color w:val="auto"/>
        </w:rPr>
      </w:pPr>
      <w:r>
        <w:rPr>
          <w:rFonts w:ascii="Times New Roman" w:cs="Times New Roman" w:eastAsia="Times New Roman" w:hAnsi="Times New Roman"/>
          <w:sz w:val="22"/>
          <w:szCs w:val="22"/>
          <w:color w:val="auto"/>
        </w:rPr>
        <w:t>8.1.3 is subsequently received by the receiving Party from a Third Party who is not bound by any obligation of confidentiality with respect to such information;</w:t>
      </w:r>
    </w:p>
    <w:p>
      <w:pPr>
        <w:spacing w:after="0" w:line="158" w:lineRule="exact"/>
        <w:rPr>
          <w:sz w:val="20"/>
          <w:szCs w:val="20"/>
          <w:color w:val="auto"/>
        </w:rPr>
      </w:pPr>
    </w:p>
    <w:p>
      <w:pPr>
        <w:jc w:val="both"/>
        <w:ind w:left="240" w:right="259" w:firstLine="1296"/>
        <w:spacing w:after="0" w:line="258" w:lineRule="auto"/>
        <w:rPr>
          <w:sz w:val="20"/>
          <w:szCs w:val="20"/>
          <w:color w:val="auto"/>
        </w:rPr>
      </w:pPr>
      <w:r>
        <w:rPr>
          <w:rFonts w:ascii="Times New Roman" w:cs="Times New Roman" w:eastAsia="Times New Roman" w:hAnsi="Times New Roman"/>
          <w:sz w:val="22"/>
          <w:szCs w:val="22"/>
          <w:color w:val="auto"/>
        </w:rPr>
        <w:t>8.1.4 has been published by a Third Party or otherwise enters the public domain through no fault of the receiving Party in breach of this Agreement; or</w:t>
      </w:r>
    </w:p>
    <w:p>
      <w:pPr>
        <w:spacing w:after="0" w:line="158"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8.1.5 has been independently developed or acquired by the receiving Party or any of its Affiliates without the aid, application or use of the disclosing Party’s Confidential Information.</w:t>
      </w:r>
    </w:p>
    <w:p>
      <w:pPr>
        <w:spacing w:after="0" w:line="173" w:lineRule="exact"/>
        <w:rPr>
          <w:sz w:val="20"/>
          <w:szCs w:val="20"/>
          <w:color w:val="auto"/>
        </w:rPr>
      </w:pPr>
    </w:p>
    <w:p>
      <w:pPr>
        <w:jc w:val="both"/>
        <w:ind w:left="240" w:right="259"/>
        <w:spacing w:after="0" w:line="235" w:lineRule="auto"/>
        <w:rPr>
          <w:sz w:val="20"/>
          <w:szCs w:val="20"/>
          <w:color w:val="auto"/>
        </w:rPr>
      </w:pPr>
      <w:r>
        <w:rPr>
          <w:rFonts w:ascii="Times New Roman" w:cs="Times New Roman" w:eastAsia="Times New Roman" w:hAnsi="Times New Roman"/>
          <w:sz w:val="22"/>
          <w:szCs w:val="22"/>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78" w:lineRule="exact"/>
        <w:rPr>
          <w:sz w:val="20"/>
          <w:szCs w:val="20"/>
          <w:color w:val="auto"/>
        </w:rPr>
      </w:pPr>
    </w:p>
    <w:p>
      <w:pPr>
        <w:jc w:val="both"/>
        <w:ind w:left="240" w:right="259" w:firstLine="540"/>
        <w:spacing w:after="0" w:line="25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Permitted Disclosures</w:t>
      </w:r>
      <w:r>
        <w:rPr>
          <w:rFonts w:ascii="Times New Roman" w:cs="Times New Roman" w:eastAsia="Times New Roman" w:hAnsi="Times New Roman"/>
          <w:sz w:val="22"/>
          <w:szCs w:val="22"/>
          <w:color w:val="auto"/>
        </w:rPr>
        <w:t>. Each Party may disclose Confidential Information to the extent that such disclosure is:</w:t>
      </w:r>
    </w:p>
    <w:p>
      <w:pPr>
        <w:spacing w:after="0" w:line="158" w:lineRule="exact"/>
        <w:rPr>
          <w:sz w:val="20"/>
          <w:szCs w:val="20"/>
          <w:color w:val="auto"/>
        </w:rPr>
      </w:pPr>
    </w:p>
    <w:p>
      <w:pPr>
        <w:jc w:val="both"/>
        <w:ind w:left="240" w:right="259" w:firstLine="1296"/>
        <w:spacing w:after="0" w:line="239" w:lineRule="auto"/>
        <w:rPr>
          <w:sz w:val="20"/>
          <w:szCs w:val="20"/>
          <w:color w:val="auto"/>
        </w:rPr>
      </w:pPr>
      <w:r>
        <w:rPr>
          <w:rFonts w:ascii="Times New Roman" w:cs="Times New Roman" w:eastAsia="Times New Roman" w:hAnsi="Times New Roman"/>
          <w:sz w:val="22"/>
          <w:szCs w:val="22"/>
          <w:color w:val="auto"/>
        </w:rPr>
        <w:t>8.2.1 made by or on behalf of the receiving Party to the Regulatory Authorities as required in connection with any filing, application or request for an approval or authorization of a Product; provided, however, that reasonable measures shall be taken to assure confidential treatment of such information to the extent practicable and consistent with Applicable Law;</w:t>
      </w:r>
    </w:p>
    <w:p>
      <w:pPr>
        <w:spacing w:after="0" w:line="180" w:lineRule="exact"/>
        <w:rPr>
          <w:sz w:val="20"/>
          <w:szCs w:val="20"/>
          <w:color w:val="auto"/>
        </w:rPr>
      </w:pPr>
    </w:p>
    <w:p>
      <w:pPr>
        <w:jc w:val="both"/>
        <w:ind w:left="240" w:right="259" w:firstLine="1296"/>
        <w:spacing w:after="0" w:line="258" w:lineRule="auto"/>
        <w:rPr>
          <w:sz w:val="20"/>
          <w:szCs w:val="20"/>
          <w:color w:val="auto"/>
        </w:rPr>
      </w:pPr>
      <w:r>
        <w:rPr>
          <w:rFonts w:ascii="Times New Roman" w:cs="Times New Roman" w:eastAsia="Times New Roman" w:hAnsi="Times New Roman"/>
          <w:sz w:val="22"/>
          <w:szCs w:val="22"/>
          <w:color w:val="auto"/>
        </w:rPr>
        <w:t>8.2.2 made by or on behalf of the receiving Party in response to a valid order of a Governmental Authority of competent jurisdiction or, if in the reasonable opinion of the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9019"/>
          </w:cols>
          <w:pgMar w:left="1440" w:top="895"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64" w:name="page65"/>
    <w:bookmarkEnd w:id="64"/>
    <w:p>
      <w:pPr>
        <w:jc w:val="both"/>
        <w:ind w:left="240" w:right="259"/>
        <w:spacing w:after="0" w:line="247" w:lineRule="auto"/>
        <w:rPr>
          <w:sz w:val="20"/>
          <w:szCs w:val="20"/>
          <w:color w:val="auto"/>
        </w:rPr>
      </w:pPr>
      <w:r>
        <w:rPr>
          <w:rFonts w:ascii="Times New Roman" w:cs="Times New Roman" w:eastAsia="Times New Roman" w:hAnsi="Times New Roman"/>
          <w:sz w:val="21"/>
          <w:szCs w:val="21"/>
          <w:color w:val="auto"/>
        </w:rPr>
        <w:t>receiving Party’s legal counsel, such disclosure is otherwise required by Applicable Law (including, for clarity, any disclosure required by Applicable Law on clinicaltrials.gov or disclosure required by reason of filing with securities regulators); provided, however, that the receiving Party shall first have given notice to the disclosing Party and given the disclosing Party</w:t>
      </w:r>
    </w:p>
    <w:p>
      <w:pPr>
        <w:spacing w:after="0" w:line="2" w:lineRule="exact"/>
        <w:rPr>
          <w:sz w:val="20"/>
          <w:szCs w:val="20"/>
          <w:color w:val="auto"/>
        </w:rPr>
      </w:pPr>
    </w:p>
    <w:p>
      <w:pPr>
        <w:jc w:val="both"/>
        <w:ind w:left="240" w:right="259" w:firstLine="6"/>
        <w:spacing w:after="0" w:line="232" w:lineRule="auto"/>
        <w:tabs>
          <w:tab w:leader="none" w:pos="5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reasonable opportunity to quash such order or to obtain a protective order or confidential treatment requiring that the Confidential Information and documents that are the subject of any such order be held in confidence by such court or agency or, if disclosed, be used only for the purposes for which the order was issued and (b) a right to review and comment upon such disclosure, which comments shall be considered in good faith by the receiving Party; and provided further that the Confidential Information disclosed in response to such court or governmental order shall be limited to that information which is legally required to be disclosed in response to such court or governmental order;</w:t>
      </w:r>
    </w:p>
    <w:p>
      <w:pPr>
        <w:spacing w:after="0" w:line="180"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8.2.3 made by or on behalf of the receiving Party to a patent authority as may be reasonably necessary or useful for purposes of obtaining, enforcing or defending a Patent pursuant to the terms of this Agreement in a manner not inconsistent with Article 7; provided, however, that reasonable measures shall be taken to assure confidential treatment of such information, to the extent such protection is available;</w:t>
      </w:r>
    </w:p>
    <w:p>
      <w:pPr>
        <w:spacing w:after="0" w:line="177" w:lineRule="exact"/>
        <w:rPr>
          <w:sz w:val="20"/>
          <w:szCs w:val="20"/>
          <w:color w:val="auto"/>
        </w:rPr>
      </w:pPr>
    </w:p>
    <w:p>
      <w:pPr>
        <w:jc w:val="both"/>
        <w:ind w:left="240" w:right="25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8.2.4 made by the receiving Party or its Affiliates, Sublicensees or subcontractors to its or their attorneys, auditors, advisors, consultants or contractors; provided, however, that such persons shall be subject to obligations of confidentiality and non-use with respect to such Confidential Information substantially similar to the obligations of confidentiality and non-use of the receiving Party pursuant to this Article 8 (with a duration of confidentiality and non-use obligations as appropriate that is no less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years from the date of disclosure);</w:t>
      </w:r>
    </w:p>
    <w:p>
      <w:pPr>
        <w:spacing w:after="0" w:line="181" w:lineRule="exact"/>
        <w:rPr>
          <w:sz w:val="20"/>
          <w:szCs w:val="20"/>
          <w:color w:val="auto"/>
        </w:rPr>
      </w:pPr>
    </w:p>
    <w:p>
      <w:pPr>
        <w:jc w:val="both"/>
        <w:ind w:left="240" w:right="259" w:firstLine="1296"/>
        <w:spacing w:after="0" w:line="234" w:lineRule="auto"/>
        <w:rPr>
          <w:sz w:val="20"/>
          <w:szCs w:val="20"/>
          <w:color w:val="auto"/>
        </w:rPr>
      </w:pPr>
      <w:r>
        <w:rPr>
          <w:rFonts w:ascii="Times New Roman" w:cs="Times New Roman" w:eastAsia="Times New Roman" w:hAnsi="Times New Roman"/>
          <w:sz w:val="22"/>
          <w:szCs w:val="22"/>
          <w:color w:val="auto"/>
        </w:rPr>
        <w:t xml:space="preserve">8.2.5 made by or on behalf of the receiving Party where such disclosure is required by a Regulatory Authority (including in filings with the Securities and Exchange Commission or other agency) of certain material developments or material information generated under this Agreement, or the terms of this Agreement, and agrees that each Party may make such disclosures as required by Applicable Law; provided that, to the extent permitted, the Party seeking such disclosure first provides the other Party a copy of the proposed disclosure; and provided, further, that the receiving Party shall afford to the other Party an opportunity to review and comment, which period shall be no less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Business Days, including to propose redactions to the terms of this Agreement, and the receiving Party shall accept any reasonable comments so provided; or</w:t>
      </w:r>
    </w:p>
    <w:p>
      <w:pPr>
        <w:spacing w:after="0" w:line="179" w:lineRule="exact"/>
        <w:rPr>
          <w:sz w:val="20"/>
          <w:szCs w:val="20"/>
          <w:color w:val="auto"/>
        </w:rPr>
      </w:pPr>
    </w:p>
    <w:p>
      <w:pPr>
        <w:jc w:val="both"/>
        <w:ind w:left="240" w:right="259" w:firstLine="1296"/>
        <w:spacing w:after="0" w:line="236" w:lineRule="auto"/>
        <w:rPr>
          <w:sz w:val="20"/>
          <w:szCs w:val="20"/>
          <w:color w:val="auto"/>
        </w:rPr>
      </w:pPr>
      <w:r>
        <w:rPr>
          <w:rFonts w:ascii="Times New Roman" w:cs="Times New Roman" w:eastAsia="Times New Roman" w:hAnsi="Times New Roman"/>
          <w:sz w:val="22"/>
          <w:szCs w:val="22"/>
          <w:color w:val="auto"/>
        </w:rPr>
        <w:t>8.2.6 made by the receiving Party to potential or actual investors, acquirors, collaborators, business partners, licensees/Sublicensees, legal or financial advisors; provided, however, that such persons shall be subject to obligations of confidentiality and non-use with respect to such Confidential Information substantially similar to the obligations of confidentiality and non-use of the receiving Party pursuant to this Article 8 (with a duration of confidentiality and non-use obligations as customary and appropriate).</w:t>
      </w:r>
    </w:p>
    <w:p>
      <w:pPr>
        <w:spacing w:after="0" w:line="181" w:lineRule="exact"/>
        <w:rPr>
          <w:sz w:val="20"/>
          <w:szCs w:val="20"/>
          <w:color w:val="auto"/>
        </w:rPr>
      </w:pPr>
    </w:p>
    <w:p>
      <w:pPr>
        <w:jc w:val="both"/>
        <w:ind w:left="240" w:right="259" w:firstLine="540"/>
        <w:spacing w:after="0" w:line="238"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Use of Name</w:t>
      </w:r>
      <w:r>
        <w:rPr>
          <w:rFonts w:ascii="Times New Roman" w:cs="Times New Roman" w:eastAsia="Times New Roman" w:hAnsi="Times New Roman"/>
          <w:sz w:val="22"/>
          <w:szCs w:val="22"/>
          <w:color w:val="auto"/>
        </w:rPr>
        <w:t>. Except as expressly provided herein, neither Party shall mention or otherwise use the name, logo, or trademark of the other Party or any of its Affiliates (or any abbreviation or adaptation thereof) in any publication, press release, marketing and promotional material, or other form of publicity without the prior written approval of such other Party in each instance. The restrictions imposed by this Section 8.3 shall not prohibit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6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65" w:name="page66"/>
    <w:bookmarkEnd w:id="65"/>
    <w:p>
      <w:pPr>
        <w:jc w:val="both"/>
        <w:ind w:left="240" w:right="259"/>
        <w:spacing w:after="0" w:line="258" w:lineRule="auto"/>
        <w:rPr>
          <w:sz w:val="20"/>
          <w:szCs w:val="20"/>
          <w:color w:val="auto"/>
        </w:rPr>
      </w:pPr>
      <w:r>
        <w:rPr>
          <w:rFonts w:ascii="Times New Roman" w:cs="Times New Roman" w:eastAsia="Times New Roman" w:hAnsi="Times New Roman"/>
          <w:sz w:val="22"/>
          <w:szCs w:val="22"/>
          <w:color w:val="auto"/>
        </w:rPr>
        <w:t>either Party from making any disclosure identifying the other Party that is required by Applicable Law.</w:t>
      </w:r>
    </w:p>
    <w:p>
      <w:pPr>
        <w:spacing w:after="0" w:line="158" w:lineRule="exact"/>
        <w:rPr>
          <w:sz w:val="20"/>
          <w:szCs w:val="20"/>
          <w:color w:val="auto"/>
        </w:rPr>
      </w:pPr>
    </w:p>
    <w:p>
      <w:pPr>
        <w:jc w:val="both"/>
        <w:ind w:left="240" w:right="259" w:firstLine="540"/>
        <w:spacing w:after="0" w:line="235"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The Parties shall agree on the timing and content of any press release and shall coordinate in order to accomplish such release at a mutually agreed time following execution of this Agreement. Neither Party shall issue any other public announcement, press release, or other public disclosure regarding this Agreement or its or their subject matter without the other Party’s prior written consent, except for any such disclosure that is, in the opinion of the disclosing Party’s counsel, required by Applicable Law or the rules of a stock exchange on which the securities of the disclosing Party are listed (or to which an application for listing has been submitted).</w:t>
      </w:r>
    </w:p>
    <w:p>
      <w:pPr>
        <w:spacing w:after="0" w:line="178"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u w:val="single" w:color="auto"/>
          <w:color w:val="auto"/>
        </w:rPr>
        <w:t>Publications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8.5.1 Each Party shall not, without the prior written consent of the other Party, publish any papers or make any oral presentations or otherwise disclose publicly (such papers, oral presentations and disclosures, including abstracts of any of the foregoing, “</w:t>
      </w:r>
      <w:r>
        <w:rPr>
          <w:rFonts w:ascii="Times New Roman" w:cs="Times New Roman" w:eastAsia="Times New Roman" w:hAnsi="Times New Roman"/>
          <w:sz w:val="22"/>
          <w:szCs w:val="22"/>
          <w:b w:val="1"/>
          <w:bCs w:val="1"/>
          <w:color w:val="auto"/>
        </w:rPr>
        <w:t>Publications</w:t>
      </w:r>
      <w:r>
        <w:rPr>
          <w:rFonts w:ascii="Times New Roman" w:cs="Times New Roman" w:eastAsia="Times New Roman" w:hAnsi="Times New Roman"/>
          <w:sz w:val="22"/>
          <w:szCs w:val="22"/>
          <w:color w:val="auto"/>
        </w:rPr>
        <w:t>”):</w:t>
      </w:r>
    </w:p>
    <w:p>
      <w:pPr>
        <w:jc w:val="both"/>
        <w:ind w:left="240" w:right="259" w:firstLine="6"/>
        <w:spacing w:after="0" w:line="232" w:lineRule="auto"/>
        <w:tabs>
          <w:tab w:leader="none" w:pos="53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Confidential Information of the other Party, (b) any information related to any Target Pair, Compound or Product of the Collaboration Program, or (c) the results of or any other information regarding activities pursuant to the Collaboration, in each case, except as required by Applicable Law, in which case Section 8.2.2 shall apply. The Parties acknowledge and agree that, subject to the foregoing sentence and Section 8.5.3 below,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will be the first of the Parties to take the lead in drafting and publishing a Publication regarding the Collaboration in a scientific research journal.</w:t>
      </w:r>
    </w:p>
    <w:p>
      <w:pPr>
        <w:spacing w:after="0" w:line="181"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8.5.2 Subject to Section 8.5.3, Aarvik may make Publications relating specifically and exclusively to Aarvik’s proprietary ADC drug discovery platform (excluding the information set forth in Section 8.5.1).</w:t>
      </w:r>
    </w:p>
    <w:p>
      <w:pPr>
        <w:spacing w:after="0" w:line="169" w:lineRule="exact"/>
        <w:rPr>
          <w:sz w:val="20"/>
          <w:szCs w:val="20"/>
          <w:color w:val="auto"/>
        </w:rPr>
      </w:pPr>
    </w:p>
    <w:p>
      <w:pPr>
        <w:jc w:val="both"/>
        <w:ind w:left="240" w:right="259" w:firstLine="1296"/>
        <w:spacing w:after="0" w:line="234" w:lineRule="auto"/>
        <w:rPr>
          <w:sz w:val="20"/>
          <w:szCs w:val="20"/>
          <w:color w:val="auto"/>
        </w:rPr>
      </w:pPr>
      <w:r>
        <w:rPr>
          <w:rFonts w:ascii="Times New Roman" w:cs="Times New Roman" w:eastAsia="Times New Roman" w:hAnsi="Times New Roman"/>
          <w:sz w:val="22"/>
          <w:szCs w:val="22"/>
          <w:color w:val="auto"/>
        </w:rPr>
        <w:t xml:space="preserve">8.5.3 At least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prior to submitting any Publication, the publishing Party shall provide the other Party with a draft copy thereof for its review. The publishing Party shall consider in good faith any comments provided by the other Party during such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)-day period. In addition, the publishing Party shall, at the other Party’s reasonable request, remove therefrom any Confidential Information of the other Party and any information that if published would have an adverse effect on the Intelletual Property Rights of the other Party. Upon request, the publishing Party will delay publication or disclosure for such reasonable period, not to exceed an additional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to permit the filing of patent applications. The contribution of each Party shall be noted in all publications or presentations by acknowledgment or co-authorship, whichever is appropriate.</w:t>
      </w:r>
    </w:p>
    <w:p>
      <w:pPr>
        <w:spacing w:after="0" w:line="183" w:lineRule="exact"/>
        <w:rPr>
          <w:sz w:val="20"/>
          <w:szCs w:val="20"/>
          <w:color w:val="auto"/>
        </w:rPr>
      </w:pPr>
    </w:p>
    <w:p>
      <w:pPr>
        <w:jc w:val="both"/>
        <w:ind w:left="240" w:right="259" w:firstLine="540"/>
        <w:spacing w:after="0" w:line="233"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Return of Confidential Information</w:t>
      </w:r>
      <w:r>
        <w:rPr>
          <w:rFonts w:ascii="Times New Roman" w:cs="Times New Roman" w:eastAsia="Times New Roman" w:hAnsi="Times New Roman"/>
          <w:sz w:val="22"/>
          <w:szCs w:val="22"/>
          <w:color w:val="auto"/>
        </w:rPr>
        <w:t>. Upon the effective date of the termination of this Agreement, the receiving Party shall, at the disclosing Party’s election, either, with respect to Confidential Information to which the receiving Party does not retain rights under the surviving provisions of this Agreement: (a) promptly destroy all copies of such Confidential Information in the possession of the other Party and confirm such destruction in writing to the requesting Party; or (b) promptly deliver to the requesting Party, at the other Party’s cost and expense, all copies of such Confidential Information in the possession of the other Party; provided, however, the other Party shall be permitted to retain one (1) copy of such Confidential Information for the sole purpose of performing any continuing obligations hereunder or for archival purposes. Notwithstanding the foregoing, such other Party also shall be permitted to retain such additional copies of or any computer records or files containing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6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66" w:name="page67"/>
    <w:bookmarkEnd w:id="66"/>
    <w:p>
      <w:pPr>
        <w:jc w:val="both"/>
        <w:ind w:left="240" w:right="259"/>
        <w:spacing w:after="0" w:line="248" w:lineRule="auto"/>
        <w:rPr>
          <w:sz w:val="20"/>
          <w:szCs w:val="20"/>
          <w:color w:val="auto"/>
        </w:rPr>
      </w:pPr>
      <w:r>
        <w:rPr>
          <w:rFonts w:ascii="Times New Roman" w:cs="Times New Roman" w:eastAsia="Times New Roman" w:hAnsi="Times New Roman"/>
          <w:sz w:val="21"/>
          <w:szCs w:val="21"/>
          <w:color w:val="auto"/>
        </w:rPr>
        <w:t>such Confidential Information that have been created solely by such Party’s automatic archiving and back-up procedures, to the extent created and retained in a manner consistent with such other Party’s standard archiving and back-up procedures, but not for any other use or purpose. All Confidential Information shall continue to be subject to the terms of this Agreement for the period set forth in Section 8.1 by which time, unless otherwise expressly permitted in this Section 8.6, the receiving Party shall have returned or destroyed any Confidential Information remaining in its possession and shall have no right to use or disclose such Confidential Information.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w:t>
      </w:r>
    </w:p>
    <w:p>
      <w:pPr>
        <w:spacing w:after="0" w:line="182" w:lineRule="exact"/>
        <w:rPr>
          <w:sz w:val="20"/>
          <w:szCs w:val="20"/>
          <w:color w:val="auto"/>
        </w:rPr>
      </w:pPr>
    </w:p>
    <w:p>
      <w:pPr>
        <w:jc w:val="both"/>
        <w:ind w:left="240" w:right="259" w:firstLine="540"/>
        <w:spacing w:after="0" w:line="244"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General Representations and Warranties</w:t>
      </w:r>
      <w:r>
        <w:rPr>
          <w:rFonts w:ascii="Times New Roman" w:cs="Times New Roman" w:eastAsia="Times New Roman" w:hAnsi="Times New Roman"/>
          <w:sz w:val="22"/>
          <w:szCs w:val="22"/>
          <w:color w:val="auto"/>
        </w:rPr>
        <w:t>. Each Party represents and warrants to the other that, as of the Original Effective Date and the Restated Agreement Effective Date, and covenants, that:</w:t>
      </w:r>
    </w:p>
    <w:p>
      <w:pPr>
        <w:spacing w:after="0" w:line="173"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9.1.1 it is duly organized and validly existing under the Applicable Laws of the jurisdiction of its incorporation, and has full corporate power and authority to enter into this Agreement and to carry out the provisions hereof;</w:t>
      </w:r>
    </w:p>
    <w:p>
      <w:pPr>
        <w:spacing w:after="0" w:line="173"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9.1.2 it is duly authorized to execute and deliver this Agreement and to perform its obligations hereunder, and the person executing this Agreement on its behalf has been duly authorized to do so by all requisite corporate action;</w:t>
      </w:r>
    </w:p>
    <w:p>
      <w:pPr>
        <w:spacing w:after="0" w:line="173"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9.1.3 this Agreement is legally binding upon it and enforceable in accordance with its terms. To the Party’s knowledge, the execution, delivery and performance of this Agreement by it does not conflict with any agreement, instrument or understanding, oral or written, to which it is a party or by which it may be bound, nor violate any material Applicable Law;</w:t>
      </w:r>
    </w:p>
    <w:p>
      <w:pPr>
        <w:spacing w:after="0" w:line="177" w:lineRule="exact"/>
        <w:rPr>
          <w:sz w:val="20"/>
          <w:szCs w:val="20"/>
          <w:color w:val="auto"/>
        </w:rPr>
      </w:pPr>
    </w:p>
    <w:p>
      <w:pPr>
        <w:jc w:val="both"/>
        <w:ind w:left="240" w:right="279" w:firstLine="1296"/>
        <w:spacing w:after="0" w:line="258" w:lineRule="auto"/>
        <w:rPr>
          <w:sz w:val="20"/>
          <w:szCs w:val="20"/>
          <w:color w:val="auto"/>
        </w:rPr>
      </w:pPr>
      <w:r>
        <w:rPr>
          <w:rFonts w:ascii="Times New Roman" w:cs="Times New Roman" w:eastAsia="Times New Roman" w:hAnsi="Times New Roman"/>
          <w:sz w:val="22"/>
          <w:szCs w:val="22"/>
          <w:color w:val="auto"/>
        </w:rPr>
        <w:t>9.1.4 it is not aware of any action, suit or inquiry or investigation instituted by any Person which questions or threatens the validity of this Agreement; and</w:t>
      </w:r>
    </w:p>
    <w:p>
      <w:pPr>
        <w:spacing w:after="0" w:line="158"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9.1.5 in the performance of its obligations under this Agreement, it shall comply and shall cause its and its Affiliates’ employees and contractors to comply with all Applicable Laws, rules and regulations, including all export control, anti-corruption and anti-bribery laws and regulations, and shall not cause such other Party’s Indemnitees to be in violation of any Applicable Laws or otherwise cause any reputational harm to such other Party.</w:t>
      </w:r>
    </w:p>
    <w:p>
      <w:pPr>
        <w:spacing w:after="0" w:line="177" w:lineRule="exact"/>
        <w:rPr>
          <w:sz w:val="20"/>
          <w:szCs w:val="20"/>
          <w:color w:val="auto"/>
        </w:rPr>
      </w:pPr>
    </w:p>
    <w:p>
      <w:pPr>
        <w:jc w:val="both"/>
        <w:ind w:left="240" w:right="259" w:firstLine="540"/>
        <w:spacing w:after="0" w:line="244"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Aarvik’s Additional Representations, Warranties and Covenants</w:t>
      </w:r>
      <w:r>
        <w:rPr>
          <w:rFonts w:ascii="Times New Roman" w:cs="Times New Roman" w:eastAsia="Times New Roman" w:hAnsi="Times New Roman"/>
          <w:sz w:val="22"/>
          <w:szCs w:val="22"/>
          <w:color w:val="auto"/>
        </w:rPr>
        <w:t>. Aarvik represents and warrants to ArriVent as of the Original Effective Date and the Restated Agreement Effective Date and as of the date on which ArriVent exercises any Option, and covenants, that:</w:t>
      </w:r>
    </w:p>
    <w:p>
      <w:pPr>
        <w:spacing w:after="0" w:line="173" w:lineRule="exact"/>
        <w:rPr>
          <w:sz w:val="20"/>
          <w:szCs w:val="20"/>
          <w:color w:val="auto"/>
        </w:rPr>
      </w:pPr>
    </w:p>
    <w:p>
      <w:pPr>
        <w:jc w:val="both"/>
        <w:ind w:left="240" w:right="259" w:firstLine="1296"/>
        <w:spacing w:after="0" w:line="258" w:lineRule="auto"/>
        <w:rPr>
          <w:sz w:val="20"/>
          <w:szCs w:val="20"/>
          <w:color w:val="auto"/>
        </w:rPr>
      </w:pPr>
      <w:r>
        <w:rPr>
          <w:rFonts w:ascii="Times New Roman" w:cs="Times New Roman" w:eastAsia="Times New Roman" w:hAnsi="Times New Roman"/>
          <w:sz w:val="22"/>
          <w:szCs w:val="22"/>
          <w:color w:val="auto"/>
        </w:rPr>
        <w:t>9.2.1 Aarvik Controls the Aarvik IP, and no Third Party has any right, interest or claim in or to such rights that would limit the rights granted to ArriVent under this Agreement;</w:t>
      </w:r>
    </w:p>
    <w:p>
      <w:pPr>
        <w:spacing w:after="0" w:line="158" w:lineRule="exact"/>
        <w:rPr>
          <w:sz w:val="20"/>
          <w:szCs w:val="20"/>
          <w:color w:val="auto"/>
        </w:rPr>
      </w:pPr>
    </w:p>
    <w:p>
      <w:pPr>
        <w:jc w:val="both"/>
        <w:ind w:left="240" w:right="279" w:firstLine="1296"/>
        <w:spacing w:after="0" w:line="258" w:lineRule="auto"/>
        <w:rPr>
          <w:sz w:val="20"/>
          <w:szCs w:val="20"/>
          <w:color w:val="auto"/>
        </w:rPr>
      </w:pPr>
      <w:r>
        <w:rPr>
          <w:rFonts w:ascii="Times New Roman" w:cs="Times New Roman" w:eastAsia="Times New Roman" w:hAnsi="Times New Roman"/>
          <w:sz w:val="22"/>
          <w:szCs w:val="22"/>
          <w:color w:val="auto"/>
        </w:rPr>
        <w:t>9.2.2 Aarvik IP includes all Patents and Know-How licensed to Aarvik or any of its Affiliates under the Existing In-License Agreements;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13" w:lineRule="exact"/>
        <w:rPr>
          <w:sz w:val="20"/>
          <w:szCs w:val="20"/>
          <w:color w:val="auto"/>
        </w:rPr>
      </w:pPr>
    </w:p>
    <w:p>
      <w:pPr>
        <w:ind w:left="240" w:right="279" w:firstLine="6"/>
        <w:spacing w:after="0" w:line="228" w:lineRule="auto"/>
        <w:tabs>
          <w:tab w:leader="none" w:pos="549" w:val="left"/>
        </w:tabs>
        <w:numPr>
          <w:ilvl w:val="0"/>
          <w:numId w:val="6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67" w:name="page68"/>
    <w:bookmarkEnd w:id="67"/>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9.2.3 except Aarvik IP, Aarvik or its Affiliates do not own or Control any further Patents or Know-How that is necessary or useful for the research, Development, Manufacture, use or Commercialization of any Compound or Product in the Field;</w:t>
      </w:r>
    </w:p>
    <w:p>
      <w:pPr>
        <w:spacing w:after="0" w:line="173"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9.2.4 Aarvik is the sole and exclusive owner or licensee of the entire right, title and interest in the Aarvik IP and such Aarvik IP are free of any encumbrance, lien, or claim of ownership by any Third Party;</w:t>
      </w:r>
    </w:p>
    <w:p>
      <w:pPr>
        <w:spacing w:after="0" w:line="173"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9.2.5 Aarvik is entitled to grant the licenses pursuant to Section 5.1 and assign to ArriVent the right, title and interest in the Collaboration IP pursuant to Section 7.1.2(b) and it has not granted, and shall not grant during the Term, any Third Party rights and has not taken, and shall not take during the Term, any other action which would be inconsistent or interfere with ArriVent’s rights hereunder;</w:t>
      </w:r>
    </w:p>
    <w:p>
      <w:pPr>
        <w:spacing w:after="0" w:line="177" w:lineRule="exact"/>
        <w:rPr>
          <w:sz w:val="20"/>
          <w:szCs w:val="20"/>
          <w:color w:val="auto"/>
        </w:rPr>
      </w:pPr>
    </w:p>
    <w:p>
      <w:pPr>
        <w:jc w:val="both"/>
        <w:ind w:left="240" w:right="259" w:firstLine="1296"/>
        <w:spacing w:after="0" w:line="235" w:lineRule="auto"/>
        <w:rPr>
          <w:sz w:val="20"/>
          <w:szCs w:val="20"/>
          <w:color w:val="auto"/>
        </w:rPr>
      </w:pPr>
      <w:r>
        <w:rPr>
          <w:rFonts w:ascii="Times New Roman" w:cs="Times New Roman" w:eastAsia="Times New Roman" w:hAnsi="Times New Roman"/>
          <w:sz w:val="22"/>
          <w:szCs w:val="22"/>
          <w:color w:val="auto"/>
        </w:rPr>
        <w:t>9.2.6 to the extent any Aarvik IP are in-licensed, Aarvik has not received any notice alleging that it is in material breach of any term of such in-license agreement, and covenants, during the Term, that it (a) shall use Commercially Reasonable Efforts not to commit any acts or permit the occurrence of any omissions that would cause a material breach or the termination of any in-license agreement, and (b) shall not amend or otherwise modify or permit to be amended or modified any in-license agreement in such a manner as could materially adversely affect ArriVent’s rights hereunder;</w:t>
      </w:r>
    </w:p>
    <w:p>
      <w:pPr>
        <w:spacing w:after="0" w:line="183" w:lineRule="exact"/>
        <w:rPr>
          <w:sz w:val="20"/>
          <w:szCs w:val="20"/>
          <w:color w:val="auto"/>
        </w:rPr>
      </w:pPr>
    </w:p>
    <w:p>
      <w:pPr>
        <w:jc w:val="both"/>
        <w:ind w:left="240" w:right="259" w:firstLine="1296"/>
        <w:spacing w:after="0" w:line="251" w:lineRule="auto"/>
        <w:rPr>
          <w:sz w:val="20"/>
          <w:szCs w:val="20"/>
          <w:color w:val="auto"/>
        </w:rPr>
      </w:pPr>
      <w:r>
        <w:rPr>
          <w:rFonts w:ascii="Times New Roman" w:cs="Times New Roman" w:eastAsia="Times New Roman" w:hAnsi="Times New Roman"/>
          <w:sz w:val="21"/>
          <w:szCs w:val="21"/>
          <w:color w:val="auto"/>
        </w:rPr>
        <w:t>9.2.7 there is no legal action by any Third Party (and Aarvik is not aware of any grounds therefor), and Aarvik and its Affiliates have not received any written claim or demand, alleging that (a) any Intellectual Property Rights of a Third Party would be infringed by the Compounds, the Products, or the use of Aarvik IP under this Agreement; or (b) any Intellectual Property Rights licensed by Aarvik to ArriVent under this Agreement are not valid or subsisting;</w:t>
      </w:r>
    </w:p>
    <w:p>
      <w:pPr>
        <w:spacing w:after="0" w:line="168" w:lineRule="exact"/>
        <w:rPr>
          <w:sz w:val="20"/>
          <w:szCs w:val="20"/>
          <w:color w:val="auto"/>
        </w:rPr>
      </w:pPr>
    </w:p>
    <w:p>
      <w:pPr>
        <w:jc w:val="both"/>
        <w:ind w:left="240" w:right="259" w:firstLine="1296"/>
        <w:spacing w:after="0" w:line="258" w:lineRule="auto"/>
        <w:rPr>
          <w:sz w:val="20"/>
          <w:szCs w:val="20"/>
          <w:color w:val="auto"/>
        </w:rPr>
      </w:pPr>
      <w:r>
        <w:rPr>
          <w:rFonts w:ascii="Times New Roman" w:cs="Times New Roman" w:eastAsia="Times New Roman" w:hAnsi="Times New Roman"/>
          <w:sz w:val="22"/>
          <w:szCs w:val="22"/>
          <w:color w:val="auto"/>
        </w:rPr>
        <w:t>9.2.8 to the best of Aarvik’s knowledge and its Affiliates, no Third Party is infringing or misappropriating any Aarvik IP;</w:t>
      </w:r>
    </w:p>
    <w:p>
      <w:pPr>
        <w:spacing w:after="0" w:line="158" w:lineRule="exact"/>
        <w:rPr>
          <w:sz w:val="20"/>
          <w:szCs w:val="20"/>
          <w:color w:val="auto"/>
        </w:rPr>
      </w:pPr>
    </w:p>
    <w:p>
      <w:pPr>
        <w:jc w:val="both"/>
        <w:ind w:left="240" w:right="259" w:firstLine="1296"/>
        <w:spacing w:after="0" w:line="258" w:lineRule="auto"/>
        <w:rPr>
          <w:sz w:val="20"/>
          <w:szCs w:val="20"/>
          <w:color w:val="auto"/>
        </w:rPr>
      </w:pPr>
      <w:r>
        <w:rPr>
          <w:rFonts w:ascii="Times New Roman" w:cs="Times New Roman" w:eastAsia="Times New Roman" w:hAnsi="Times New Roman"/>
          <w:sz w:val="22"/>
          <w:szCs w:val="22"/>
          <w:color w:val="auto"/>
        </w:rPr>
        <w:t>9.2.9 there are no settled, pending or threatened Third Party opposition or interference proceedings, nor any litigation or claim with respect to the Aarvik Patents;</w:t>
      </w:r>
    </w:p>
    <w:p>
      <w:pPr>
        <w:spacing w:after="0" w:line="158" w:lineRule="exact"/>
        <w:rPr>
          <w:sz w:val="20"/>
          <w:szCs w:val="20"/>
          <w:color w:val="auto"/>
        </w:rPr>
      </w:pPr>
    </w:p>
    <w:p>
      <w:pPr>
        <w:jc w:val="both"/>
        <w:ind w:left="240" w:right="259" w:firstLine="1296"/>
        <w:spacing w:after="0" w:line="251" w:lineRule="auto"/>
        <w:rPr>
          <w:sz w:val="20"/>
          <w:szCs w:val="20"/>
          <w:color w:val="auto"/>
        </w:rPr>
      </w:pPr>
      <w:r>
        <w:rPr>
          <w:rFonts w:ascii="Times New Roman" w:cs="Times New Roman" w:eastAsia="Times New Roman" w:hAnsi="Times New Roman"/>
          <w:sz w:val="21"/>
          <w:szCs w:val="21"/>
          <w:color w:val="auto"/>
        </w:rPr>
        <w:t>9.2.10 Aarvik and its Affiliates have, to the extent any of them have disclosed Aarvik Know-How to a Third Party, done so pursuant to non-disclosure or confidentiality agreements and have otherwise taken commercially reasonable measures consistent with industry practices to protect the secrecy, confidentiality and value of Aarvik Know-How, and to Aarvik’s knowledge, there has not been any misappropriation of Aarvik Know-How by any Third Party;</w:t>
      </w:r>
    </w:p>
    <w:p>
      <w:pPr>
        <w:spacing w:after="0" w:line="168"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9.2.11 it has obtained or shall obtain written agreements from each of its employees, consultants and contractors who perform Collaboration and other activities pursuant to this Agreement, which agreements shall obligate such persons to obligations of confidentiality and non-use and to assign Inventions in a manner consistent with the provisions of this Agreement;</w:t>
      </w:r>
    </w:p>
    <w:p>
      <w:pPr>
        <w:spacing w:after="0" w:line="177" w:lineRule="exact"/>
        <w:rPr>
          <w:sz w:val="20"/>
          <w:szCs w:val="20"/>
          <w:color w:val="auto"/>
        </w:rPr>
      </w:pPr>
    </w:p>
    <w:p>
      <w:pPr>
        <w:jc w:val="both"/>
        <w:ind w:left="240" w:right="259" w:firstLine="1296"/>
        <w:spacing w:after="0" w:line="244" w:lineRule="auto"/>
        <w:rPr>
          <w:sz w:val="20"/>
          <w:szCs w:val="20"/>
          <w:color w:val="auto"/>
        </w:rPr>
      </w:pPr>
      <w:r>
        <w:rPr>
          <w:rFonts w:ascii="Times New Roman" w:cs="Times New Roman" w:eastAsia="Times New Roman" w:hAnsi="Times New Roman"/>
          <w:sz w:val="22"/>
          <w:szCs w:val="22"/>
          <w:color w:val="auto"/>
        </w:rPr>
        <w:t>9.2.12 neither it nor any of its or its Affiliates’ employees or agents performing under this Agreement has ever been, or is currently: (a) debarred under 21 U.S.C. § 335a or by any Regulatory Authority; (b) excluded, debarred, suspended, or otherwise ineligible to</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13" w:lineRule="exact"/>
        <w:rPr>
          <w:sz w:val="20"/>
          <w:szCs w:val="20"/>
          <w:color w:val="auto"/>
        </w:rPr>
      </w:pPr>
    </w:p>
    <w:p>
      <w:pPr>
        <w:ind w:left="240" w:right="279" w:firstLine="6"/>
        <w:spacing w:after="0" w:line="228" w:lineRule="auto"/>
        <w:tabs>
          <w:tab w:leader="none" w:pos="549" w:val="left"/>
        </w:tabs>
        <w:numPr>
          <w:ilvl w:val="0"/>
          <w:numId w:val="6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8" w:name="page69"/>
    <w:bookmarkEnd w:id="68"/>
    <w:p>
      <w:pPr>
        <w:ind w:left="240" w:right="259"/>
        <w:spacing w:after="0" w:line="241" w:lineRule="auto"/>
        <w:rPr>
          <w:sz w:val="20"/>
          <w:szCs w:val="20"/>
          <w:color w:val="auto"/>
        </w:rPr>
      </w:pPr>
      <w:r>
        <w:rPr>
          <w:rFonts w:ascii="Times New Roman" w:cs="Times New Roman" w:eastAsia="Times New Roman" w:hAnsi="Times New Roman"/>
          <w:sz w:val="22"/>
          <w:szCs w:val="22"/>
          <w:color w:val="auto"/>
        </w:rPr>
        <w:t>participate in federal health care programs or in federal procurement or non-procurement programs; (c) listed on the FDA’s Disqualified and Restricted Lists for clinical investigators; or</w:t>
      </w:r>
    </w:p>
    <w:p>
      <w:pPr>
        <w:spacing w:after="0" w:line="2" w:lineRule="exact"/>
        <w:rPr>
          <w:sz w:val="20"/>
          <w:szCs w:val="20"/>
          <w:color w:val="auto"/>
        </w:rPr>
      </w:pPr>
    </w:p>
    <w:p>
      <w:pPr>
        <w:jc w:val="both"/>
        <w:ind w:left="240" w:right="259" w:firstLine="6"/>
        <w:spacing w:after="0" w:line="232" w:lineRule="auto"/>
        <w:tabs>
          <w:tab w:leader="none" w:pos="55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convicted of a criminal offense that falls within the scope of 42 U.S.C. § 1320a-7(a), but has not yet been excluded, debarred, suspended, or otherwise declared ineligible. Aarvik further covenants that if, during the Term of this Agreement, it becomes aware that it or any of its or its Affiliates’ employees or agents performing under this Agreement is the subject of any investigation or proceeding that could lead to it becoming a debarred entity or individual, an excluded entity or individual or a convicted entity or individual, it will promptly notify ArriVent. This provision will survive termination or expiration of this Agreement; and</w:t>
      </w:r>
    </w:p>
    <w:p>
      <w:pPr>
        <w:spacing w:after="0" w:line="177" w:lineRule="exact"/>
        <w:rPr>
          <w:sz w:val="20"/>
          <w:szCs w:val="20"/>
          <w:color w:val="auto"/>
        </w:rPr>
      </w:pPr>
    </w:p>
    <w:p>
      <w:pPr>
        <w:jc w:val="both"/>
        <w:ind w:left="240" w:right="25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9.2.13 (a) except for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neither Aarvik nor any of its Affiliates, on the one hand, is party to an agreement with any Third Party, on the other hand, pursuant to which Aarvik or its Affiliate has (i) in-licensed any Patents or Know-How that are included as part of the Aarvik IP or (ii) agreed to provisions that would require ArriVent to undertake or observe any restrictions or obligations with respect to the Research, Development, Manufacture, use, Commercialization or other Exploitation of the ADCs related to the Target Pair in the Field in the Territory; (b)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is in full force and effect and has not been amended, modified or waived; and (c) a redacted copy of the fully executed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has been provided to ArriVent prior to the Restated Agreement Effective Date and the redacted provisions thereunder are irrelevant to and unnecessary for ArriVent to ascertain ArriVent’s rights and obligations under this Agreement or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a sublicensee thereunder. Aarvik hereby covenants not to enter into any amendment to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that might affect ArriVent’s rights or obligations under this Agreement or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any respect and it will provide ArriVent with a copy of any amendment to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after execution thereof; provided that Aarvik may redact the provisions in the amendment that are irrelevant to or unnecessary for ArriVent to ascertain its rights and obligations under this Agreement or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240" w:right="259" w:firstLine="540"/>
        <w:spacing w:after="0" w:line="235"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EXCEPT AS EXPRESSLY STATED IN THIS AGREEMENT, NO REPRESENTATIONS OR WARRANTIES WHATSOEVER, WHETHER EXPRESS OR IMPLIED, INCLUDING WARRANTIES OF MERCHANTABILITY, FITNESS FOR A PARTICULAR PURPOSE, NON-INFRINGEMENT, OR NON- MISAPPROPRIATION OF THIRD PARTY INTELLECTUAL PROPERTY RIGHTS, IS MADE OR GIVEN BY OR ON BEHALF OF A PARTY. ALL REPRESENTATIONS AND WARRANTIES, WHETHER ARISING BY OPERATION OF LAW OR OTHERWISE, ARE HEREBY EXPRESSLY EXCLUDED.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82" w:lineRule="exact"/>
        <w:rPr>
          <w:sz w:val="20"/>
          <w:szCs w:val="20"/>
          <w:color w:val="auto"/>
        </w:rPr>
      </w:pPr>
    </w:p>
    <w:p>
      <w:pPr>
        <w:jc w:val="both"/>
        <w:ind w:left="240" w:right="259" w:firstLine="540"/>
        <w:spacing w:after="0" w:line="233"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Indemnification by Aarvik</w:t>
      </w:r>
      <w:r>
        <w:rPr>
          <w:rFonts w:ascii="Times New Roman" w:cs="Times New Roman" w:eastAsia="Times New Roman" w:hAnsi="Times New Roman"/>
          <w:sz w:val="22"/>
          <w:szCs w:val="22"/>
          <w:color w:val="auto"/>
        </w:rPr>
        <w:t>. Aarvik hereby agrees to defend, hold harmless and indemnify (collectively, “</w:t>
      </w:r>
      <w:r>
        <w:rPr>
          <w:rFonts w:ascii="Times New Roman" w:cs="Times New Roman" w:eastAsia="Times New Roman" w:hAnsi="Times New Roman"/>
          <w:sz w:val="22"/>
          <w:szCs w:val="22"/>
          <w:b w:val="1"/>
          <w:bCs w:val="1"/>
          <w:color w:val="auto"/>
        </w:rPr>
        <w:t>Indemnify</w:t>
      </w:r>
      <w:r>
        <w:rPr>
          <w:rFonts w:ascii="Times New Roman" w:cs="Times New Roman" w:eastAsia="Times New Roman" w:hAnsi="Times New Roman"/>
          <w:sz w:val="22"/>
          <w:szCs w:val="22"/>
          <w:color w:val="auto"/>
        </w:rPr>
        <w:t xml:space="preserve"> ”) ArriVent and its Affiliates, and its and their agents, directors, officers and employees (the “</w:t>
      </w:r>
      <w:r>
        <w:rPr>
          <w:rFonts w:ascii="Times New Roman" w:cs="Times New Roman" w:eastAsia="Times New Roman" w:hAnsi="Times New Roman"/>
          <w:sz w:val="22"/>
          <w:szCs w:val="22"/>
          <w:b w:val="1"/>
          <w:bCs w:val="1"/>
          <w:color w:val="auto"/>
        </w:rPr>
        <w:t>ArriVent Indemnitees</w:t>
      </w:r>
      <w:r>
        <w:rPr>
          <w:rFonts w:ascii="Times New Roman" w:cs="Times New Roman" w:eastAsia="Times New Roman" w:hAnsi="Times New Roman"/>
          <w:sz w:val="22"/>
          <w:szCs w:val="22"/>
          <w:color w:val="auto"/>
        </w:rPr>
        <w:t>”) from and against any liability or expense (including reasonable legal expenses and attorneys’ fees) (collectively,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resulting from suits, claims, actions and demands, in each case brought by a Third Party (each, a “</w:t>
      </w:r>
      <w:r>
        <w:rPr>
          <w:rFonts w:ascii="Times New Roman" w:cs="Times New Roman" w:eastAsia="Times New Roman" w:hAnsi="Times New Roman"/>
          <w:sz w:val="22"/>
          <w:szCs w:val="22"/>
          <w:b w:val="1"/>
          <w:bCs w:val="1"/>
          <w:color w:val="auto"/>
        </w:rPr>
        <w:t>Third-Party Claim</w:t>
      </w:r>
      <w:r>
        <w:rPr>
          <w:rFonts w:ascii="Times New Roman" w:cs="Times New Roman" w:eastAsia="Times New Roman" w:hAnsi="Times New Roman"/>
          <w:sz w:val="22"/>
          <w:szCs w:val="22"/>
          <w:color w:val="auto"/>
        </w:rPr>
        <w:t xml:space="preserve">”) arising out of: (a) any activity conducted by or on behalf of Aarvik in breach of this Agreement or of any Applicable Laws, (b) the breach or violation of any covenant or Aarvik’s obligations under this Agreement, including Aarvik’s representations, warranties or covenants set forth herein, (c) the willful misconduct or negligent acts of or violation of Applicable Law by any Aarvik Indemnitee, or (d) any circumstances or activities for which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is obligated to indemnify Aarvik and its related Persons under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Agreement. Aarvik’s obligation to Indemnify the ArriVent Indemnitees pursuant to this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7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69" w:name="page70"/>
    <w:bookmarkEnd w:id="69"/>
    <w:p>
      <w:pPr>
        <w:jc w:val="both"/>
        <w:ind w:left="240" w:right="259"/>
        <w:spacing w:after="0" w:line="258" w:lineRule="auto"/>
        <w:rPr>
          <w:sz w:val="20"/>
          <w:szCs w:val="20"/>
          <w:color w:val="auto"/>
        </w:rPr>
      </w:pPr>
      <w:r>
        <w:rPr>
          <w:rFonts w:ascii="Times New Roman" w:cs="Times New Roman" w:eastAsia="Times New Roman" w:hAnsi="Times New Roman"/>
          <w:sz w:val="22"/>
          <w:szCs w:val="22"/>
          <w:color w:val="auto"/>
        </w:rPr>
        <w:t>Section 10.1 shall not apply to the extent that any such Losses are Losses for which ArriVent is obligated to Indemnify the Aarvik Indemnitees pursuant to Section 10.2.</w:t>
      </w:r>
    </w:p>
    <w:p>
      <w:pPr>
        <w:spacing w:after="0" w:line="158" w:lineRule="exact"/>
        <w:rPr>
          <w:sz w:val="20"/>
          <w:szCs w:val="20"/>
          <w:color w:val="auto"/>
        </w:rPr>
      </w:pPr>
    </w:p>
    <w:p>
      <w:pPr>
        <w:jc w:val="both"/>
        <w:ind w:left="240" w:right="259" w:firstLine="540"/>
        <w:spacing w:after="0" w:line="234"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Indemnification by ArriVent</w:t>
      </w:r>
      <w:r>
        <w:rPr>
          <w:rFonts w:ascii="Times New Roman" w:cs="Times New Roman" w:eastAsia="Times New Roman" w:hAnsi="Times New Roman"/>
          <w:sz w:val="22"/>
          <w:szCs w:val="22"/>
          <w:color w:val="auto"/>
        </w:rPr>
        <w:t>. ArriVent hereby agrees to Indemnify Aarvik and its Affiliates, and its and their agents, directors, officers and employees (the “</w:t>
      </w:r>
      <w:r>
        <w:rPr>
          <w:rFonts w:ascii="Times New Roman" w:cs="Times New Roman" w:eastAsia="Times New Roman" w:hAnsi="Times New Roman"/>
          <w:sz w:val="22"/>
          <w:szCs w:val="22"/>
          <w:b w:val="1"/>
          <w:bCs w:val="1"/>
          <w:color w:val="auto"/>
        </w:rPr>
        <w:t>Aarvik Indemnitees</w:t>
      </w:r>
      <w:r>
        <w:rPr>
          <w:rFonts w:ascii="Times New Roman" w:cs="Times New Roman" w:eastAsia="Times New Roman" w:hAnsi="Times New Roman"/>
          <w:sz w:val="22"/>
          <w:szCs w:val="22"/>
          <w:color w:val="auto"/>
        </w:rPr>
        <w:t>”) from and against any and all Losses resulting from Third-Party Claims arising out of: (a) any activity conducted by or on behalf of ArriVent in breach of this Agreement or of any Applicable Laws, (b) the breach or violation of any covenant or ArriVent’s obligations under this Agreement, including ArriVent’s representations, warranties or covenants set forth herein, or (c) the willful misconduct or negligent acts of or violation of Applicable Law by any ArriVent Indemnitee. ArriVent’s obligation to Indemnify the Aarvik Indemnitees pursuant to this Section 10.2 shall not apply to the extent that any such Losses are Losses for which Aarvik is obligated to Indemnify the ArriVent Indemnitees pursuant to Section 10.1.</w:t>
      </w:r>
    </w:p>
    <w:p>
      <w:pPr>
        <w:spacing w:after="0" w:line="179" w:lineRule="exact"/>
        <w:rPr>
          <w:sz w:val="20"/>
          <w:szCs w:val="20"/>
          <w:color w:val="auto"/>
        </w:rPr>
      </w:pPr>
    </w:p>
    <w:p>
      <w:pPr>
        <w:jc w:val="both"/>
        <w:ind w:left="240" w:right="259" w:firstLine="540"/>
        <w:spacing w:after="0" w:line="233"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To be eligible to be indemnified hereunder, the indemnified Party shall provide the indemnifying Party with prompt notice of the Third-Party Claim giving rise to the indemnification obligation pursuant to Section 10.1 or 10.2 and the exclusive ability to defend (with the reasonable cooperation of the indemnified Party) or settle any such claim; provided, however, that the indemnifying Party shall not enter into any settlement that makes any admission on behalf of the indemnified Party without the indemnified Party’s written consent, such consent not to be unreasonably withheld or delayed. The indemnifying Party shall not be liable to indemnify the indemnified Party in respect of any settlement entered into without the prior written consent of the indemnifying Party. The indemnified Party shall have the right to participate, at its own expense and with counsel of its choice, in the defense of any claim or suit that has been assumed by the indemnifying Party.</w:t>
      </w:r>
    </w:p>
    <w:p>
      <w:pPr>
        <w:spacing w:after="0" w:line="187" w:lineRule="exact"/>
        <w:rPr>
          <w:sz w:val="20"/>
          <w:szCs w:val="20"/>
          <w:color w:val="auto"/>
        </w:rPr>
      </w:pPr>
    </w:p>
    <w:p>
      <w:pPr>
        <w:jc w:val="both"/>
        <w:ind w:left="240" w:right="259" w:firstLine="540"/>
        <w:spacing w:after="0" w:line="233"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LIMITATION OF CONSEQUENTIAL DAMAGES</w:t>
      </w:r>
      <w:r>
        <w:rPr>
          <w:rFonts w:ascii="Times New Roman" w:cs="Times New Roman" w:eastAsia="Times New Roman" w:hAnsi="Times New Roman"/>
          <w:sz w:val="22"/>
          <w:szCs w:val="22"/>
          <w:color w:val="auto"/>
        </w:rPr>
        <w:t>. EXCEPT FOR BREACH OF SECTION 5.4, ARTICLE 8 OR CLAIMS OF A THIRD PARTY WHICH ARE SUBJECT TO INDEMNIFICATION UNDER THIS ARTICLE 10 OR AS OTHERWISE EXPRESSLY STATED IN THIS AGREEMENT, NEITHER AARVIK NOR ARRIVENT, NOR ANY OF THEIR AFFILIATES OR SUBLICENSEES SHALL BE LIABLE TO THE OTHER PARTY TO THIS AGREEMENT OR ITS AFFILIATES OR ANY OF THEIR SUBLICENSEES FOR ANY INCIDENTAL, CONSEQUENTIAL, SPECIAL, PUNITIVE OR OTHER INDIRECT DAMAGES OR LOST OR IMPUTED PROFITS OR ROYALTIES, LOST DATA OR COST OF PROCUREMENT OF SUBSTITUTE GOODS OR SERVICES,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82" w:lineRule="exact"/>
        <w:rPr>
          <w:sz w:val="20"/>
          <w:szCs w:val="20"/>
          <w:color w:val="auto"/>
        </w:rPr>
      </w:pPr>
    </w:p>
    <w:p>
      <w:pPr>
        <w:jc w:val="both"/>
        <w:ind w:left="240" w:right="259" w:firstLine="540"/>
        <w:spacing w:after="0" w:line="235"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Original Agreement was effective as of the Original Effective Date, and this Agreement shall become effective as of the Restated Agreement Effective Date. Unless this Agreement is earlier terminated pursuant to the other provisions of this Article 11 or ArriVent elects not to exercise the Option with respect to the Collaboration Program (in which case this Agreement shall expire upon the expiration of the Option Period), this Agreement shall continue in full force and effect, until the expiration of all Royalty Terms for all Products under this Agreement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On a jurisdiction-by-jurisdiction and Product-by-Product</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7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70" w:name="page71"/>
    <w:bookmarkEnd w:id="70"/>
    <w:p>
      <w:pPr>
        <w:jc w:val="both"/>
        <w:ind w:left="240" w:right="259"/>
        <w:spacing w:after="0" w:line="258" w:lineRule="auto"/>
        <w:rPr>
          <w:sz w:val="20"/>
          <w:szCs w:val="20"/>
          <w:color w:val="auto"/>
        </w:rPr>
      </w:pPr>
      <w:r>
        <w:rPr>
          <w:rFonts w:ascii="Times New Roman" w:cs="Times New Roman" w:eastAsia="Times New Roman" w:hAnsi="Times New Roman"/>
          <w:sz w:val="22"/>
          <w:szCs w:val="22"/>
          <w:color w:val="auto"/>
        </w:rPr>
        <w:t>basis, following the expiration of the Royalty Term, the license granted to ArriVent under Section 5.1 shall become non-exclusive, perpetual, irrevocable, fully-paid and royalty-free.</w:t>
      </w:r>
    </w:p>
    <w:p>
      <w:pPr>
        <w:spacing w:after="0" w:line="158" w:lineRule="exact"/>
        <w:rPr>
          <w:sz w:val="20"/>
          <w:szCs w:val="20"/>
          <w:color w:val="auto"/>
        </w:rPr>
      </w:pPr>
    </w:p>
    <w:p>
      <w:pPr>
        <w:jc w:val="both"/>
        <w:ind w:left="240" w:right="259" w:firstLine="540"/>
        <w:spacing w:after="0" w:line="255"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Termination by ArriVent for Convenience</w:t>
      </w:r>
      <w:r>
        <w:rPr>
          <w:rFonts w:ascii="Times New Roman" w:cs="Times New Roman" w:eastAsia="Times New Roman" w:hAnsi="Times New Roman"/>
          <w:sz w:val="21"/>
          <w:szCs w:val="21"/>
          <w:color w:val="auto"/>
        </w:rPr>
        <w:t xml:space="preserve">. At any time after ArriVent exercises the Option and has received the Final Report, ArriVent shall have the right to terminate this Agreement with respect to the Collaboration Program (a) in its entirety or (b) on a jurisdiction-by-jurisdiction basis, in each case, without cause upon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days’ prior notice to Aarvik.</w:t>
      </w:r>
    </w:p>
    <w:p>
      <w:pPr>
        <w:spacing w:after="0" w:line="162" w:lineRule="exact"/>
        <w:rPr>
          <w:sz w:val="20"/>
          <w:szCs w:val="20"/>
          <w:color w:val="auto"/>
        </w:rPr>
      </w:pPr>
    </w:p>
    <w:p>
      <w:pPr>
        <w:jc w:val="both"/>
        <w:ind w:left="240" w:right="259" w:firstLine="540"/>
        <w:spacing w:after="0" w:line="233"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Termination for Breach</w:t>
      </w:r>
      <w:r>
        <w:rPr>
          <w:rFonts w:ascii="Times New Roman" w:cs="Times New Roman" w:eastAsia="Times New Roman" w:hAnsi="Times New Roman"/>
          <w:sz w:val="22"/>
          <w:szCs w:val="22"/>
          <w:color w:val="auto"/>
        </w:rPr>
        <w:t xml:space="preserve">. A Party may terminate this Agreement in the event the other Party materially breaches this Agreement, and such breach shall have continued for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after notice thereof was provided to the breaching Party by the non-breaching Party. Any such termination shall become effective at the end of such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)-day period unless the breaching Party has cured any such breach prior to the expiration of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)-day period (or, if such breach is capable of being cured but such cure cannot be reasonably effected within such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)-day period, the breaching Party delivers to the non-breaching Party a plan for curing such material breach that is sufficient to effect a cure and is reasonably acceptable to the non-breaching Party and the breaching Party thereafter uses commercially reasonable efforts thereafter to carry out the plan and cure the material breach); provided that, if either Party disputes (a) whether such material breach has occurred, or (b) whether the defaulting Party has cured such material breach, the Parties agree to resolve the dispute as expeditiously as possible under Article 12. During the pendency of such a dispute, all of the terms and conditions of this Agreement shall remain in effect and the Parties shall continue to perform all of their respective obligations hereunder.</w:t>
      </w:r>
    </w:p>
    <w:p>
      <w:pPr>
        <w:spacing w:after="0" w:line="177" w:lineRule="exact"/>
        <w:rPr>
          <w:sz w:val="20"/>
          <w:szCs w:val="20"/>
          <w:color w:val="auto"/>
        </w:rPr>
      </w:pPr>
    </w:p>
    <w:p>
      <w:pPr>
        <w:jc w:val="both"/>
        <w:ind w:left="240" w:right="259" w:firstLine="540"/>
        <w:spacing w:after="0" w:line="23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Termination for Insolvency</w:t>
      </w:r>
      <w:r>
        <w:rPr>
          <w:rFonts w:ascii="Times New Roman" w:cs="Times New Roman" w:eastAsia="Times New Roman" w:hAnsi="Times New Roman"/>
          <w:sz w:val="22"/>
          <w:szCs w:val="22"/>
          <w:color w:val="auto"/>
        </w:rPr>
        <w:t xml:space="preserve">. Either Party may terminate this Agreement if, at any time, the other Party files in any court or agency pursuant to any statute or regulation of any state or country a petition in bankruptcy or insolvency or for reorganization or for an arrangement or for the appointment of a receiver or trustee of the Party or of substantially all of its assets; or if the other Party proposes a written agreement of composition or extension of substantially all of its debts; or if the other Party will be served with an involuntary petition against it, filed in any insolvency proceeding, and such petition will not be dismissed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after the filing thereof; or if the other Party will propose or be a party to any dissolution or liquidation; or if the other Party will make an assignment of substantially all of its assets for the benefit of creditors.</w:t>
      </w:r>
    </w:p>
    <w:p>
      <w:pPr>
        <w:spacing w:after="0" w:line="179"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u w:val="single" w:color="auto"/>
          <w:color w:val="auto"/>
        </w:rPr>
        <w:t>Effects of Termination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240" w:right="259" w:firstLine="1296"/>
        <w:spacing w:after="0" w:line="241" w:lineRule="auto"/>
        <w:rPr>
          <w:sz w:val="20"/>
          <w:szCs w:val="20"/>
          <w:color w:val="auto"/>
        </w:rPr>
      </w:pPr>
      <w:r>
        <w:rPr>
          <w:rFonts w:ascii="Times New Roman" w:cs="Times New Roman" w:eastAsia="Times New Roman" w:hAnsi="Times New Roman"/>
          <w:sz w:val="22"/>
          <w:szCs w:val="22"/>
          <w:color w:val="auto"/>
        </w:rPr>
        <w:t xml:space="preserve">11.5.1 </w:t>
      </w:r>
      <w:r>
        <w:rPr>
          <w:rFonts w:ascii="Times New Roman" w:cs="Times New Roman" w:eastAsia="Times New Roman" w:hAnsi="Times New Roman"/>
          <w:sz w:val="22"/>
          <w:szCs w:val="22"/>
          <w:i w:val="1"/>
          <w:iCs w:val="1"/>
          <w:color w:val="auto"/>
        </w:rPr>
        <w:t>Wind-Down</w:t>
      </w:r>
      <w:r>
        <w:rPr>
          <w:rFonts w:ascii="Times New Roman" w:cs="Times New Roman" w:eastAsia="Times New Roman" w:hAnsi="Times New Roman"/>
          <w:sz w:val="22"/>
          <w:szCs w:val="22"/>
          <w:color w:val="auto"/>
        </w:rPr>
        <w:t>. Upon termination of this Agreement with respect to a Compound or Product, ArriVent shall use its Commercially Reasonable Efforts to wind down all research, Development, Manufacture and Commercialization (if any) activities with respect to such terminated Compound or Product.</w:t>
      </w:r>
    </w:p>
    <w:p>
      <w:pPr>
        <w:spacing w:after="0" w:line="172" w:lineRule="exact"/>
        <w:rPr>
          <w:sz w:val="20"/>
          <w:szCs w:val="20"/>
          <w:color w:val="auto"/>
        </w:rPr>
      </w:pPr>
    </w:p>
    <w:p>
      <w:pPr>
        <w:jc w:val="both"/>
        <w:ind w:left="240" w:right="25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11.5.2 </w:t>
      </w:r>
      <w:r>
        <w:rPr>
          <w:rFonts w:ascii="Times New Roman" w:cs="Times New Roman" w:eastAsia="Times New Roman" w:hAnsi="Times New Roman"/>
          <w:sz w:val="22"/>
          <w:szCs w:val="22"/>
          <w:i w:val="1"/>
          <w:iCs w:val="1"/>
          <w:color w:val="auto"/>
        </w:rPr>
        <w:t>General Effects of Termination</w:t>
      </w:r>
      <w:r>
        <w:rPr>
          <w:rFonts w:ascii="Times New Roman" w:cs="Times New Roman" w:eastAsia="Times New Roman" w:hAnsi="Times New Roman"/>
          <w:sz w:val="22"/>
          <w:szCs w:val="22"/>
          <w:color w:val="auto"/>
        </w:rPr>
        <w:t>. Upon any termination of this Agreement in its entirety or with respect to a Compound or Product, subject to the rest of this Article 11, all rights and licenses granted by Aarvik pursuant to Section 5.1 and all obligations of the Parties shall immediately terminate in their entirety or with respect to the applicable terminated Compound or Product and/or jurisdiction, as the case may be; provided, however, that in the event of termination by ArriVent pursuant to Section 11.3 or Section 11.4 above, all applicable rights and licenses granted by Aarvik to ArriVent pursuant to Section 5.1 shall</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7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71" w:name="page72"/>
    <w:bookmarkEnd w:id="71"/>
    <w:p>
      <w:pPr>
        <w:jc w:val="both"/>
        <w:ind w:left="240" w:right="259"/>
        <w:spacing w:after="0" w:line="258" w:lineRule="auto"/>
        <w:rPr>
          <w:sz w:val="20"/>
          <w:szCs w:val="20"/>
          <w:color w:val="auto"/>
        </w:rPr>
      </w:pPr>
      <w:r>
        <w:rPr>
          <w:rFonts w:ascii="Times New Roman" w:cs="Times New Roman" w:eastAsia="Times New Roman" w:hAnsi="Times New Roman"/>
          <w:sz w:val="22"/>
          <w:szCs w:val="22"/>
          <w:color w:val="auto"/>
        </w:rPr>
        <w:t>become irrevocable and perpetual rights provided that any amounts that are or may become due and payable by ArriVent to Aarvik hereunder shall continue in full force and effect.</w:t>
      </w:r>
    </w:p>
    <w:p>
      <w:pPr>
        <w:spacing w:after="0" w:line="158"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u w:val="single" w:color="auto"/>
          <w:color w:val="auto"/>
        </w:rPr>
        <w:t>Limitations on Termination Remedy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1296"/>
        <w:spacing w:after="0" w:line="255" w:lineRule="auto"/>
        <w:rPr>
          <w:sz w:val="20"/>
          <w:szCs w:val="20"/>
          <w:color w:val="auto"/>
        </w:rPr>
      </w:pPr>
      <w:r>
        <w:rPr>
          <w:rFonts w:ascii="Times New Roman" w:cs="Times New Roman" w:eastAsia="Times New Roman" w:hAnsi="Times New Roman"/>
          <w:sz w:val="21"/>
          <w:szCs w:val="21"/>
          <w:color w:val="auto"/>
        </w:rPr>
        <w:t>11.6.1 Notwithstanding anything herein to the contrary, in the event that this Agreement is terminated with respect to a Compound or Product pursuant to (a) Section 11.2 for a jurisdiction or (b) Section 11.3 to the extent the material breach affects only a specific jurisdiction, then this Agreement may only be terminated for such Compound or Product in such jurisdiction.</w:t>
      </w:r>
    </w:p>
    <w:p>
      <w:pPr>
        <w:spacing w:after="0" w:line="162" w:lineRule="exact"/>
        <w:rPr>
          <w:sz w:val="20"/>
          <w:szCs w:val="20"/>
          <w:color w:val="auto"/>
        </w:rPr>
      </w:pPr>
    </w:p>
    <w:p>
      <w:pPr>
        <w:jc w:val="both"/>
        <w:ind w:left="240" w:right="259" w:firstLine="1296"/>
        <w:spacing w:after="0" w:line="239" w:lineRule="auto"/>
        <w:rPr>
          <w:sz w:val="20"/>
          <w:szCs w:val="20"/>
          <w:color w:val="auto"/>
        </w:rPr>
      </w:pPr>
      <w:r>
        <w:rPr>
          <w:rFonts w:ascii="Times New Roman" w:cs="Times New Roman" w:eastAsia="Times New Roman" w:hAnsi="Times New Roman"/>
          <w:sz w:val="22"/>
          <w:szCs w:val="22"/>
          <w:color w:val="auto"/>
        </w:rPr>
        <w:t>11.6.2 For avoidance of doubt, any termination under this Article 11 with respect to a particular Compound or Product or jurisdiction shall have no effect on and shall not in any way limit the licenses granted under this Agreement for any Compound or Product or any other jurisdiction.</w:t>
      </w:r>
    </w:p>
    <w:p>
      <w:pPr>
        <w:spacing w:after="0" w:line="180"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u w:val="single" w:color="auto"/>
          <w:color w:val="auto"/>
        </w:rPr>
        <w:t>Rights in Bankruptcy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1296"/>
        <w:spacing w:after="0" w:line="233" w:lineRule="auto"/>
        <w:rPr>
          <w:sz w:val="20"/>
          <w:szCs w:val="20"/>
          <w:color w:val="auto"/>
        </w:rPr>
      </w:pPr>
      <w:r>
        <w:rPr>
          <w:rFonts w:ascii="Times New Roman" w:cs="Times New Roman" w:eastAsia="Times New Roman" w:hAnsi="Times New Roman"/>
          <w:sz w:val="22"/>
          <w:szCs w:val="22"/>
          <w:color w:val="auto"/>
        </w:rPr>
        <w:t>11.7.1 The Parties intend to take advantage of the protections of Section 365(n) (or any successor provision) of the U.S. Bankruptcy Code or any analogous provisions in any other country or jurisdiction to the maximum extent permitted by Applicable Law. All rights and licenses granted under or pursuant to this Agreement, but only to the extent they constitute licenses of a right to “intellectual property” as defined in Section 101 of the U.S. Bankruptcy Code or in any analogous provisions in any other country or jurisdiction (as the case may be) shall be deemed to be “intellectual property” for the purposes of Section 365(n) or any analogous provisions in any other country or jurisdiction (as the case may be). The Parties shall retain and may fully exercise all of their rights and elections under the U.S. Bankruptcy Code or any analogous provisions in any other country or jurisdiction, including the right to obtain the intellectual property from another entity.</w:t>
      </w:r>
    </w:p>
    <w:p>
      <w:pPr>
        <w:spacing w:after="0" w:line="187" w:lineRule="exact"/>
        <w:rPr>
          <w:sz w:val="20"/>
          <w:szCs w:val="20"/>
          <w:color w:val="auto"/>
        </w:rPr>
      </w:pPr>
    </w:p>
    <w:p>
      <w:pPr>
        <w:jc w:val="both"/>
        <w:ind w:left="240" w:right="259" w:firstLine="1296"/>
        <w:spacing w:after="0" w:line="245" w:lineRule="auto"/>
        <w:rPr>
          <w:sz w:val="20"/>
          <w:szCs w:val="20"/>
          <w:color w:val="auto"/>
        </w:rPr>
      </w:pPr>
      <w:r>
        <w:rPr>
          <w:rFonts w:ascii="Times New Roman" w:cs="Times New Roman" w:eastAsia="Times New Roman" w:hAnsi="Times New Roman"/>
          <w:sz w:val="21"/>
          <w:szCs w:val="21"/>
          <w:color w:val="auto"/>
        </w:rPr>
        <w:t>11.7.2 In the event of the commencement of a bankruptcy proceeding by or against either Party under the U.S. Bankruptcy Code or any analogous provisions in any other country or jurisdiction, the Party that is not subject to such proceeding shall be entitled to a complete duplicate of (or complete access to, as appropriate) all such intellectual property (including all embodiments of such intellectual property), which, if not already in the non-subject Party’s possession, shall be promptly delivered to it upon the non-subject Party’s written request</w:t>
      </w:r>
    </w:p>
    <w:p>
      <w:pPr>
        <w:spacing w:after="0" w:line="3" w:lineRule="exact"/>
        <w:rPr>
          <w:sz w:val="20"/>
          <w:szCs w:val="20"/>
          <w:color w:val="auto"/>
        </w:rPr>
      </w:pPr>
    </w:p>
    <w:p>
      <w:pPr>
        <w:jc w:val="both"/>
        <w:ind w:left="240" w:right="259" w:firstLine="6"/>
        <w:spacing w:after="0" w:line="234" w:lineRule="auto"/>
        <w:tabs>
          <w:tab w:leader="none" w:pos="50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commencement of a bankruptcy proceeding, unless the Party subject to such proceeding continues to perform all of its obligations under this Agreement, or (ii) if not delivered pursuant to clause (i) above because the subject Party continues to perform, upon the rejection of this Agreement by or on behalf of the subject Party.</w:t>
      </w:r>
    </w:p>
    <w:p>
      <w:pPr>
        <w:spacing w:after="0" w:line="177" w:lineRule="exact"/>
        <w:rPr>
          <w:sz w:val="20"/>
          <w:szCs w:val="20"/>
          <w:color w:val="auto"/>
        </w:rPr>
      </w:pPr>
    </w:p>
    <w:p>
      <w:pPr>
        <w:jc w:val="both"/>
        <w:ind w:left="240" w:right="259" w:firstLine="1296"/>
        <w:spacing w:after="0" w:line="238" w:lineRule="auto"/>
        <w:rPr>
          <w:sz w:val="20"/>
          <w:szCs w:val="20"/>
          <w:color w:val="auto"/>
        </w:rPr>
      </w:pPr>
      <w:r>
        <w:rPr>
          <w:rFonts w:ascii="Times New Roman" w:cs="Times New Roman" w:eastAsia="Times New Roman" w:hAnsi="Times New Roman"/>
          <w:sz w:val="22"/>
          <w:szCs w:val="22"/>
          <w:color w:val="auto"/>
        </w:rPr>
        <w:t>11.7.3 Unless and until the subject Party rejects this Agreement, the subject Party shall perform this Agreement or provide the intellectual property (including all embodiments of such intellectual property) to the non-subject Party, and shall not interfere with the rights of the non-subject Party to such intellectual property, including the right to obtain the intellectual property from another entity.</w:t>
      </w:r>
    </w:p>
    <w:p>
      <w:pPr>
        <w:spacing w:after="0" w:line="177" w:lineRule="exact"/>
        <w:rPr>
          <w:sz w:val="20"/>
          <w:szCs w:val="20"/>
          <w:color w:val="auto"/>
        </w:rPr>
      </w:pPr>
    </w:p>
    <w:p>
      <w:pPr>
        <w:jc w:val="both"/>
        <w:ind w:left="240" w:right="259" w:firstLine="1296"/>
        <w:spacing w:after="0" w:line="239" w:lineRule="auto"/>
        <w:rPr>
          <w:sz w:val="20"/>
          <w:szCs w:val="20"/>
          <w:color w:val="auto"/>
        </w:rPr>
      </w:pPr>
      <w:r>
        <w:rPr>
          <w:rFonts w:ascii="Times New Roman" w:cs="Times New Roman" w:eastAsia="Times New Roman" w:hAnsi="Times New Roman"/>
          <w:sz w:val="22"/>
          <w:szCs w:val="22"/>
          <w:color w:val="auto"/>
        </w:rPr>
        <w:t>11.7.4 The Parties acknowledge and agree that payments made under Section 6.2, 6.3 or 6.4 are not intended to be and shall not (i) constitute royalties within the meaning of Section 365(n) of the U.S. Bankruptcy Code or any analogous provisions in any other country or jurisdiction or (ii) relate to licenses of intellectual property hereunder.</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9019"/>
          </w:cols>
          <w:pgMar w:left="1440" w:top="1111"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7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72" w:name="page73"/>
    <w:bookmarkEnd w:id="72"/>
    <w:p>
      <w:pPr>
        <w:jc w:val="both"/>
        <w:ind w:left="240" w:right="259" w:firstLine="540"/>
        <w:spacing w:after="0" w:line="239"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Expiration or termination of this Agreement for any reason shall not release either Party from any obligation or liability which, at the time of such expiration or termination, has already accrued to the other Party or which is attributable to a period prior to such expiration or termination.</w:t>
      </w:r>
    </w:p>
    <w:p>
      <w:pPr>
        <w:spacing w:after="0" w:line="180" w:lineRule="exact"/>
        <w:rPr>
          <w:sz w:val="20"/>
          <w:szCs w:val="20"/>
          <w:color w:val="auto"/>
        </w:rPr>
      </w:pPr>
    </w:p>
    <w:p>
      <w:pPr>
        <w:jc w:val="both"/>
        <w:ind w:left="240" w:right="259" w:firstLine="540"/>
        <w:spacing w:after="0" w:line="244"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Non-Exclusive Remedy</w:t>
      </w:r>
      <w:r>
        <w:rPr>
          <w:rFonts w:ascii="Times New Roman" w:cs="Times New Roman" w:eastAsia="Times New Roman" w:hAnsi="Times New Roman"/>
          <w:sz w:val="22"/>
          <w:szCs w:val="22"/>
          <w:color w:val="auto"/>
        </w:rPr>
        <w:t>. Unless otherwise specified herein, termination of this Agreement by a Party shall be without prejudice to other remedies such Party may have at law or equity.</w:t>
      </w:r>
    </w:p>
    <w:p>
      <w:pPr>
        <w:spacing w:after="0" w:line="173" w:lineRule="exact"/>
        <w:rPr>
          <w:sz w:val="20"/>
          <w:szCs w:val="20"/>
          <w:color w:val="auto"/>
        </w:rPr>
      </w:pPr>
    </w:p>
    <w:p>
      <w:pPr>
        <w:jc w:val="both"/>
        <w:ind w:left="240" w:right="259" w:firstLine="540"/>
        <w:spacing w:after="0" w:line="234"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u w:val="single" w:color="auto"/>
          <w:color w:val="auto"/>
        </w:rPr>
        <w:t>General Survival</w:t>
      </w:r>
      <w:r>
        <w:rPr>
          <w:rFonts w:ascii="Times New Roman" w:cs="Times New Roman" w:eastAsia="Times New Roman" w:hAnsi="Times New Roman"/>
          <w:sz w:val="22"/>
          <w:szCs w:val="22"/>
          <w:color w:val="auto"/>
        </w:rPr>
        <w:t>. Sections 5.1.2 and 5.1.3 (Licenses from Aarvik to ArriVent; Restriction); Section 7.1 (Inventorship; Ownership), Section 7.6 (Trademarks), Article 8 (Confidentiality), Section 9.3 (No Other Representations or Warranties), Article 10 (Indemnification), Article 11 (Term and Termination), Article 12 (Dispute Resolution), Article 13 (Miscellaneous) shall survive expiration or termination of this Agreement for any reason. Unless expressly provided for as a surviving right or obligation elsewhere in the Agreement, all rights and obligations of the Parties under this Agreement (including the right to receive payments and the obligation to make payments) shall terminate upon expiration or termination of this Agreement for any reason.</w:t>
      </w:r>
    </w:p>
    <w:p>
      <w:pPr>
        <w:spacing w:after="0" w:line="183" w:lineRule="exact"/>
        <w:rPr>
          <w:sz w:val="20"/>
          <w:szCs w:val="20"/>
          <w:color w:val="auto"/>
        </w:rPr>
      </w:pPr>
    </w:p>
    <w:p>
      <w:pPr>
        <w:jc w:val="both"/>
        <w:ind w:left="240" w:right="259" w:firstLine="648"/>
        <w:spacing w:after="0" w:line="234"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u w:val="single" w:color="auto"/>
          <w:color w:val="auto"/>
        </w:rPr>
        <w:t>Return of Materials</w:t>
      </w:r>
      <w:r>
        <w:rPr>
          <w:rFonts w:ascii="Times New Roman" w:cs="Times New Roman" w:eastAsia="Times New Roman" w:hAnsi="Times New Roman"/>
          <w:sz w:val="22"/>
          <w:szCs w:val="22"/>
          <w:color w:val="auto"/>
        </w:rPr>
        <w:t>. Upon termination or expiration of this Agreement or termination of the Collaboration Program, subject to Section 8.6, each Party shall destroy all tangible items comprising, bearing or containing any Confidential Information of the other Party that are in its or its Affiliates’ possession or control that relate to the applicable terminated Collaboration Program, and provide written certification of such destruction, or prepare such tangible items of Confidential Information for shipment to the other Party, as the other Party may direct, at the other Party’s expense; provided that such Party may retain one copy of such Confidential Information for its legal archives. For clarity, the foregoing obligation to return shall not be applicable to jointly-owned Confidential Information (including materials).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DISPUTE RESOLUTION</w:t>
      </w:r>
    </w:p>
    <w:p>
      <w:pPr>
        <w:spacing w:after="0" w:line="182" w:lineRule="exact"/>
        <w:rPr>
          <w:sz w:val="20"/>
          <w:szCs w:val="20"/>
          <w:color w:val="auto"/>
        </w:rPr>
      </w:pPr>
    </w:p>
    <w:p>
      <w:pPr>
        <w:jc w:val="both"/>
        <w:ind w:left="240" w:right="259" w:firstLine="540"/>
        <w:spacing w:after="0" w:line="233"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xml:space="preserve">. Matters before the JRC shall be governed by the process specified in Article 2. Any controversy, claim or dispute arising out of or relating to this Agreement that is not subject to Article 2 shall be settled, if possible, through good faith negotiations between the Parties. If the Parties are unable to resolve any dispute or other matter arising out of or in connection with this Agreement, either Party may, by written notice to the other, have such dispute referred to the Executive Officers of the Parties for attempted resolution by good faith negotiations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after such notice is received. In such event, each Party shall cause its Executive Officer to meet (face-to-face or by teleconference) and be available to attempt to resolve such issue. If the Parties should resolve such dispute or claim, a memorandum setting forth their agreement shall be prepared and signed by both Parties if requested by either Party. The Parties shall cooperate in an effort to limit the issues for consideration in such manner as narrowly as reasonably practicable in order to resolve the dispute.</w:t>
      </w:r>
    </w:p>
    <w:p>
      <w:pPr>
        <w:spacing w:after="0" w:line="185"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For clarity, Article 12 shall not apply to any matters with respect to</w:t>
      </w:r>
    </w:p>
    <w:p>
      <w:pPr>
        <w:spacing w:after="0" w:line="14" w:lineRule="exact"/>
        <w:rPr>
          <w:sz w:val="20"/>
          <w:szCs w:val="20"/>
          <w:color w:val="auto"/>
        </w:rPr>
      </w:pPr>
    </w:p>
    <w:p>
      <w:pPr>
        <w:ind w:left="240" w:right="259" w:firstLine="6"/>
        <w:spacing w:after="0" w:line="237" w:lineRule="auto"/>
        <w:tabs>
          <w:tab w:leader="none" w:pos="57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enforceability or infringement of a patent, trademark or copyright; or (b) any antitrust, anti-monopoly or competition law or regulation, whether or not statutory.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13" w:lineRule="exact"/>
        <w:rPr>
          <w:sz w:val="20"/>
          <w:szCs w:val="20"/>
          <w:color w:val="auto"/>
        </w:rPr>
      </w:pPr>
    </w:p>
    <w:p>
      <w:pPr>
        <w:ind w:left="240" w:right="279" w:firstLine="6"/>
        <w:spacing w:after="0" w:line="228" w:lineRule="auto"/>
        <w:tabs>
          <w:tab w:leader="none" w:pos="549"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3" w:name="page74"/>
    <w:bookmarkEnd w:id="73"/>
    <w:p>
      <w:pPr>
        <w:jc w:val="both"/>
        <w:ind w:left="240" w:right="259" w:firstLine="540"/>
        <w:spacing w:after="0" w:line="235"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Any dispute, controversy or claim arising under, out of or relating to this contract and any subsequent amendments of this contract, including, without limitation, its formation, validity, binding effect, interpretation, performance, breach or termination, as well as non-contractual claims, shall be referred to and finally determined by arbitration in accordance with the Rules of Arbitration of the International Chamber of Commerce. The arbitral tribunal shall consist of three arbitrators. The place of arbitration shall be New York, the United States. The language to be used in the arbitral proceedings shall be English.</w:t>
      </w:r>
    </w:p>
    <w:p>
      <w:pPr>
        <w:spacing w:after="0" w:line="183" w:lineRule="exact"/>
        <w:rPr>
          <w:sz w:val="20"/>
          <w:szCs w:val="20"/>
          <w:color w:val="auto"/>
        </w:rPr>
      </w:pPr>
    </w:p>
    <w:p>
      <w:pPr>
        <w:jc w:val="both"/>
        <w:ind w:left="240" w:right="259" w:firstLine="540"/>
        <w:spacing w:after="0" w:line="238"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Notwithstanding anything to the contrary in this Article 12, any Party may seek immediate injunctive or other interim relief from any court of competent jurisdiction as necessary to enforce the provisions of this Article 12 and to enforce and prevent infringement or misappropriation of the Patents, Know-How or Confidential Information Controlled by such Party.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jc w:val="both"/>
        <w:ind w:left="240" w:right="259" w:firstLine="540"/>
        <w:spacing w:after="0" w:line="235"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any claims or disputes arising out of or related thereto or to the transactions contemplated thereby or to the inducement of any party to enter therein, whether for breach of contract, tortious conduct, or otherwise, and whether predicated on common law, statute, or otherwise) shall in all respects be governed by and construed in accordance with the laws of the State of New York, including all matters of construction, validity and performance, in each case without reference to any conflict of law rules that might lead to the application of the laws of any other jurisdiction.</w:t>
      </w:r>
    </w:p>
    <w:p>
      <w:pPr>
        <w:spacing w:after="0" w:line="183" w:lineRule="exact"/>
        <w:rPr>
          <w:sz w:val="20"/>
          <w:szCs w:val="20"/>
          <w:color w:val="auto"/>
        </w:rPr>
      </w:pPr>
    </w:p>
    <w:p>
      <w:pPr>
        <w:jc w:val="both"/>
        <w:ind w:left="240" w:right="259" w:firstLine="540"/>
        <w:spacing w:after="0" w:line="238"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shall not be assignable by either Party to any Third Party without the written consent of the other Party. Notwithstanding the foregoing, either Party may assign this Agreement, without the written consent of the other Party, to: (a) an Affiliate; or</w:t>
      </w:r>
    </w:p>
    <w:p>
      <w:pPr>
        <w:jc w:val="both"/>
        <w:ind w:left="240" w:right="259" w:firstLine="6"/>
        <w:spacing w:after="0" w:line="232" w:lineRule="auto"/>
        <w:tabs>
          <w:tab w:leader="none" w:pos="5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entity that acquires all or substantially all of the business or assets of such Party to which this Agreement pertains (whether by merger, reorganization, acquisition, sale or otherwise), and in each case that agrees in writing to be bound by the terms and conditions of this Agreement. No assignment or transfer of this Agreement shall be valid and effective unless and until the assignee/transferee agrees in writing to be bound by the provisions of this Agreement. The terms and conditions of this Agreement shall be binding on and inure to the benefit of the permitted successors and assigns of the Parties. Except as expressly provided in this Section 13.2, any attempted assignment or transfer of this Agreement shall be null and void.</w:t>
      </w:r>
    </w:p>
    <w:p>
      <w:pPr>
        <w:spacing w:after="0" w:line="180" w:lineRule="exact"/>
        <w:rPr>
          <w:sz w:val="20"/>
          <w:szCs w:val="20"/>
          <w:color w:val="auto"/>
        </w:rPr>
      </w:pPr>
    </w:p>
    <w:p>
      <w:pPr>
        <w:jc w:val="both"/>
        <w:ind w:left="240" w:right="259" w:firstLine="540"/>
        <w:spacing w:after="0" w:line="234"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notice, request, delivery, approval or consent required or permitted to be given under this Agreement shall be in writing and shall be deemed to have been sufficiently given if delivered in person, via email for which receipt has been confirmed by the recipient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hours, transmitted by facsimile (receipt verified) or by express courier service (signature required)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days after it was sent by registered letter, return receipt requested (or its equivalent), provided that no postal strike or other disruption is then in effect or comes into effect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after such mailing, to the Party to which it is directed at its address or facsimile number shown below or such other address or facsimile number as such Party shall have last given by notice to the other Party.</w:t>
      </w:r>
    </w:p>
    <w:p>
      <w:pPr>
        <w:spacing w:after="0" w:line="210" w:lineRule="exact"/>
        <w:rPr>
          <w:sz w:val="20"/>
          <w:szCs w:val="20"/>
          <w:color w:val="auto"/>
        </w:rPr>
      </w:pPr>
    </w:p>
    <w:p>
      <w:pPr>
        <w:ind w:left="1000"/>
        <w:spacing w:after="0"/>
        <w:tabs>
          <w:tab w:leader="none" w:pos="4120" w:val="left"/>
        </w:tabs>
        <w:rPr>
          <w:sz w:val="20"/>
          <w:szCs w:val="20"/>
          <w:color w:val="auto"/>
        </w:rPr>
      </w:pPr>
      <w:r>
        <w:rPr>
          <w:rFonts w:ascii="Times New Roman" w:cs="Times New Roman" w:eastAsia="Times New Roman" w:hAnsi="Times New Roman"/>
          <w:sz w:val="22"/>
          <w:szCs w:val="22"/>
          <w:color w:val="auto"/>
        </w:rPr>
        <w:t>If to Aarvik, addressed to:</w:t>
      </w:r>
      <w:r>
        <w:rPr>
          <w:sz w:val="20"/>
          <w:szCs w:val="20"/>
          <w:color w:val="auto"/>
        </w:rPr>
        <w:tab/>
      </w:r>
      <w:r>
        <w:rPr>
          <w:rFonts w:ascii="Times New Roman" w:cs="Times New Roman" w:eastAsia="Times New Roman" w:hAnsi="Times New Roman"/>
          <w:sz w:val="21"/>
          <w:szCs w:val="21"/>
          <w:color w:val="auto"/>
        </w:rPr>
        <w:t>Aarvik Therapeutics, Inc.</w:t>
      </w:r>
    </w:p>
    <w:p>
      <w:pPr>
        <w:spacing w:after="0" w:line="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Attention: Jagath Reddy Junutula, CEO</w:t>
      </w:r>
    </w:p>
    <w:p>
      <w:pPr>
        <w:ind w:left="4140"/>
        <w:spacing w:after="0"/>
        <w:tabs>
          <w:tab w:leader="none" w:pos="5400"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2"/>
          <w:szCs w:val="22"/>
          <w:color w:val="auto"/>
        </w:rPr>
        <w:t>31363 Medallion Drive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9019"/>
          </w:cols>
          <w:pgMar w:left="1440" w:top="895"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7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74" w:name="page75"/>
    <w:bookmarkEnd w:id="74"/>
    <w:p>
      <w:pPr>
        <w:ind w:left="5420"/>
        <w:spacing w:after="0"/>
        <w:rPr>
          <w:sz w:val="20"/>
          <w:szCs w:val="20"/>
          <w:color w:val="auto"/>
        </w:rPr>
      </w:pPr>
      <w:r>
        <w:rPr>
          <w:rFonts w:ascii="Times New Roman" w:cs="Times New Roman" w:eastAsia="Times New Roman" w:hAnsi="Times New Roman"/>
          <w:sz w:val="22"/>
          <w:szCs w:val="22"/>
          <w:color w:val="auto"/>
        </w:rPr>
        <w:t>Hayward, CA 94544</w:t>
      </w:r>
    </w:p>
    <w:p>
      <w:pPr>
        <w:spacing w:after="0" w:line="233" w:lineRule="exact"/>
        <w:rPr>
          <w:sz w:val="20"/>
          <w:szCs w:val="20"/>
          <w:color w:val="auto"/>
        </w:rPr>
      </w:pPr>
    </w:p>
    <w:p>
      <w:pPr>
        <w:ind w:left="1000"/>
        <w:spacing w:after="0"/>
        <w:tabs>
          <w:tab w:leader="none" w:pos="410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Fox Rothschild LLP</w:t>
      </w:r>
    </w:p>
    <w:p>
      <w:pPr>
        <w:spacing w:after="0" w:line="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Attention: Terrence Kerwin, Esq.</w:t>
      </w:r>
    </w:p>
    <w:p>
      <w:pPr>
        <w:ind w:left="4140"/>
        <w:spacing w:after="0" w:line="230" w:lineRule="auto"/>
        <w:tabs>
          <w:tab w:leader="none" w:pos="5400"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2"/>
          <w:szCs w:val="22"/>
          <w:color w:val="auto"/>
        </w:rPr>
        <w:t>747 Constitution Drive</w:t>
      </w:r>
    </w:p>
    <w:p>
      <w:pPr>
        <w:ind w:left="542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5420"/>
        <w:spacing w:after="0"/>
        <w:rPr>
          <w:sz w:val="20"/>
          <w:szCs w:val="20"/>
          <w:color w:val="auto"/>
        </w:rPr>
      </w:pPr>
      <w:r>
        <w:rPr>
          <w:rFonts w:ascii="Times New Roman" w:cs="Times New Roman" w:eastAsia="Times New Roman" w:hAnsi="Times New Roman"/>
          <w:sz w:val="22"/>
          <w:szCs w:val="22"/>
          <w:color w:val="auto"/>
        </w:rPr>
        <w:t>Exton, PA 19341-0673</w:t>
      </w:r>
    </w:p>
    <w:p>
      <w:pPr>
        <w:spacing w:after="0" w:line="209" w:lineRule="exact"/>
        <w:rPr>
          <w:sz w:val="20"/>
          <w:szCs w:val="20"/>
          <w:color w:val="auto"/>
        </w:rPr>
      </w:pPr>
    </w:p>
    <w:p>
      <w:pPr>
        <w:ind w:left="1000"/>
        <w:spacing w:after="0"/>
        <w:tabs>
          <w:tab w:leader="none" w:pos="4080" w:val="left"/>
        </w:tabs>
        <w:rPr>
          <w:sz w:val="20"/>
          <w:szCs w:val="20"/>
          <w:color w:val="auto"/>
        </w:rPr>
      </w:pPr>
      <w:r>
        <w:rPr>
          <w:rFonts w:ascii="Times New Roman" w:cs="Times New Roman" w:eastAsia="Times New Roman" w:hAnsi="Times New Roman"/>
          <w:sz w:val="22"/>
          <w:szCs w:val="22"/>
          <w:color w:val="auto"/>
        </w:rPr>
        <w:t>If to ArriVent, addressed to:</w:t>
      </w:r>
      <w:r>
        <w:rPr>
          <w:sz w:val="20"/>
          <w:szCs w:val="20"/>
          <w:color w:val="auto"/>
        </w:rPr>
        <w:tab/>
      </w:r>
      <w:r>
        <w:rPr>
          <w:rFonts w:ascii="Times New Roman" w:cs="Times New Roman" w:eastAsia="Times New Roman" w:hAnsi="Times New Roman"/>
          <w:sz w:val="21"/>
          <w:szCs w:val="21"/>
          <w:color w:val="auto"/>
        </w:rPr>
        <w:t>ArriVent Biopharma, Inc.</w:t>
      </w:r>
    </w:p>
    <w:p>
      <w:pPr>
        <w:spacing w:after="0" w:line="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Attention: Zhengbin Yao</w:t>
      </w:r>
    </w:p>
    <w:p>
      <w:pPr>
        <w:ind w:left="4140"/>
        <w:spacing w:after="0" w:line="230" w:lineRule="auto"/>
        <w:rPr>
          <w:sz w:val="20"/>
          <w:szCs w:val="20"/>
          <w:color w:val="auto"/>
        </w:rPr>
      </w:pPr>
      <w:r>
        <w:rPr>
          <w:rFonts w:ascii="Times New Roman" w:cs="Times New Roman" w:eastAsia="Times New Roman" w:hAnsi="Times New Roman"/>
          <w:sz w:val="22"/>
          <w:szCs w:val="22"/>
          <w:color w:val="auto"/>
        </w:rPr>
        <w:t>Address: 18 Campus Blvd</w:t>
      </w:r>
    </w:p>
    <w:p>
      <w:pPr>
        <w:ind w:left="49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940"/>
        <w:spacing w:after="0"/>
        <w:rPr>
          <w:sz w:val="20"/>
          <w:szCs w:val="20"/>
          <w:color w:val="auto"/>
        </w:rPr>
      </w:pPr>
      <w:r>
        <w:rPr>
          <w:rFonts w:ascii="Times New Roman" w:cs="Times New Roman" w:eastAsia="Times New Roman" w:hAnsi="Times New Roman"/>
          <w:sz w:val="22"/>
          <w:szCs w:val="22"/>
          <w:color w:val="auto"/>
        </w:rPr>
        <w:t>Newtown Square, PA 19073-3269</w:t>
      </w:r>
    </w:p>
    <w:p>
      <w:pPr>
        <w:spacing w:after="0" w:line="209" w:lineRule="exact"/>
        <w:rPr>
          <w:sz w:val="20"/>
          <w:szCs w:val="20"/>
          <w:color w:val="auto"/>
        </w:rPr>
      </w:pPr>
    </w:p>
    <w:p>
      <w:pPr>
        <w:ind w:left="1000"/>
        <w:spacing w:after="0"/>
        <w:tabs>
          <w:tab w:leader="none" w:pos="4100" w:val="left"/>
        </w:tabs>
        <w:rPr>
          <w:sz w:val="20"/>
          <w:szCs w:val="20"/>
          <w:color w:val="auto"/>
        </w:rPr>
      </w:pPr>
      <w:r>
        <w:rPr>
          <w:rFonts w:ascii="Times New Roman" w:cs="Times New Roman" w:eastAsia="Times New Roman" w:hAnsi="Times New Roman"/>
          <w:sz w:val="22"/>
          <w:szCs w:val="22"/>
          <w:color w:val="auto"/>
        </w:rPr>
        <w:t>With copies to:</w:t>
      </w:r>
      <w:r>
        <w:rPr>
          <w:sz w:val="20"/>
          <w:szCs w:val="20"/>
          <w:color w:val="auto"/>
        </w:rPr>
        <w:tab/>
      </w:r>
      <w:r>
        <w:rPr>
          <w:rFonts w:ascii="Times New Roman" w:cs="Times New Roman" w:eastAsia="Times New Roman" w:hAnsi="Times New Roman"/>
          <w:sz w:val="21"/>
          <w:szCs w:val="21"/>
          <w:color w:val="auto"/>
        </w:rPr>
        <w:t>ArriVent Biopharma, Inc.</w:t>
      </w:r>
    </w:p>
    <w:p>
      <w:pPr>
        <w:spacing w:after="0" w:line="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Attention: Legal Department</w:t>
      </w:r>
    </w:p>
    <w:p>
      <w:pPr>
        <w:ind w:left="4140"/>
        <w:spacing w:after="0" w:line="230" w:lineRule="auto"/>
        <w:rPr>
          <w:sz w:val="20"/>
          <w:szCs w:val="20"/>
          <w:color w:val="auto"/>
        </w:rPr>
      </w:pPr>
      <w:r>
        <w:rPr>
          <w:rFonts w:ascii="Times New Roman" w:cs="Times New Roman" w:eastAsia="Times New Roman" w:hAnsi="Times New Roman"/>
          <w:sz w:val="22"/>
          <w:szCs w:val="22"/>
          <w:color w:val="auto"/>
        </w:rPr>
        <w:t>Address: 18 Campus Blvd</w:t>
      </w:r>
    </w:p>
    <w:p>
      <w:pPr>
        <w:ind w:left="49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880"/>
        <w:spacing w:after="0"/>
        <w:rPr>
          <w:sz w:val="20"/>
          <w:szCs w:val="20"/>
          <w:color w:val="auto"/>
        </w:rPr>
      </w:pPr>
      <w:r>
        <w:rPr>
          <w:rFonts w:ascii="Times New Roman" w:cs="Times New Roman" w:eastAsia="Times New Roman" w:hAnsi="Times New Roman"/>
          <w:sz w:val="22"/>
          <w:szCs w:val="22"/>
          <w:color w:val="auto"/>
        </w:rPr>
        <w:t>Newtown Square, PA 19073-3269</w:t>
      </w:r>
    </w:p>
    <w:p>
      <w:pPr>
        <w:spacing w:after="0" w:line="182" w:lineRule="exact"/>
        <w:rPr>
          <w:sz w:val="20"/>
          <w:szCs w:val="20"/>
          <w:color w:val="auto"/>
        </w:rPr>
      </w:pPr>
    </w:p>
    <w:p>
      <w:pPr>
        <w:jc w:val="both"/>
        <w:ind w:left="240" w:right="259" w:firstLine="540"/>
        <w:spacing w:after="0" w:line="236"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Neither Party may waive or release any of its rights or interests in this Agreement except in writing. The failure of either Party to assert a right hereunder or to insist upon compliance with any term or condition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w:t>
      </w:r>
    </w:p>
    <w:p>
      <w:pPr>
        <w:spacing w:after="0" w:line="181" w:lineRule="exact"/>
        <w:rPr>
          <w:sz w:val="20"/>
          <w:szCs w:val="20"/>
          <w:color w:val="auto"/>
        </w:rPr>
      </w:pPr>
    </w:p>
    <w:p>
      <w:pPr>
        <w:jc w:val="both"/>
        <w:ind w:left="240" w:right="259" w:firstLine="540"/>
        <w:spacing w:after="0" w:line="234"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u w:val="single" w:color="auto"/>
          <w:color w:val="auto"/>
        </w:rPr>
        <w:t>Entire Agreement/Modification</w:t>
      </w:r>
      <w:r>
        <w:rPr>
          <w:rFonts w:ascii="Times New Roman" w:cs="Times New Roman" w:eastAsia="Times New Roman" w:hAnsi="Times New Roman"/>
          <w:sz w:val="22"/>
          <w:szCs w:val="22"/>
          <w:color w:val="auto"/>
        </w:rPr>
        <w:t>. This Agreement, including its Exhibits (and any amendments properly made pursuant to the terms of this Agreement), sets forth all the covenants, promises, agreements, warranties, representations, conditions and understandings between the Parties and supersedes and terminates all prior agreements and understandings between the Parties, including, without limitation, the Original Agreement. No subsequent alteration, amendment, change or addition to this Agreement shall be binding upon the Parties unless reduced to writing and signed by the respective authorized officers of the Parties. In the event of inconsistencies between this Agreement and any Exhibits or attachments hereto, the terms of this Agreement shall control.</w:t>
      </w:r>
    </w:p>
    <w:p>
      <w:pPr>
        <w:spacing w:after="0" w:line="183" w:lineRule="exact"/>
        <w:rPr>
          <w:sz w:val="20"/>
          <w:szCs w:val="20"/>
          <w:color w:val="auto"/>
        </w:rPr>
      </w:pPr>
    </w:p>
    <w:p>
      <w:pPr>
        <w:jc w:val="both"/>
        <w:ind w:left="240" w:right="259" w:firstLine="540"/>
        <w:spacing w:after="0" w:line="233"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Neither Party shall be liable to the other for failure or delay in the performance of any of its obligations under this Agreement for the time and to the extent such failure or delay is caused by earthquake, riot, civil commotion, war, terrorist acts, strike, flood, or governmental acts or restriction, or other cause that is beyond the reasonable control of the respective Party. The Parties agree the effects of the COVID-19 pandemic that is ongoing as of the Restated Agreement Effective Date may be invoked as a force majeure event for the purposes of this Agreement solely to the extent those effects are not reasonably foreseeable by the Parties as of the Restated Agreement Effective Date. The Party affected by such force majeure shall provide the other Party with full particulars thereof as soon as it becomes aware of the same (including its best estimate of the likely extent and duration of the interference with its activities), and shall use commercially reasonable efforts to overcome the difficulties created thereby and to resume performance of its obligations as soon as practicable. If the performance of any such obligation under this Agreement is delayed owing to such a force majeure for any</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9019"/>
          </w:cols>
          <w:pgMar w:left="1440" w:top="895"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7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75" w:name="page76"/>
    <w:bookmarkEnd w:id="75"/>
    <w:p>
      <w:pPr>
        <w:jc w:val="both"/>
        <w:ind w:left="240" w:right="259"/>
        <w:spacing w:after="0" w:line="262" w:lineRule="auto"/>
        <w:rPr>
          <w:sz w:val="20"/>
          <w:szCs w:val="20"/>
          <w:color w:val="auto"/>
        </w:rPr>
      </w:pPr>
      <w:r>
        <w:rPr>
          <w:rFonts w:ascii="Times New Roman" w:cs="Times New Roman" w:eastAsia="Times New Roman" w:hAnsi="Times New Roman"/>
          <w:sz w:val="22"/>
          <w:szCs w:val="22"/>
          <w:color w:val="auto"/>
        </w:rPr>
        <w:t xml:space="preserve">continuous period of more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days, the Parties shall consult with respect to an equitable solution, including the possibility of the mutual termination of this Agreement.</w:t>
      </w:r>
    </w:p>
    <w:p>
      <w:pPr>
        <w:spacing w:after="0" w:line="154" w:lineRule="exact"/>
        <w:rPr>
          <w:sz w:val="20"/>
          <w:szCs w:val="20"/>
          <w:color w:val="auto"/>
        </w:rPr>
      </w:pPr>
    </w:p>
    <w:p>
      <w:pPr>
        <w:jc w:val="both"/>
        <w:ind w:left="240" w:right="259" w:firstLine="540"/>
        <w:spacing w:after="0" w:line="248" w:lineRule="auto"/>
        <w:rPr>
          <w:sz w:val="20"/>
          <w:szCs w:val="20"/>
          <w:color w:val="auto"/>
        </w:rPr>
      </w:pPr>
      <w:r>
        <w:rPr>
          <w:rFonts w:ascii="Times New Roman" w:cs="Times New Roman" w:eastAsia="Times New Roman" w:hAnsi="Times New Roman"/>
          <w:sz w:val="21"/>
          <w:szCs w:val="21"/>
          <w:color w:val="auto"/>
        </w:rPr>
        <w:t xml:space="preserve">13.7 </w:t>
      </w:r>
      <w:r>
        <w:rPr>
          <w:rFonts w:ascii="Times New Roman" w:cs="Times New Roman" w:eastAsia="Times New Roman" w:hAnsi="Times New Roman"/>
          <w:sz w:val="21"/>
          <w:szCs w:val="21"/>
          <w:u w:val="single" w:color="auto"/>
          <w:color w:val="auto"/>
        </w:rPr>
        <w:t>Independent Contractors</w:t>
      </w:r>
      <w:r>
        <w:rPr>
          <w:rFonts w:ascii="Times New Roman" w:cs="Times New Roman" w:eastAsia="Times New Roman" w:hAnsi="Times New Roman"/>
          <w:sz w:val="21"/>
          <w:szCs w:val="21"/>
          <w:color w:val="auto"/>
        </w:rPr>
        <w:t>. It is understood and agreed that the relationship between the Parties is that of independent contractors and that nothing in this Agreement shall be construed to create a joint venture or any relationship of employment, agency or partnership between the Parties to this Agreement. Neither Party is authorized to make any representations, commitments, or statements of any kind on behalf of the other Party or to take any action that would bind the other Party except as explicitly provided in this Agreement. Furthermore, none of the transactions contemplated by this Agreement shall be construed as a partnership for any tax purposes.</w:t>
      </w:r>
    </w:p>
    <w:p>
      <w:pPr>
        <w:spacing w:after="0" w:line="170" w:lineRule="exact"/>
        <w:rPr>
          <w:sz w:val="20"/>
          <w:szCs w:val="20"/>
          <w:color w:val="auto"/>
        </w:rPr>
      </w:pPr>
    </w:p>
    <w:p>
      <w:pPr>
        <w:jc w:val="both"/>
        <w:ind w:left="240" w:right="259" w:firstLine="540"/>
        <w:spacing w:after="0" w:line="236"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u w:val="single" w:color="auto"/>
          <w:color w:val="auto"/>
        </w:rPr>
        <w:t>No Implied Waivers; Rights Cumulative</w:t>
      </w:r>
      <w:r>
        <w:rPr>
          <w:rFonts w:ascii="Times New Roman" w:cs="Times New Roman" w:eastAsia="Times New Roman" w:hAnsi="Times New Roman"/>
          <w:sz w:val="22"/>
          <w:szCs w:val="22"/>
          <w:color w:val="auto"/>
        </w:rPr>
        <w:t>. No failure or delay on the part of either Party to exercise any right under this Agreement shall constitute a waiver of such right by such Party, or be construed as a waiver of any breach of this Agreement, nor shall any single or partial exercise of any such right by a Party preclude any other or further exercise of such right or the exercise of any other right. Any waiver by a Party of a particular provision or right must be in writing, be specific to and reference a particular matter, and be signed by such Party.</w:t>
      </w:r>
    </w:p>
    <w:p>
      <w:pPr>
        <w:spacing w:after="0" w:line="181" w:lineRule="exact"/>
        <w:rPr>
          <w:sz w:val="20"/>
          <w:szCs w:val="20"/>
          <w:color w:val="auto"/>
        </w:rPr>
      </w:pPr>
    </w:p>
    <w:p>
      <w:pPr>
        <w:jc w:val="both"/>
        <w:ind w:left="240" w:right="259" w:firstLine="540"/>
        <w:spacing w:after="0" w:line="235" w:lineRule="auto"/>
        <w:rPr>
          <w:sz w:val="20"/>
          <w:szCs w:val="20"/>
          <w:color w:val="auto"/>
        </w:rPr>
      </w:pPr>
      <w:r>
        <w:rPr>
          <w:rFonts w:ascii="Times New Roman" w:cs="Times New Roman" w:eastAsia="Times New Roman" w:hAnsi="Times New Roman"/>
          <w:sz w:val="22"/>
          <w:szCs w:val="22"/>
          <w:color w:val="auto"/>
        </w:rPr>
        <w:t xml:space="preserve">13.9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under Applicable Laws, any provision of this Agreement is adjudicated invalid or unenforceable by a court of competent jurisdiction, or otherwise directly or indirectly affects the validity of any other material provision(s) of this Agreement (such invalid or unenforceable provision, a “severed clause”), such adjudication shall not affect or impair the remaining provisions of this Agreement, which shall continue in full force and effect. Promptly following such adjudication, the Parties shall negotiate in good faith to agree upon a valid and enforceable provision that is a reasonable substitute for the severed clause in view of the intent of this Agreement.</w:t>
      </w:r>
    </w:p>
    <w:p>
      <w:pPr>
        <w:spacing w:after="0" w:line="178" w:lineRule="exact"/>
        <w:rPr>
          <w:sz w:val="20"/>
          <w:szCs w:val="20"/>
          <w:color w:val="auto"/>
        </w:rPr>
      </w:pPr>
    </w:p>
    <w:p>
      <w:pPr>
        <w:jc w:val="both"/>
        <w:ind w:left="240" w:right="259" w:firstLine="540"/>
        <w:spacing w:after="0" w:line="244" w:lineRule="auto"/>
        <w:rPr>
          <w:sz w:val="20"/>
          <w:szCs w:val="20"/>
          <w:color w:val="auto"/>
        </w:rPr>
      </w:pPr>
      <w:r>
        <w:rPr>
          <w:rFonts w:ascii="Times New Roman" w:cs="Times New Roman" w:eastAsia="Times New Roman" w:hAnsi="Times New Roman"/>
          <w:sz w:val="22"/>
          <w:szCs w:val="22"/>
          <w:color w:val="auto"/>
        </w:rPr>
        <w:t xml:space="preserve">13.10 </w:t>
      </w:r>
      <w:r>
        <w:rPr>
          <w:rFonts w:ascii="Times New Roman" w:cs="Times New Roman" w:eastAsia="Times New Roman" w:hAnsi="Times New Roman"/>
          <w:sz w:val="22"/>
          <w:szCs w:val="22"/>
          <w:u w:val="single" w:color="auto"/>
          <w:color w:val="auto"/>
        </w:rPr>
        <w:t>Cumulative Remedies</w:t>
      </w:r>
      <w:r>
        <w:rPr>
          <w:rFonts w:ascii="Times New Roman" w:cs="Times New Roman" w:eastAsia="Times New Roman" w:hAnsi="Times New Roman"/>
          <w:sz w:val="22"/>
          <w:szCs w:val="22"/>
          <w:color w:val="auto"/>
        </w:rPr>
        <w:t>. Unless otherwise specified herein, no remedy referred to in this Agreement is intended to be exclusive, but each shall be cumulative and in addition to any other remedy referred to in this Agreement or otherwise available under Applicable Laws.</w:t>
      </w:r>
    </w:p>
    <w:p>
      <w:pPr>
        <w:spacing w:after="0" w:line="173" w:lineRule="exact"/>
        <w:rPr>
          <w:sz w:val="20"/>
          <w:szCs w:val="20"/>
          <w:color w:val="auto"/>
        </w:rPr>
      </w:pPr>
    </w:p>
    <w:p>
      <w:pPr>
        <w:jc w:val="both"/>
        <w:ind w:left="240" w:right="259" w:firstLine="540"/>
        <w:spacing w:after="0" w:line="236" w:lineRule="auto"/>
        <w:rPr>
          <w:sz w:val="20"/>
          <w:szCs w:val="20"/>
          <w:color w:val="auto"/>
        </w:rPr>
      </w:pPr>
      <w:r>
        <w:rPr>
          <w:rFonts w:ascii="Times New Roman" w:cs="Times New Roman" w:eastAsia="Times New Roman" w:hAnsi="Times New Roman"/>
          <w:sz w:val="22"/>
          <w:szCs w:val="22"/>
          <w:color w:val="auto"/>
        </w:rPr>
        <w:t xml:space="preserve">13.11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Party will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81" w:lineRule="exact"/>
        <w:rPr>
          <w:sz w:val="20"/>
          <w:szCs w:val="20"/>
          <w:color w:val="auto"/>
        </w:rPr>
      </w:pPr>
    </w:p>
    <w:p>
      <w:pPr>
        <w:jc w:val="both"/>
        <w:ind w:left="240" w:right="259" w:firstLine="540"/>
        <w:spacing w:after="0" w:line="236" w:lineRule="auto"/>
        <w:rPr>
          <w:sz w:val="20"/>
          <w:szCs w:val="20"/>
          <w:color w:val="auto"/>
        </w:rPr>
      </w:pPr>
      <w:r>
        <w:rPr>
          <w:rFonts w:ascii="Times New Roman" w:cs="Times New Roman" w:eastAsia="Times New Roman" w:hAnsi="Times New Roman"/>
          <w:sz w:val="22"/>
          <w:szCs w:val="22"/>
          <w:color w:val="auto"/>
        </w:rPr>
        <w:t xml:space="preserve">13.12 </w:t>
      </w: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xml:space="preserve">. No Person other than Aarvik and ArriVent (and their respective permitted assignees) shall be deemed an intended beneficiary hereunder or have any right to enforce any obligation of this Agreement; provided, however, that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be an intended third party beneficiary for purposes of enforcing (i) the scope of the license granted hereunder that is subject to the terms and conditions of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(ii) any restrictions on the use of any materials or confidential information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set forth herein.</w:t>
      </w:r>
    </w:p>
    <w:p>
      <w:pPr>
        <w:spacing w:after="0" w:line="181" w:lineRule="exact"/>
        <w:rPr>
          <w:sz w:val="20"/>
          <w:szCs w:val="20"/>
          <w:color w:val="auto"/>
        </w:rPr>
      </w:pPr>
    </w:p>
    <w:p>
      <w:pPr>
        <w:jc w:val="both"/>
        <w:ind w:left="240" w:right="259" w:firstLine="540"/>
        <w:spacing w:after="0" w:line="239" w:lineRule="auto"/>
        <w:rPr>
          <w:sz w:val="20"/>
          <w:szCs w:val="20"/>
          <w:color w:val="auto"/>
        </w:rPr>
      </w:pPr>
      <w:r>
        <w:rPr>
          <w:rFonts w:ascii="Times New Roman" w:cs="Times New Roman" w:eastAsia="Times New Roman" w:hAnsi="Times New Roman"/>
          <w:sz w:val="22"/>
          <w:szCs w:val="22"/>
          <w:color w:val="auto"/>
        </w:rPr>
        <w:t xml:space="preserve">13.13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captions and headings to this Agreement are for convenience only, and are to be of no force or effect in construing or interpreting any of the provisions of this Agreement. Unless specified to the contrary, references to Articles, Sections or Exhibits mean the particular Articles, Sections or Exhibits to this Agreement and references to this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9019"/>
          </w:cols>
          <w:pgMar w:left="1440" w:top="1107" w:right="1440" w:bottom="1440" w:gutter="0" w:footer="0" w:header="0"/>
        </w:sectPr>
      </w:pPr>
    </w:p>
    <w:p>
      <w:pPr>
        <w:spacing w:after="0" w:line="13" w:lineRule="exact"/>
        <w:rPr>
          <w:sz w:val="20"/>
          <w:szCs w:val="20"/>
          <w:color w:val="auto"/>
        </w:rPr>
      </w:pPr>
    </w:p>
    <w:p>
      <w:pPr>
        <w:ind w:left="240" w:right="279" w:firstLine="6"/>
        <w:spacing w:after="0" w:line="228" w:lineRule="auto"/>
        <w:tabs>
          <w:tab w:leader="none" w:pos="549" w:val="left"/>
        </w:tabs>
        <w:numPr>
          <w:ilvl w:val="0"/>
          <w:numId w:val="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type w:val="continuous"/>
        </w:sectPr>
      </w:pPr>
    </w:p>
    <w:bookmarkStart w:id="76" w:name="page77"/>
    <w:bookmarkEnd w:id="76"/>
    <w:p>
      <w:pPr>
        <w:jc w:val="both"/>
        <w:ind w:left="240" w:right="259"/>
        <w:spacing w:after="0" w:line="244" w:lineRule="auto"/>
        <w:rPr>
          <w:sz w:val="20"/>
          <w:szCs w:val="20"/>
          <w:color w:val="auto"/>
        </w:rPr>
      </w:pPr>
      <w:r>
        <w:rPr>
          <w:rFonts w:ascii="Times New Roman" w:cs="Times New Roman" w:eastAsia="Times New Roman" w:hAnsi="Times New Roman"/>
          <w:sz w:val="21"/>
          <w:szCs w:val="21"/>
          <w:color w:val="auto"/>
        </w:rPr>
        <w:t>Agreement include all Exhibits hereto. Unless context otherwise clearly requires, whenever used in this Agreement: (a) the words “include” or “including” shall be construed as incorporating, also, “but not limited to” or “without limitation;” (b) the word “day” or “year” shall mean a calendar day or year unless otherwise specified; (c) the word “notice” shall mean notice in writing (whether or not specifically stated) and shall include notices, consents, approvals and other written communications contemplated under this Agreement; (d) the words “hereof,” “herein,” “hereby” and derivative or similar words refer to this Agreement (including any Exhibits); (e) the word “or” shall be construed as the inclusive meaning identified with the phrase “and/or;”</w:t>
      </w:r>
    </w:p>
    <w:p>
      <w:pPr>
        <w:spacing w:after="0" w:line="4" w:lineRule="exact"/>
        <w:rPr>
          <w:sz w:val="20"/>
          <w:szCs w:val="20"/>
          <w:color w:val="auto"/>
        </w:rPr>
      </w:pPr>
    </w:p>
    <w:p>
      <w:pPr>
        <w:jc w:val="both"/>
        <w:ind w:left="240" w:right="259" w:firstLine="6"/>
        <w:spacing w:after="0" w:line="231" w:lineRule="auto"/>
        <w:tabs>
          <w:tab w:leader="none" w:pos="51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that require that a Party, the Parties or a committee hereunder “agree,” “consent” or “approve” or the like shall require that such agreement, consent or approval be specific and in writing, whether by written agreement, letter, approved minutes or otherwise; (g) words of any gender include the other gender; (h) words using the singular or plural number also include the plural or singular number, respectively; and (i) references to any specific law, rule or regulation, or article, section or other division thereof, shall be deemed to include the then-current amendments thereto or any replacement law, rule or regulation thereof.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87" w:lineRule="exact"/>
        <w:rPr>
          <w:sz w:val="20"/>
          <w:szCs w:val="20"/>
          <w:color w:val="auto"/>
        </w:rPr>
      </w:pPr>
    </w:p>
    <w:p>
      <w:pPr>
        <w:jc w:val="both"/>
        <w:ind w:left="240" w:right="259" w:firstLine="540"/>
        <w:spacing w:after="0" w:line="238" w:lineRule="auto"/>
        <w:rPr>
          <w:sz w:val="20"/>
          <w:szCs w:val="20"/>
          <w:color w:val="auto"/>
        </w:rPr>
      </w:pPr>
      <w:r>
        <w:rPr>
          <w:rFonts w:ascii="Times New Roman" w:cs="Times New Roman" w:eastAsia="Times New Roman" w:hAnsi="Times New Roman"/>
          <w:sz w:val="22"/>
          <w:szCs w:val="22"/>
          <w:color w:val="auto"/>
        </w:rPr>
        <w:t xml:space="preserve">13.14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counterparts, each of which shall be deemed an original, and all of which together, shall constitute one and the same instrument. Delivery of an executed counterpart of a signature page of this Agreement by electronic transmission shall be effective as delivery of a manually executed original counterpart of this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intentionally left blank; the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13" w:lineRule="exact"/>
        <w:rPr>
          <w:sz w:val="20"/>
          <w:szCs w:val="20"/>
          <w:color w:val="auto"/>
        </w:rPr>
      </w:pPr>
    </w:p>
    <w:p>
      <w:pPr>
        <w:ind w:left="240" w:right="279" w:firstLine="6"/>
        <w:spacing w:after="0" w:line="228" w:lineRule="auto"/>
        <w:tabs>
          <w:tab w:leader="none" w:pos="549" w:val="left"/>
        </w:tabs>
        <w:numPr>
          <w:ilvl w:val="0"/>
          <w:numId w:val="8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40067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7" w:name="page78"/>
    <w:bookmarkEnd w:id="77"/>
    <w:p>
      <w:pPr>
        <w:ind w:left="24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Agreement in duplicate originals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their duly authorized representatives as of the Restated Agreement Effective Date.</w:t>
      </w:r>
    </w:p>
    <w:p>
      <w:pPr>
        <w:sectPr>
          <w:pgSz w:w="11900" w:h="16838" w:orient="portrait"/>
          <w:cols w:equalWidth="0" w:num="1">
            <w:col w:w="9100"/>
          </w:cols>
          <w:pgMar w:left="1440" w:top="110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b w:val="1"/>
          <w:bCs w:val="1"/>
          <w:color w:val="auto"/>
        </w:rPr>
        <w:t>AARVIK THERAPEUTICS,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b w:val="1"/>
          <w:bCs w:val="1"/>
          <w:color w:val="auto"/>
        </w:rPr>
        <w:t>ARRIVENT BIOPHARMA, INC.</w:t>
      </w:r>
    </w:p>
    <w:p>
      <w:pPr>
        <w:spacing w:after="0" w:line="200" w:lineRule="exact"/>
        <w:rPr>
          <w:sz w:val="20"/>
          <w:szCs w:val="20"/>
          <w:color w:val="auto"/>
        </w:rPr>
      </w:pPr>
    </w:p>
    <w:p>
      <w:pPr>
        <w:sectPr>
          <w:pgSz w:w="11900" w:h="16838" w:orient="portrait"/>
          <w:cols w:equalWidth="0" w:num="2">
            <w:col w:w="4060" w:space="720"/>
            <w:col w:w="4320"/>
          </w:cols>
          <w:pgMar w:left="1440" w:top="1107" w:right="1359" w:bottom="1440" w:gutter="0" w:footer="0" w:header="0"/>
          <w:type w:val="continuous"/>
        </w:sectPr>
      </w:pPr>
    </w:p>
    <w:p>
      <w:pPr>
        <w:spacing w:after="0" w:line="22"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9" w:lineRule="exact"/>
        <w:rPr>
          <w:sz w:val="20"/>
          <w:szCs w:val="20"/>
          <w:color w:val="auto"/>
        </w:rPr>
      </w:pPr>
    </w:p>
    <w:p>
      <w:pPr>
        <w:sectPr>
          <w:pgSz w:w="11900" w:h="16838" w:orient="portrait"/>
          <w:cols w:equalWidth="0" w:num="2">
            <w:col w:w="7940" w:space="720"/>
            <w:col w:w="440"/>
          </w:cols>
          <w:pgMar w:left="1440" w:top="1107" w:right="1359" w:bottom="1440" w:gutter="0" w:footer="0" w:header="0"/>
          <w:type w:val="continuous"/>
        </w:sectPr>
      </w:pPr>
    </w:p>
    <w:p>
      <w:pPr>
        <w:spacing w:after="0" w:line="10" w:lineRule="exact"/>
        <w:rPr>
          <w:sz w:val="20"/>
          <w:szCs w:val="20"/>
          <w:color w:val="auto"/>
        </w:rPr>
      </w:pPr>
    </w:p>
    <w:p>
      <w:pPr>
        <w:ind w:left="340" w:right="540" w:firstLine="54"/>
        <w:spacing w:after="0" w:line="456" w:lineRule="auto"/>
        <w:rPr>
          <w:sz w:val="20"/>
          <w:szCs w:val="20"/>
          <w:color w:val="auto"/>
        </w:rPr>
      </w:pPr>
      <w:r>
        <w:rPr>
          <w:rFonts w:ascii="Times New Roman" w:cs="Times New Roman" w:eastAsia="Times New Roman" w:hAnsi="Times New Roman"/>
          <w:sz w:val="21"/>
          <w:szCs w:val="21"/>
          <w:color w:val="auto"/>
        </w:rPr>
        <w:t>/s/ Jagath Reddy Junutula, Ph.D. Name: Jagath Reddy Junutula, Ph.D. Title: Co-founder, President &amp;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 Zhengbin Yao, Ph.D.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Zhengbin Yao, Ph.D.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CEO</w:t>
      </w:r>
    </w:p>
    <w:p>
      <w:pPr>
        <w:spacing w:after="0" w:line="444" w:lineRule="exact"/>
        <w:rPr>
          <w:sz w:val="20"/>
          <w:szCs w:val="20"/>
          <w:color w:val="auto"/>
        </w:rPr>
      </w:pPr>
    </w:p>
    <w:p>
      <w:pPr>
        <w:sectPr>
          <w:pgSz w:w="11900" w:h="16838" w:orient="portrait"/>
          <w:cols w:equalWidth="0" w:num="2">
            <w:col w:w="4060" w:space="720"/>
            <w:col w:w="4320"/>
          </w:cols>
          <w:pgMar w:left="1440" w:top="1107" w:right="1359" w:bottom="1440" w:gutter="0" w:footer="0" w:header="0"/>
          <w:type w:val="continuous"/>
        </w:sectPr>
      </w:pP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42</w:t>
      </w:r>
    </w:p>
    <w:p>
      <w:pPr>
        <w:spacing w:after="0" w:line="13" w:lineRule="exact"/>
        <w:rPr>
          <w:sz w:val="20"/>
          <w:szCs w:val="20"/>
          <w:color w:val="auto"/>
        </w:rPr>
      </w:pPr>
    </w:p>
    <w:p>
      <w:pPr>
        <w:ind w:left="240" w:right="20" w:firstLine="6"/>
        <w:spacing w:after="0" w:line="228" w:lineRule="auto"/>
        <w:tabs>
          <w:tab w:leader="none" w:pos="570" w:val="left"/>
        </w:tabs>
        <w:numPr>
          <w:ilvl w:val="0"/>
          <w:numId w:val="8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62356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623560" cy="26035"/>
                    </a:xfrm>
                    <a:prstGeom prst="rect">
                      <a:avLst/>
                    </a:prstGeom>
                    <a:noFill/>
                  </pic:spPr>
                </pic:pic>
              </a:graphicData>
            </a:graphic>
          </wp:anchor>
        </w:drawing>
      </w:r>
    </w:p>
    <w:p>
      <w:pPr>
        <w:sectPr>
          <w:pgSz w:w="11900" w:h="16838" w:orient="portrait"/>
          <w:cols w:equalWidth="0" w:num="1">
            <w:col w:w="9100"/>
          </w:cols>
          <w:pgMar w:left="1440" w:top="1107" w:right="1359" w:bottom="1440" w:gutter="0" w:footer="0" w:header="0"/>
          <w:type w:val="continuous"/>
        </w:sectPr>
      </w:pPr>
    </w:p>
    <w:bookmarkStart w:id="78" w:name="page79"/>
    <w:bookmarkEnd w:id="78"/>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TARGET PAIR</w:t>
      </w: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Exhibit A</w:t>
      </w:r>
    </w:p>
    <w:p>
      <w:pPr>
        <w:spacing w:after="0" w:line="13" w:lineRule="exact"/>
        <w:rPr>
          <w:sz w:val="20"/>
          <w:szCs w:val="20"/>
          <w:color w:val="auto"/>
        </w:rPr>
      </w:pPr>
    </w:p>
    <w:p>
      <w:pPr>
        <w:ind w:left="240" w:firstLine="6"/>
        <w:spacing w:after="0" w:line="228" w:lineRule="auto"/>
        <w:tabs>
          <w:tab w:leader="none" w:pos="570"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62356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80"/>
          </w:cols>
          <w:pgMar w:left="1440" w:top="1107" w:right="1379" w:bottom="1440" w:gutter="0" w:footer="0" w:header="0"/>
        </w:sectPr>
      </w:pPr>
    </w:p>
    <w:bookmarkStart w:id="79" w:name="page80"/>
    <w:bookmarkEnd w:id="79"/>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b w:val="1"/>
          <w:bCs w:val="1"/>
          <w:color w:val="auto"/>
        </w:rPr>
        <w:t>SUMMARY OF WORK ITEMS AND RESEARCH EXPENSES</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Exhibit B-1</w:t>
      </w:r>
    </w:p>
    <w:p>
      <w:pPr>
        <w:spacing w:after="0" w:line="13" w:lineRule="exact"/>
        <w:rPr>
          <w:sz w:val="20"/>
          <w:szCs w:val="20"/>
          <w:color w:val="auto"/>
        </w:rPr>
      </w:pPr>
    </w:p>
    <w:p>
      <w:pPr>
        <w:ind w:left="240" w:firstLine="6"/>
        <w:spacing w:after="0" w:line="228" w:lineRule="auto"/>
        <w:tabs>
          <w:tab w:leader="none" w:pos="570" w:val="left"/>
        </w:tabs>
        <w:numPr>
          <w:ilvl w:val="0"/>
          <w:numId w:val="8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62356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623560" cy="26035"/>
                    </a:xfrm>
                    <a:prstGeom prst="rect">
                      <a:avLst/>
                    </a:prstGeom>
                    <a:noFill/>
                  </pic:spPr>
                </pic:pic>
              </a:graphicData>
            </a:graphic>
          </wp:anchor>
        </w:drawing>
      </w:r>
    </w:p>
    <w:p>
      <w:pPr>
        <w:sectPr>
          <w:pgSz w:w="11900" w:h="16838" w:orient="portrait"/>
          <w:cols w:equalWidth="0" w:num="1">
            <w:col w:w="9080"/>
          </w:cols>
          <w:pgMar w:left="1440" w:top="891" w:right="1379" w:bottom="1440" w:gutter="0" w:footer="0" w:header="0"/>
        </w:sectPr>
      </w:pPr>
    </w:p>
    <w:bookmarkStart w:id="80" w:name="page81"/>
    <w:bookmarkEnd w:id="80"/>
    <w:p>
      <w:pPr>
        <w:jc w:val="center"/>
        <w:ind w:right="-9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2"/>
          <w:szCs w:val="22"/>
          <w:b w:val="1"/>
          <w:bCs w:val="1"/>
          <w:color w:val="auto"/>
        </w:rPr>
        <w:t>JOINT RESEARCH COMMITTEE MEMBERS</w:t>
      </w:r>
    </w:p>
    <w:p>
      <w:pPr>
        <w:spacing w:after="0" w:line="2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4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Exhibit C</w:t>
      </w:r>
    </w:p>
    <w:p>
      <w:pPr>
        <w:spacing w:after="0" w:line="13" w:lineRule="exact"/>
        <w:rPr>
          <w:sz w:val="20"/>
          <w:szCs w:val="20"/>
          <w:color w:val="auto"/>
        </w:rPr>
      </w:pPr>
    </w:p>
    <w:p>
      <w:pPr>
        <w:ind w:left="240" w:firstLine="6"/>
        <w:spacing w:after="0" w:line="228" w:lineRule="auto"/>
        <w:tabs>
          <w:tab w:leader="none" w:pos="570" w:val="left"/>
        </w:tabs>
        <w:numPr>
          <w:ilvl w:val="0"/>
          <w:numId w:val="8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62356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80"/>
          </w:cols>
          <w:pgMar w:left="1440" w:top="891" w:right="1379" w:bottom="1440" w:gutter="0" w:footer="0" w:header="0"/>
        </w:sectPr>
      </w:pPr>
    </w:p>
    <w:bookmarkStart w:id="81" w:name="page82"/>
    <w:bookmarkEnd w:id="81"/>
    <w:p>
      <w:pPr>
        <w:jc w:val="center"/>
        <w:ind w:right="-91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0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b w:val="1"/>
          <w:bCs w:val="1"/>
          <w:color w:val="auto"/>
        </w:rPr>
        <w:t>EXCLUSIVELY LICENSED PATENTS</w:t>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523076598v.2</w:t>
      </w:r>
    </w:p>
    <w:p>
      <w:pPr>
        <w:spacing w:after="0" w:line="3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Exhibit D</w:t>
      </w:r>
    </w:p>
    <w:p>
      <w:pPr>
        <w:sectPr>
          <w:pgSz w:w="11900" w:h="16838" w:orient="portrait"/>
          <w:cols w:equalWidth="0" w:num="1">
            <w:col w:w="9080"/>
          </w:cols>
          <w:pgMar w:left="1440" w:top="1107" w:right="1379" w:bottom="1045" w:gutter="0" w:footer="0" w:header="0"/>
        </w:sectPr>
      </w:pPr>
    </w:p>
    <w:p>
      <w:pPr>
        <w:spacing w:after="0" w:line="13" w:lineRule="exact"/>
        <w:rPr>
          <w:sz w:val="20"/>
          <w:szCs w:val="20"/>
          <w:color w:val="auto"/>
        </w:rPr>
      </w:pPr>
    </w:p>
    <w:p>
      <w:pPr>
        <w:ind w:left="240" w:firstLine="6"/>
        <w:spacing w:after="0" w:line="228" w:lineRule="auto"/>
        <w:tabs>
          <w:tab w:leader="none" w:pos="570" w:val="left"/>
        </w:tabs>
        <w:numPr>
          <w:ilvl w:val="0"/>
          <w:numId w:val="8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56235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623560" cy="17145"/>
                    </a:xfrm>
                    <a:prstGeom prst="rect">
                      <a:avLst/>
                    </a:prstGeom>
                    <a:noFill/>
                  </pic:spPr>
                </pic:pic>
              </a:graphicData>
            </a:graphic>
          </wp:anchor>
        </w:drawing>
      </w:r>
    </w:p>
    <w:p>
      <w:pPr>
        <w:sectPr>
          <w:pgSz w:w="11900" w:h="16838" w:orient="portrait"/>
          <w:cols w:equalWidth="0" w:num="1">
            <w:col w:w="9080"/>
          </w:cols>
          <w:pgMar w:left="1440" w:top="1107" w:right="1379" w:bottom="1045" w:gutter="0" w:footer="0" w:header="0"/>
          <w:type w:val="continuous"/>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Zhengbin Yao, Ph.D., certify that:</w:t>
      </w:r>
    </w:p>
    <w:p>
      <w:pPr>
        <w:spacing w:after="0" w:line="225"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ArriVent BioPharma,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Zhengbin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Zhengbin Yao, Ph.D.</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Winston Kung, certify that:</w:t>
      </w:r>
    </w:p>
    <w:p>
      <w:pPr>
        <w:spacing w:after="0" w:line="225"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ArriVent BioPharma,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Winston Kung</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ArriVent BioPharma, Inc. (the “Company”) on Form 10-Q for the quarter ended September 30, 2024, as filed with the Securities and Exchange Commission on the date hereof (the “Report”), I, Zhengbin Yao, Ph.D., hereby certify, pursuant to 18 U.S.C.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1350, as adopted pursuant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906 of the Sarbanes-Oxley Act of 2002, that:</w:t>
      </w:r>
    </w:p>
    <w:p>
      <w:pPr>
        <w:spacing w:after="0" w:line="129" w:lineRule="exact"/>
        <w:rPr>
          <w:sz w:val="20"/>
          <w:szCs w:val="20"/>
          <w:color w:val="auto"/>
        </w:rPr>
      </w:pPr>
    </w:p>
    <w:p>
      <w:pPr>
        <w:ind w:left="660" w:right="2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Zhengbin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Name:Zhengbin Yao, Ph.D.</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ArriVent BioPharma, Inc. (the “Company”) on Form 10-Q for the quarter ended September 30, 2024, as filed with the Securities and Exchange Commission on the date hereof (the “Report”), I, Winston Kung, hereby certify, pursuant to 18 U.S.C.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1350, as adopted pursuant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906 of the Sarbanes-Oxley Act of 2002, that:</w:t>
      </w:r>
    </w:p>
    <w:p>
      <w:pPr>
        <w:spacing w:after="0" w:line="129" w:lineRule="exact"/>
        <w:rPr>
          <w:sz w:val="20"/>
          <w:szCs w:val="20"/>
          <w:color w:val="auto"/>
        </w:rPr>
      </w:pPr>
    </w:p>
    <w:p>
      <w:pPr>
        <w:ind w:left="660" w:right="2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Name:Winston Kung</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decimal"/>
      <w:start w:val="7"/>
    </w:lvl>
  </w:abstractNum>
  <w:abstractNum w:abstractNumId="6">
    <w:nsid w:val="684A481A"/>
    <w:multiLevelType w:val="hybridMultilevel"/>
    <w:lvl w:ilvl="0">
      <w:lvlJc w:val="left"/>
      <w:lvlText w:val="(%1)"/>
      <w:numFmt w:val="decimal"/>
      <w:start w:val="9"/>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
      <w:numFmt w:val="bullet"/>
      <w:start w:val="1"/>
    </w:lvl>
  </w:abstractNum>
  <w:abstractNum w:abstractNumId="17">
    <w:nsid w:val="4F4EF005"/>
    <w:multiLevelType w:val="hybridMultilevel"/>
    <w:lvl w:ilvl="0">
      <w:lvlJc w:val="left"/>
      <w:lvlText w:val="*"/>
      <w:numFmt w:val="bullet"/>
      <w:start w:val="1"/>
    </w:lvl>
    <w:lvl w:ilvl="1">
      <w:lvlJc w:val="left"/>
      <w:lvlText w:val="%2"/>
      <w:numFmt w:val="decimal"/>
      <w:start w:val="104"/>
    </w:lvl>
  </w:abstractNum>
  <w:abstractNum w:abstractNumId="18">
    <w:nsid w:val="23F9C13C"/>
    <w:multiLevelType w:val="hybridMultilevel"/>
    <w:lvl w:ilvl="0">
      <w:lvlJc w:val="left"/>
      <w:lvlText w:val="**"/>
      <w:numFmt w:val="bullet"/>
      <w:start w:val="1"/>
    </w:lvl>
    <w:lvl w:ilvl="1">
      <w:lvlJc w:val="left"/>
      <w:lvlText w:val="%2"/>
      <w:numFmt w:val="decimal"/>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1)"/>
      <w:numFmt w:val="lowerLetter"/>
      <w:start w:val="2"/>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1"/>
      <w:numFmt w:val="lowerLetter"/>
      <w:start w:val="1"/>
    </w:lvl>
    <w:lvl w:ilvl="1">
      <w:lvlJc w:val="left"/>
      <w:lvlText w:val="(%2)"/>
      <w:numFmt w:val="lowerLetter"/>
      <w:start w:val="1"/>
    </w:lvl>
  </w:abstractNum>
  <w:abstractNum w:abstractNumId="38">
    <w:nsid w:val="2F305DEF"/>
    <w:multiLevelType w:val="hybridMultilevel"/>
    <w:lvl w:ilvl="0">
      <w:lvlJc w:val="left"/>
      <w:lvlText w:val="(%1)"/>
      <w:numFmt w:val="lowerLetter"/>
      <w:start w:val="9"/>
    </w:lvl>
    <w:lvl w:ilvl="1">
      <w:lvlJc w:val="left"/>
      <w:lvlText w:val="(%2)"/>
      <w:numFmt w:val="lowerLetter"/>
      <w:start w:val="2"/>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1)"/>
      <w:numFmt w:val="lowerRoman"/>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1)"/>
      <w:numFmt w:val="lowerLetter"/>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1)"/>
      <w:numFmt w:val="lowerLetter"/>
      <w:start w:val="4"/>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1)"/>
      <w:numFmt w:val="lowerRoman"/>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1)"/>
      <w:numFmt w:val="lowerLetter"/>
      <w:start w:val="2"/>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1)"/>
      <w:numFmt w:val="lowerLetter"/>
      <w:start w:val="6"/>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47" Type="http://schemas.openxmlformats.org/officeDocument/2006/relationships/hyperlink" Target="https://www.sec.gov/Archives/edgar/data/1868279/000110465924008228/tm2321853d25_ex3-1.htm" TargetMode="External"/><Relationship Id="rId48" Type="http://schemas.openxmlformats.org/officeDocument/2006/relationships/hyperlink" Target="https://www.sec.gov/Archives/edgar/data/1868279/000110465924008228/tm2321853d25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2024-11-14T07:12:25Z</dcterms:created>
  <dcterms:modified xsi:type="dcterms:W3CDTF">2024-11-14T07:12:25Z</dcterms:modified>
</cp:coreProperties>
</file>