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9" w:lineRule="exact"/>
        <w:rPr>
          <w:sz w:val="24"/>
          <w:szCs w:val="24"/>
          <w:color w:val="auto"/>
        </w:rPr>
      </w:pPr>
    </w:p>
    <w:p>
      <w:pPr>
        <w:ind w:left="3600" w:right="2520" w:hanging="3592"/>
        <w:spacing w:after="0" w:line="292" w:lineRule="auto"/>
        <w:tabs>
          <w:tab w:leader="none" w:pos="325"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48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4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1" w:lineRule="exact"/>
        <w:rPr>
          <w:sz w:val="24"/>
          <w:szCs w:val="24"/>
          <w:color w:val="auto"/>
        </w:rPr>
      </w:pPr>
    </w:p>
    <w:p>
      <w:pPr>
        <w:jc w:val="center"/>
        <w:ind w:right="-39"/>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001-41929</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ARRIVENT BIOPHARMA, INC.</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3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1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86-3336099</w:t>
            </w:r>
          </w:p>
        </w:tc>
      </w:tr>
      <w:tr>
        <w:trPr>
          <w:trHeight w:val="188"/>
        </w:trPr>
        <w:tc>
          <w:tcPr>
            <w:tcW w:w="3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(State of Other Jurisdiction of incorporation or Organization)</w:t>
            </w:r>
          </w:p>
        </w:tc>
        <w:tc>
          <w:tcPr>
            <w:tcW w:w="4100" w:type="dxa"/>
            <w:vAlign w:val="bottom"/>
          </w:tcPr>
          <w:p>
            <w:pPr>
              <w:jc w:val="center"/>
              <w:ind w:left="19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76"/>
        </w:trPr>
        <w:tc>
          <w:tcPr>
            <w:tcW w:w="3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18 Campus Boulevard Suite 100, Newtown Square, PA</w:t>
            </w:r>
          </w:p>
        </w:tc>
        <w:tc>
          <w:tcPr>
            <w:tcW w:w="41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19073</w:t>
            </w:r>
          </w:p>
        </w:tc>
      </w:tr>
      <w:tr>
        <w:trPr>
          <w:trHeight w:val="187"/>
        </w:trPr>
        <w:tc>
          <w:tcPr>
            <w:tcW w:w="3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100" w:type="dxa"/>
            <w:vAlign w:val="bottom"/>
          </w:tcPr>
          <w:p>
            <w:pPr>
              <w:jc w:val="center"/>
              <w:ind w:left="1948"/>
              <w:spacing w:after="0"/>
              <w:rPr>
                <w:sz w:val="20"/>
                <w:szCs w:val="20"/>
                <w:color w:val="auto"/>
              </w:rPr>
            </w:pPr>
            <w:r>
              <w:rPr>
                <w:rFonts w:ascii="Times New Roman" w:cs="Times New Roman" w:eastAsia="Times New Roman" w:hAnsi="Times New Roman"/>
                <w:sz w:val="14"/>
                <w:szCs w:val="14"/>
                <w:color w:val="auto"/>
              </w:rPr>
              <w:t>(Zip Code)</w:t>
            </w:r>
          </w:p>
        </w:tc>
      </w:tr>
      <w:tr>
        <w:trPr>
          <w:trHeight w:val="167"/>
        </w:trPr>
        <w:tc>
          <w:tcPr>
            <w:tcW w:w="3660" w:type="dxa"/>
            <w:vAlign w:val="bottom"/>
          </w:tcPr>
          <w:p>
            <w:pPr>
              <w:spacing w:after="0"/>
              <w:rPr>
                <w:sz w:val="14"/>
                <w:szCs w:val="14"/>
                <w:color w:val="auto"/>
              </w:rPr>
            </w:pPr>
          </w:p>
        </w:tc>
        <w:tc>
          <w:tcPr>
            <w:tcW w:w="4100" w:type="dxa"/>
            <w:vAlign w:val="bottom"/>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(628) 277-4836</w:t>
            </w:r>
          </w:p>
        </w:tc>
      </w:tr>
    </w:tbl>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980" w:type="dxa"/>
            <w:vAlign w:val="bottom"/>
            <w:vMerge w:val="restart"/>
          </w:tcPr>
          <w:p>
            <w:pPr>
              <w:spacing w:after="0"/>
              <w:rPr>
                <w:sz w:val="13"/>
                <w:szCs w:val="13"/>
                <w:color w:val="auto"/>
              </w:rPr>
            </w:pPr>
          </w:p>
        </w:tc>
        <w:tc>
          <w:tcPr>
            <w:tcW w:w="252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00" w:type="dxa"/>
            <w:vAlign w:val="bottom"/>
            <w:gridSpan w:val="3"/>
          </w:tcPr>
          <w:p>
            <w:pPr>
              <w:jc w:val="center"/>
              <w:ind w:right="1080"/>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212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AVBP</w:t>
            </w:r>
          </w:p>
        </w:tc>
        <w:tc>
          <w:tcPr>
            <w:tcW w:w="2520" w:type="dxa"/>
            <w:vAlign w:val="bottom"/>
            <w:gridSpan w:val="3"/>
          </w:tcPr>
          <w:p>
            <w:pPr>
              <w:jc w:val="center"/>
              <w:ind w:left="908"/>
              <w:spacing w:after="0" w:line="158" w:lineRule="exact"/>
              <w:rPr>
                <w:sz w:val="20"/>
                <w:szCs w:val="20"/>
                <w:color w:val="auto"/>
              </w:rPr>
            </w:pPr>
            <w:r>
              <w:rPr>
                <w:rFonts w:ascii="Times New Roman" w:cs="Times New Roman" w:eastAsia="Times New Roman" w:hAnsi="Times New Roman"/>
                <w:sz w:val="14"/>
                <w:szCs w:val="14"/>
                <w:b w:val="1"/>
                <w:bCs w:val="1"/>
                <w:color w:val="auto"/>
              </w:rPr>
              <w:t>Nasdaq Global Market</w:t>
            </w:r>
          </w:p>
        </w:tc>
        <w:tc>
          <w:tcPr>
            <w:tcW w:w="0" w:type="dxa"/>
            <w:vAlign w:val="bottom"/>
          </w:tcPr>
          <w:p>
            <w:pPr>
              <w:spacing w:after="0"/>
              <w:rPr>
                <w:sz w:val="1"/>
                <w:szCs w:val="1"/>
                <w:color w:val="auto"/>
              </w:rPr>
            </w:pPr>
          </w:p>
        </w:tc>
      </w:tr>
      <w:tr>
        <w:trPr>
          <w:trHeight w:val="190"/>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212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2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000" w:val="left"/>
        </w:tabs>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9"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Accelerated filer</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4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83"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1" w:lineRule="exact"/>
        <w:rPr>
          <w:sz w:val="24"/>
          <w:szCs w:val="24"/>
          <w:color w:val="auto"/>
        </w:rPr>
      </w:pPr>
    </w:p>
    <w:p>
      <w:pPr>
        <w:ind w:right="120"/>
        <w:spacing w:after="0" w:line="25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shares of common stock on The Nasdaq Global Market on June 30, 2025 (the last business day of the registrant’s most recently completed second fiscal quarter), was $762,664,165.</w:t>
      </w:r>
    </w:p>
    <w:p>
      <w:pPr>
        <w:spacing w:after="0" w:line="228" w:lineRule="auto"/>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4, 2026 was 44,201,622.</w:t>
      </w:r>
    </w:p>
    <w:p>
      <w:pPr>
        <w:ind w:left="37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 w:lineRule="exact"/>
        <w:rPr>
          <w:sz w:val="24"/>
          <w:szCs w:val="24"/>
          <w:color w:val="auto"/>
        </w:rPr>
      </w:pPr>
    </w:p>
    <w:p>
      <w:pPr>
        <w:ind w:right="140" w:firstLine="324"/>
        <w:spacing w:after="0" w:line="241" w:lineRule="auto"/>
        <w:rPr>
          <w:sz w:val="20"/>
          <w:szCs w:val="20"/>
          <w:color w:val="auto"/>
        </w:rPr>
      </w:pPr>
      <w:r>
        <w:rPr>
          <w:rFonts w:ascii="Times New Roman" w:cs="Times New Roman" w:eastAsia="Times New Roman" w:hAnsi="Times New Roman"/>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417830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gridSpan w:val="20"/>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3420" w:type="dxa"/>
            <w:vAlign w:val="bottom"/>
            <w:gridSpan w:val="11"/>
            <w:vMerge w:val="restart"/>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6980" w:type="dxa"/>
            <w:vAlign w:val="bottom"/>
            <w:gridSpan w:val="3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460" w:type="dxa"/>
            <w:vAlign w:val="bottom"/>
            <w:gridSpan w:val="2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500" w:type="dxa"/>
            <w:vAlign w:val="bottom"/>
            <w:gridSpan w:val="2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6900" w:type="dxa"/>
            <w:vAlign w:val="bottom"/>
            <w:gridSpan w:val="3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40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6100" w:type="dxa"/>
            <w:vAlign w:val="bottom"/>
            <w:tcBorders>
              <w:top w:val="single" w:sz="8" w:color="0000EE"/>
            </w:tcBorders>
            <w:gridSpan w:val="29"/>
          </w:tcPr>
          <w:p>
            <w:pPr>
              <w:spacing w:after="0"/>
              <w:rPr>
                <w:sz w:val="17"/>
                <w:szCs w:val="17"/>
                <w:color w:val="auto"/>
              </w:rPr>
            </w:pPr>
          </w:p>
        </w:tc>
        <w:tc>
          <w:tcPr>
            <w:tcW w:w="84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6. [Reserved]</w:t>
            </w:r>
          </w:p>
        </w:tc>
        <w:tc>
          <w:tcPr>
            <w:tcW w:w="6840" w:type="dxa"/>
            <w:vAlign w:val="bottom"/>
            <w:gridSpan w:val="29"/>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24"/>
                <w:szCs w:val="24"/>
                <w:color w:val="auto"/>
              </w:rPr>
            </w:pPr>
          </w:p>
        </w:tc>
        <w:tc>
          <w:tcPr>
            <w:tcW w:w="1180" w:type="dxa"/>
            <w:vAlign w:val="bottom"/>
            <w:gridSpan w:val="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300" w:type="dxa"/>
            <w:vAlign w:val="bottom"/>
            <w:gridSpan w:val="1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0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1120" w:type="dxa"/>
            <w:vAlign w:val="bottom"/>
            <w:gridSpan w:val="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5720" w:type="dxa"/>
            <w:vAlign w:val="bottom"/>
            <w:gridSpan w:val="21"/>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tcBorders>
              <w:top w:val="single" w:sz="8" w:color="0000EE"/>
            </w:tcBorders>
            <w:gridSpan w:val="2"/>
          </w:tcPr>
          <w:p>
            <w:pPr>
              <w:spacing w:after="0"/>
              <w:rPr>
                <w:sz w:val="24"/>
                <w:szCs w:val="24"/>
                <w:color w:val="auto"/>
              </w:rPr>
            </w:pPr>
          </w:p>
        </w:tc>
        <w:tc>
          <w:tcPr>
            <w:tcW w:w="262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440" w:type="dxa"/>
            <w:vAlign w:val="bottom"/>
            <w:gridSpan w:val="1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740" w:type="dxa"/>
            <w:vAlign w:val="bottom"/>
            <w:gridSpan w:val="2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94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08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2100" w:type="dxa"/>
            <w:vAlign w:val="bottom"/>
            <w:gridSpan w:val="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38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380" w:type="dxa"/>
            <w:vAlign w:val="bottom"/>
            <w:gridSpan w:val="18"/>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420" w:type="dxa"/>
            <w:vAlign w:val="bottom"/>
            <w:tcBorders>
              <w:top w:val="single" w:sz="8" w:color="0000EE"/>
            </w:tcBorders>
            <w:gridSpan w:val="9"/>
          </w:tcPr>
          <w:p>
            <w:pPr>
              <w:spacing w:after="0"/>
              <w:rPr>
                <w:sz w:val="24"/>
                <w:szCs w:val="24"/>
                <w:color w:val="auto"/>
              </w:rPr>
            </w:pPr>
          </w:p>
        </w:tc>
        <w:tc>
          <w:tcPr>
            <w:tcW w:w="6000" w:type="dxa"/>
            <w:vAlign w:val="bottom"/>
            <w:gridSpan w:val="2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844"/>
        </w:trPr>
        <w:tc>
          <w:tcPr>
            <w:tcW w:w="4760" w:type="dxa"/>
            <w:vAlign w:val="bottom"/>
            <w:gridSpan w:val="23"/>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39" w:firstLine="360"/>
        <w:spacing w:after="0" w:line="272" w:lineRule="auto"/>
        <w:rPr>
          <w:sz w:val="20"/>
          <w:szCs w:val="20"/>
          <w:color w:val="auto"/>
        </w:rPr>
      </w:pPr>
      <w:r>
        <w:rPr>
          <w:rFonts w:ascii="Times New Roman" w:cs="Times New Roman" w:eastAsia="Times New Roman" w:hAnsi="Times New Roman"/>
          <w:sz w:val="17"/>
          <w:szCs w:val="17"/>
          <w:color w:val="auto"/>
        </w:rPr>
        <w:t>This Annual Report on Form 10-K (Annual Report) contains forward-looking statements that involve risks and uncertainties. All statements other than statements of historical facts contained in this Annual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21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product candidates, including our product development plans and strategies;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5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our ability to obtain funding for our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5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our ability to advance product candidates into, and successfully complete, clinical trials;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timing or likelihood of regulatory filing and approvals;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commercialization of our product candidates, if approved;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pricing and reimbursement of our product candidates, if approved;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implementation of our business model, strategic plans for our business, product candidates and technology;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1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developments relating to our competitors and our industry;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accuracy of our estimates regarding expenses, capital requirements and needs for additional financing;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279" w:hanging="319"/>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81"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changes in economic policies, volatility in inflation, volatility in interest rates, or market disruptions on our business;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9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Annual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to conform these statements to new information, actual results or to changes in our expectations, except as required by law.</w:t>
      </w:r>
    </w:p>
    <w:p>
      <w:pPr>
        <w:spacing w:after="0" w:line="192"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reference in this Annual Report and have filed with the Securities and Exchange Commission (SEC) as exhibits to this Annual Report with the understanding that our actual future results, levels of activity, performance, and events and circumstances may be materially different from what we expect.</w:t>
      </w:r>
    </w:p>
    <w:p>
      <w:pPr>
        <w:spacing w:after="0" w:line="15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product candidate, firmonertinib, and advance a pipeline of novel therapeutics, such as next-generation antibody drug conjugates, including ARR-217 (MRG007), through approval and commercialization in patients suffering from cancer, with an initial focus on solid tumors. Firmonertinib is currently being evaluated in multiple clinical trials across a range of epidermal growth factor receptor (EGFR) mutations (EGFRm) in non-small cell lung cancer (NSCLC). We are conducting a pivotal Phase 3 clinical trial of firmonertinib in treatment naive, or first-line, patients with locally advanced or metastatic EGFRm NSCLC with exon 20 insertion mutations and a pivotal Phase 3 clinical trial of firmonertinib in first-line patients with locally advanced or metastatic EGFRm NSCLC with P-loop and-alpha-c-helix compressing (PACC) mutations. We are conducting a Phase 1 clinical trial of ARR-217 in patients with unresectable locally advanced or metastatic solid tumors.</w:t>
      </w:r>
    </w:p>
    <w:p>
      <w:pPr>
        <w:spacing w:after="0" w:line="19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received Breakthrough Therapy Designation (BTD) for firmonertinib for first line EGFRm NSCLC with exon 20 insertion from the U.S. Food and Drug Administration (FDA) in October 2023, and Orphan Drug Designation for treatment of NSCLC with EGFRm or human epidermal growth factor receptor 2 (HER2) mutations or human epidermal growth factor receptor 4 (HER4) mutations in February 2024. A product candidate can receive BTD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received BTD, interaction and communication between the FDA and the sponsor can help to identify the most efficient path for development, although BTD may not result in a faster development process, review or approval and does not increase the likelihood that the product candidate will ultimately receive FDA approval for any indication.</w:t>
      </w:r>
    </w:p>
    <w:p>
      <w:pPr>
        <w:spacing w:after="0" w:line="194"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EGFR mutant-selective tyrosine kinase inhibitor (TKI) that we are developing for the treatment of NSCLC patients across a broader set of EGFR mutations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with EGFR exon 20 insertion mutations treated with firmonertinib in the ongoing Phase 1b clinical trial, the FAVOUR trial, conducted by Allist in China, and preclinical activity in PACC mutations, each a subtype of uncommon mutation. In a subsequent interim data readout from the FAVOUR trial of firmonertinib administered at 240 mg once daily in first-line patients with locally advanced or metastatic EGFRm NSCLC with exon 20 insertion mutations, 79% of patients (n=22 out of 28 patients) were observed to experience a reduction in tumor size of at least 30%. In a final analysis from the Phase 1b FURTHER trial of firmonertinib, which included a cohort of EGFRm NSCLC with PACC mutations, we observed 16.0 months median progression free survival (mPFS) with firmonertinib 240 mg in first-line, confirmed overall response rate (cORR) 68.2% (n=15 out of 22 1L patients at 240mg) and duration of response (DOR) 14.6 months, and confirmed CNS (central nervous system) responses with firmonertinib including complete responses (CRs).</w:t>
      </w:r>
    </w:p>
    <w:p>
      <w:pPr>
        <w:spacing w:after="0" w:line="19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administered at 240 mg once daily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Response Evaluation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 month median DOR. Interim results may not be indicative of final results; however, we believe these interim clinical results underscore firmonertinib’s potential in patients whose tumors contain an uncommon EGFRm.</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currently conducting a pivotal Phase 3 clinical trial, the FURVENT clinical trial, in first-line locally advanced or metastatic non-squamous EGFRm NSCLC patients with exon 20 insertion mutations and we expect topline data from this trial in mid-2026. Additionally, we are conducting a pivotal Phase 3 clinical trial, the ALPACCA clinical trial, in first-line locally advanced or metastatic non-squamous EGFRm NSCLC patients PACC mutations. </w:t>
      </w:r>
      <w:r>
        <w:rPr>
          <w:rFonts w:ascii="Times New Roman" w:cs="Times New Roman" w:eastAsia="Times New Roman" w:hAnsi="Times New Roman"/>
          <w:sz w:val="18"/>
          <w:szCs w:val="18"/>
          <w:color w:val="212529"/>
        </w:rPr>
        <w:t>In September 2025, our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Phase 1b PACC data reported 68.2% of patients (n=15 out of 22 1L patients at 240 mg) were observed to experience a confirmed reduction in tumor size of at least 30% </w:t>
      </w:r>
      <w:r>
        <w:rPr>
          <w:rFonts w:ascii="Times New Roman" w:cs="Times New Roman" w:eastAsia="Times New Roman" w:hAnsi="Times New Roman"/>
          <w:sz w:val="18"/>
          <w:szCs w:val="18"/>
          <w:color w:val="000000"/>
        </w:rPr>
        <w:t>from the baseline without evidence of progression as measured by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RECIST 1.1 criteria</w:t>
      </w:r>
      <w:r>
        <w:rPr>
          <w:rFonts w:ascii="Times New Roman" w:cs="Times New Roman" w:eastAsia="Times New Roman" w:hAnsi="Times New Roman"/>
          <w:sz w:val="18"/>
          <w:szCs w:val="18"/>
          <w:color w:val="212529"/>
        </w:rPr>
        <w:t>. The confirmed mPFS in these patients was 16.0 months.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in 2021, we have assembled a robust oncology pipeline by leveraging our global network and our experience in business development transactions. In 2021, we licensed from Allist the right to develop and commercialize firmonertinib worldwide, with the exception of greater China, which includes mainland China, Hong Kong, Macau and Taiwan. Also in 2021, we entered into a research collaboration, as amended, with Aarvik Therapeutics, Inc. (Aarvik) to leverage its proprietary multi-target, multivalent, site-specific conjugation antibody platform to discover next-generation antibody drug conjugates (ADCs) with improved activity and safety over single target bivalent ADCs. In 2024, we entered into a collaboration agreement with Jiangsu Alphamab Biopharmaceuticals Co., Ltd. (Alphamab), a wholly owned subsidiary of Alphamab Oncology, to discover, develop and commercialize novel ADCs for the treatment of cancers globally, with the exception of greater China, which includes mainland China, Hong Kong, Macau and Taiwan. In January 2025, we entered into an Exclusive License Agreement (the Lepu Biopharma Agreement) with Lepu Biopharma Co. Ltd. (Lepu Biopharma) pursuant to which Lepu Biopharma granted us the right to develop and commercialize ARR-217 (MRG007), a CD-H17-targeting ADC for gastrointestinal cancers outside greater China, which includes mainland China, Hong Kong, Macau, and Taiwan.</w:t>
      </w:r>
    </w:p>
    <w:p>
      <w:pPr>
        <w:spacing w:after="0" w:line="214"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We plan to continue to engage in business development activities to source additional innovative therapeutics in areas currently underserved by approved therapies. This broader strategy includes evaluating research collaborations, partnerships and licensing arrangements intended to expand our development pipeline of differentiated and next-generation oncology assets. The following table summarizes our current pipeline indicating the most advanced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5606415" cy="209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NSCLC: non-small cell lung cancer; EGFR: epidermal growth factor receptor; PACC: P-loop alpha-c helix compressing;</w:t>
      </w:r>
    </w:p>
    <w:p>
      <w:pPr>
        <w:spacing w:after="0" w:line="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TKI: tyrosine kinase inhibitor; BTD: Breakthrough Therapy Designation; ADC: Antibody Drug Conjugate; GI Tumors: gastrointestinal tumors; 1L: First-line therapy; Global Ex-China: Worldwide, except mainland China, Hong Kong, Macau and Taiwan.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Currently approved EGFR TKIs have achieved considerable commercial success and have become the standard of care for patients with NSCLC with classical EGFRm which comprise approximately 69% of all EGFRm NSCLC patients. However, many of these therapies, including AstraZeneca plc’s (AstraZeneca) third-generation EGFR TKI, osimertinib (TAGRISSO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are minimally active against or not approved for use in a significant portion of NSCLC patients with uncommon EGFRm. This unmet need leaves many EGFRm NSCLC patients with few effective treatment options. Firmonertinib is currently approved and commercially distributed by Allist in China as a first-line therapy to treat classical EGFRm NSCLC. However, firmonertinib was designed to have strong inhibitory activity, not only against classical EGFRm, but also against uncommon EGFRm, such as exon 20 insertion and PACC mutations which together account for approximately 22% of EGFRm NSCLC.</w:t>
      </w:r>
    </w:p>
    <w:p>
      <w:pPr>
        <w:spacing w:after="0" w:line="19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To date, firmonertinib has been evaluated in multiple clinical trials with an aggregate patient population of over 1,000 patients against a broad range of EGFRm NSCLC, including both classical and uncommon EGFRm. Based on the results of preclinical and clinical trials conducted to date, we believe that firmonertinib has the potential to retain many of the key advantages of third-generation EGFR TKIs compared to first- and second-generation EGFR TKIs, including overcoming T790M mutations that confer resistance to earlier generation TKIs, while also targeting a broader set of EGFRm. In 2022, Allist reported the results of its FURLONG clinical trial, a double blind, placebo-controlled Phase 3 clinical trial of firmonertinib in first-line NSCLC patients with classical EGFRm. In FURLONG, firmonertinib was compared with the first-generation EGFR TKI, gefitinib, and demonstrated superior progression free survival (PFS) over gefitinib, showing a median PFS of 20.8 months versus 11.1 months for gefitinib. Firmonertinib’s ability to cross the blood-brain barrier was also demonstrated in this clinical trial with a central nervous system (CNS) metastases specific ORR, which measured reduction of tumor size of at least 30% in brain metastases if present at the start of therapy, of 91% versus 65% for gefitinib. Based on observed clinical activity against exon 20 insertions in the FAVOUR clinical trial and observed activity against PACC mutations in the FURTHER clinical trial, we believe firmonertinib is potentially differentiated from third-generation EGFR TKIs approved for classical EGFRm NSCLC.</w:t>
      </w:r>
    </w:p>
    <w:p>
      <w:pPr>
        <w:spacing w:after="0" w:line="19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and the European Union, standard of care for first-line therapy in EGFRm NSCLC involving exon 20 insertion mutations is platinum-based chemotherapy with pemetrexed with or without amivantamab. These regimens have significantly lower response rates and DOR compared to results achieved in first-line patients with classical EGFRm who can be treated with approved third-generation EGFR TKIs. Over 9% of EGFRm NSCLC patients are estimated to have exon 20 insertion mutations. However, amivantamab appears to lack brain penetrance to effectively treat brain metastasis. In March 2024 and July 2024, amivantamab in combination with chemotherapy, was approved in the United States and Europe, respectively, for first line EGFRm NSCLC patients with exon 20 insertion mutations. However, amivantamab is an intravenously administered biologic lacking the advantages of oral therapies. Furthermore, amivantamab is being dosed in combination with chemotherapy in this setting with chemotherapy associated toxicities. We believe firmonertinib, if approved, has the potential to become a chemotherapy-free oral regimen in first-line EGFRm NSCLC patients with exon 20 insertion mutations given the clinical data generated in this patient population to date.</w:t>
      </w:r>
    </w:p>
    <w:p>
      <w:pPr>
        <w:spacing w:after="0" w:line="192"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Guidelines employing TKIs for the treatment of many of the PACC EGFRm are not established and, as a result, chemotherapy is often used as the default course of therapy, offering limited efficacy and introducing chemotherapy-related toxicity. Afatinib (GILOTRIF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second-generation TKI, is also used in some patients, but has an unfavorable safety profile and is not brain penetrant. Osimertinib is frequently used in some patients, but the activity of osimertinib in such patients is less than its activity in patients with classical EGFRm NSCLC. Over 12% of EGFRm NSCLC patients are estimated to have PACC mutations. If approved, we believe firmonertinib has the potential to become a leading treatment option for first-line EGFRm NSCLC patients with PACC mutations based on firmonertinib’s preclinical and clinical activity observed against these mutations and the evaluation of firmonertinib in multiple clinical trials.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Firmonertinib Development Initiative</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have designed a robust global clinical development plan across a broad spectrum of EGFRm NSCLC patient populations for which we believe firmonertinib will have a differentiated profile compared to currently available treatments. The following table describes the key planned and ongoing clinical trials of firmonertinib conducted by us or our collaboration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606415" cy="2468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*Allist sponsor; 1L: First-Line Therapy; 2L+: Second-line or greater therapy.</w:t>
      </w:r>
    </w:p>
    <w:p>
      <w:pPr>
        <w:spacing w:after="0" w:line="206"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FURVENT — Our Ongoing Phase 3 Clinical Trial in First-Line Non-Squamous Locally Advanced or Metastatic EGFRm NSCLC Patients with Exon 20 Insertion Mutations</w:t>
      </w:r>
    </w:p>
    <w:p>
      <w:pPr>
        <w:spacing w:after="0" w:line="160"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enrolled 398 patients in FURVENT, a global, pivotal Phase 3 clinical trial of firmonertinib in first-line non-squamous locally advanced or metastatic NSCLC patients with exon 20 insertion mutations being conducted jointly with Allist. Our FURVENT clinical trial is designed to assess the safety and efficacy of firmonertinib administered at either 160 mg or 240 mg, once-daily as compared to platinum-based chemotherapy with pemetrexed, the current first-line standard of care. The primary endpoint of this study is PFS. We enrolled 398 patients globally, including from sites in the United States, Europe and certain Asian countries including China. We expect topline data from our FURVENT clinical trial in mid-2026.</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FAVOUR — Phase 1b Clinical Trial in NSCLC Patients with EGFR Exon 20 Insertion Mutations</w:t>
      </w:r>
    </w:p>
    <w:p>
      <w:pPr>
        <w:spacing w:after="0" w:line="22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FAVOUR clinical trial is an ongoing 90-patient Phase 1b clinical trial being conducted by Allist in China that is intended to assess the safety and efficacy of firmonertinib in locally advanced or metastatic NSCLC patients who have EGFR exon 20 insertion mutations. First-line patients receive 240 mg firmonertinib once daily. Patients that have received prior treatment are randomized to receive either 160 mg or 240 mg of firmonertinib once daily. Initial data obtained through June 15, 2023 showed a confirmed ORR (defined as a reduction in tumor size of at least 30% from the baseline in a patient without evidence of progression), among patients evaluable as of that date of 79% among the treatment-naïve patients cohort, 46% among the pretreated 240 mg cohort and 39% in the pretreated 160 mg cohort. Median DOR was 15.2 months in treatment-naïve patients, 13.1 months in the 240 mg pretreated cohort and 9.7 months in the 160 mg pretreated cohort. Firmonertinib was observed to be generally well tolerated in all clinical trial cohorts to date with a low rate of discontinuation due to treatment-related adverse events (TRAEs). As of June 15, 2023, treatment related serious adverse events (TRSAEs) were observed in 6 out of 86 of the treated patients and 2 out of 86 patients discontinued participation in the trial as a result of TRAEs.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FURTHER — Our Ongoing Phase 1b Clinical Trial in NSCLC Patients with EGFR Activating Mutations including PACC Mutations</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completed enrolling patients in FURTHER, an ongoing, global Phase 1b dose escalation and expansion clinical trial being conducted jointly with Allist. It is intended to evaluate the safety, pharmacokinetics and preliminary anti-tumor activity of once-daily firmonertinib when used in patients with NSCLC involving locally advanced or metastatic disease that have previously received systemic therapy and whose tumors contain EGFR activating mutations. Anti-tumor activity is measured by confirmed complete response, defined as the disappearance of all target lesions, or partial response, defined as at least a 30% decrease in target lesions in the absence of a complete response, relative to the total number of patients. The pharmacokinetics, adverse events, serious adverse events, and observed anti-tumor activity in the exon 20 patients of firmonertinib in the clinical trial to date are consistent with those observed in the FAVOUR clinical trial conducted in China. The FURTHER clinical trial includes a cohort of 60 patients with a PACC EGFRm who are TKI treatment-naïve, and has been fully enrolled. In September 2025, we announced our final data from the FURTHER trial of firmonertinib in first-line patients with locally advanced or metastatic EGFRm NSCLC with PACC mutations. In this final readout, patients treated with 240 mg of firmonertinib were observed to experience 16.0 months mPFS and 14.6 months median duration of response. Further, 68.2% of patients treated in first-line at 240 mg and 43.5% of patients treated in first-line at 160 mg were observed to experience a reduction in tumor size of at least 30% from the baseline in a patient without evidence of progression as measured by RECIST 1.1 criteria, which measurement of reduction is the threshold in this trial for determination of the ORR. In addition, 47% (n=8/17) of patients with brain metastases at baseline were observed to experience a confirmed response utilizing modified RECIST 1.1 and 42.9% (n=6/14) of first line patients with brain metastases at baseline were observed to experience a reduction in tumor size of at least 30% from the baseline in a patient without evidence of progression as measured by RECIST 1.1 criteria. Firmonertinib was generally well-tolerated and consistent with interim safety results.</w:t>
      </w:r>
    </w:p>
    <w:p>
      <w:pPr>
        <w:spacing w:after="0" w:line="187"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ALPACCA —  Our Ongoing Phase 3 Clinical Trial in First-Line Non-Squamous Locally Advanced or Metastatic EGFRm NSCLC Patients with PACC Mutations</w:t>
      </w:r>
    </w:p>
    <w:p>
      <w:pPr>
        <w:spacing w:after="0" w:line="16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December 2025, we announced the first patient dosed and plan to enroll 480 patients in ALPACCA, a global, pivotal Phase 3 clinical trial of firmonertinib in first-line non-squamous locally advanced or metastatic NSCLC patients with PACC mutations being conducted jointly with Allist. Our ALPACCA clinical trial is designed to assess the safety and efficacy of firmonertinib administered at 240 mg, once-daily as compared to an investigator’s choice of osimertinib or afatinib. The co-primary endpoints of this study are ORR and PFS. The study design reflects design elements from the FDA’s Project FrontRunner where we have the potential to seek accelerated approval based on ORR and full approval based on PFS.</w:t>
      </w:r>
    </w:p>
    <w:p>
      <w:pPr>
        <w:spacing w:after="0" w:line="1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Planned Adjuvant Study in NSCLC Patients with Uncommon EGFRm, including Exon 20 Insertion and PACC Mutations</w:t>
      </w:r>
    </w:p>
    <w:p>
      <w:pPr>
        <w:spacing w:after="0" w:line="23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potential for EGFR TKIs that have demonstrated efficacy, safety and tolerability in the metastatic setting to improve disease-free and overall survival when administered in the adjuvant setting has been demonstrated by osimertinib in NSCLC patients with a classical EGFRm. We believe firmonertinib similarly has the potential to improve outcomes when administered as adjuvant therapy to EGFRm NSCLC patients with uncommon EGFRm, as these patients are not eligible for treatment with osimertinib. We intend to participate in a global adjuvant study of firmonertinib in EGFRm NSCLC with uncommon mutations initiated in China, or to conduct a parallel study, depending on results obtained from currently ongoing clinical trials.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FURLONG — Completed Phase 3 Clinical Trial in Classical EGFRm First-Line NSCLC Patients</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FURLONG was a 358-patient clinical trial in China conducted by Allist, with results first reported in 2022, which resulted in the approval of firmonertinib in China as a first-line therapy in patients with locally advanced or metastatic NSCLC with classical EGFRm. It was designed to compare the safety and efficacy of once daily dosing of 80 mg firmonertinib to 250 mg gefitinib. Firmonertinib demonstrated clinically meaningful and statistically significant efficacy and a favorable safety profile as compared to the first-generation EGFR TKI gefitinib. Importantly, firmonertinib exhibited superior efficacy in the treatment of CNS metastases, producing a confirmed CNS metastases specific ORR, which measured reduction in tumor size of at least 30% in brain metastases if present at the start of therapy, of 91%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versus 65% for gefitinib among participants with measurable metastatic CNS disease, demonstrating firmonertinib’s ability to cross the blood-brain barrier.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Antibody Drug Conjugate Collaborations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Consistent with our focus on curating a pipeline of innovative, impactful oncology therapies across modalities, we are advancing next-generation ADCs. ADCs are a promising modality for treating cancer due to their ability to target chemotherapy directly to the tumor cells. We are using Aarvik’s proprietary multi-target, multivalent site-specific conjugation antibody platform to discover and develop ADCs with potentially improved activity and safety over single target bivalent ADCs. We identified a preclinical candidate ARR-002 and have initiated Investigational New Drug (IND)-enabling activities. We are also working with Alphamab to leverage their proprietary linker-payload platform and glycan-conjugation technology to discover, develop, and commercialize ADCs for the treatment of cancers. Pursuant to the Lepu Biopharma Agreement, we are developing ARR-217, a novel CDH17-targeting ADC for the treatment of gastrointestinal cancers, which is currently in Phase 1 clinical development.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 and Approach</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were founded and acquired the rights to develop and commercialize firmonertinib worldwide, with the exception of greater China, which includes mainland China, Hong Kong, Macau and Taiwan, in 2021. We believe that our deep expertise in developing oncology drugs, executing cross border business transactions and track record building companies will allow us to expand our portfolio globally, across the oncology landscape. Our co-founder, Chief Executive Officer and Chairman is Zhengbin (Bing) Yao, Ph.D. Prior to ArriVent, Dr. Yao was Chief Executive Officer and Chairman of Viela Bio, Inc. (Viela), which he co-founded in 2018 by licensing a portfolio of therapeutics from AstraZeneca. Viela was subsequently acquired by Horizon Therapeutics plc in 2021 for $3.1 billion. Prior to Viela, Dr. Yao served as Senior Vice President at MedImmune, Inc. and as Senior Vice President and Head of the Immuno-Oncology Franchise at AstraZeneca. Our other co-founder and President of Research and Development is Stuart Lutzker, M.D., Ph.D. Dr. Lutzker joined from Genentech, Inc., where he served in a number of senior Research and Development roles. Most recently, Dr. Lutzker was Vice President and Head of Oncology, Early Clinical Development and oversaw the early clinical phase development of a number of approved products. See “Certain Relationships and Related Transactions, and Director Independence” for more information.</w:t>
      </w:r>
    </w:p>
    <w:p>
      <w:pPr>
        <w:spacing w:after="0" w:line="18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Our team’s deep knowledge in oncology has allowed us to identify novel therapeutic programs with strong biologic and scientific rationale that we believe have the potential to offer a differentiated profile to treat cancer patients. Based on our extensive experience working with regulatory agencies, we will pursue assets that we believe have a clear regulatory path to approval. We believe our highly selective in-licensing strategy provides us with high-quality development candidates at preclinical or clinical stages, which, if approved, would have the potential to achieve global commercial success.</w:t>
      </w:r>
    </w:p>
    <w:p>
      <w:pPr>
        <w:spacing w:after="0" w:line="18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While we source candidates from across the globe, our initial focus has been on compounds originally developed in China. We believe that as the world’s second-largest pharmaceutical market, with extensive biopharmaceutical research and development capabilities, China provides us with attractive opportunities to in-license innovative therapies that otherwise may not reach global populations. We believe our business development acumen positions us to build a highly competitive pipeline that we are uniquely positioned to bring to global patient communities, beginning with our lead development asset, firmonertinib.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intend to become a leading biopharmaceutical company through the identification, development and commercialization of differentiated medicines to address the unmet medical needs of patients with cancers. To accomplish this objective, we plan to:</w:t>
      </w:r>
    </w:p>
    <w:p>
      <w:pPr>
        <w:spacing w:after="0" w:line="1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Maximize the potential of firmonertinib — develop and commercialize firmonertinib for the treatment of a broad array of EGFRm NSCLC indications.</w:t>
      </w:r>
    </w:p>
    <w:p>
      <w:pPr>
        <w:spacing w:after="0" w:line="157" w:lineRule="exact"/>
        <w:rPr>
          <w:sz w:val="20"/>
          <w:szCs w:val="20"/>
          <w:color w:val="auto"/>
        </w:rPr>
      </w:pPr>
    </w:p>
    <w:p>
      <w:pPr>
        <w:ind w:left="720" w:right="9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firmonertinib through the pivotal Phase 3 FURVENT clinical trial and seek approval as a first-line therapy for non-squamous locally advanced or metastatic EGFRm NSCLC patients with exon 20 insertion mutations</w:t>
      </w:r>
      <w:r>
        <w:rPr>
          <w:rFonts w:ascii="Times New Roman" w:cs="Times New Roman" w:eastAsia="Times New Roman" w:hAnsi="Times New Roman"/>
          <w:sz w:val="18"/>
          <w:szCs w:val="18"/>
          <w:color w:val="auto"/>
        </w:rPr>
        <w:t>. Exon 20 insertion mutations represent one of the most prevalent uncommon EGFR mutations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up over 9% of the EGFR NSCLC patient population. While the antibody amivantamab has been approved as second-line therapy and chemotherapy in combination with amivantamab approved in first line therapy, no TKI has been approved as first-line therapy in this indication. We believe the interim data obtained as of June 15, 2023 in the Phase 1b FAVOUR clinical trial, in which patients were administered a 240 mg once-daily dose of firmonertinib, supports the progression of firmonertinib to the next phase of clinical trials. In that interim data readout, 79% of treatment naïve patients (n=22 out of 28 patients) were observed to experience a reduction in tumor size of at least 30% from the baseline in a patient without evidence of progression as measured by RECIST 1.1 criteria. This measurement of reduction is the threshold in this trial for a partial response and for inclusion in determination of the ORR, which is the primary endpoint of this trial. We received Breakthrough Therapy Designation for firmonertinib for the treatment of this disease from the FDA in October 2023, and Orphan Drug Designation for treatment of NSCLC with EGFRm or HER2 mutations or HER4 mutations in February 2024. We do not currently intend to conduct a Phase 2 trial in first-line non-squamous locally advanced or metastatic EGFRm NSCLC patients with exon 20 insertion mutations. We have completed enrollment in our global, pivotal Phase 3 FURVENT clinical trial in first-line non-squamous locally advanced or metastatic EGFRm NSCLC patients with exon 20 insertion mutations and we expect topline data from this clinical trial in mid-2026.</w:t>
      </w:r>
    </w:p>
    <w:p>
      <w:pPr>
        <w:spacing w:after="0" w:line="83" w:lineRule="exact"/>
        <w:rPr>
          <w:rFonts w:ascii="Times New Roman" w:cs="Times New Roman" w:eastAsia="Times New Roman" w:hAnsi="Times New Roman"/>
          <w:sz w:val="18"/>
          <w:szCs w:val="18"/>
          <w:color w:val="auto"/>
        </w:rPr>
      </w:pPr>
    </w:p>
    <w:p>
      <w:pPr>
        <w:ind w:left="720" w:right="79" w:hanging="319"/>
        <w:spacing w:after="0" w:line="269" w:lineRule="auto"/>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advance firmonertinib through the pivotal Phase 3 ALPACCA clinical trial in EGFRm NSCLC patients with PACC mutations. </w:t>
      </w:r>
      <w:r>
        <w:rPr>
          <w:rFonts w:ascii="Times New Roman" w:cs="Times New Roman" w:eastAsia="Times New Roman" w:hAnsi="Times New Roman"/>
          <w:sz w:val="17"/>
          <w:szCs w:val="17"/>
          <w:color w:val="auto"/>
        </w:rPr>
        <w:t>We are also advancing the clinical development of firmonertinib as a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treatment for EGFRm NSCLC patients with PACC mutations. PACC mutations are a distinct set of approximately 70 EGFR-activating mutations, associated with over 12% of EGFRm NSCLC patients. Guidelines employing TKIs for many of the PACC-specific EGFR mutations are not established and, as a result, chemotherapy is often used as the default course of therapy, offering limited efficacy and introducing chemotherapy-related toxicity. Osimertinib is frequently used in some patients, but the activity of osimertinib in such patients is much less than its activity in classical EGFR mutant NSCLC. Afatinib, a second-generation TKI, is also used in some patients, but has an unfavorable safety profile and is not brain penetrant. We are investigating the use of firmonertinib to treat a broad set of PACC mutations the ALPACCA clinical trial based on firmonertinib’s observed activity against PACC mutations in preclinical studies together with the evaluation of firmonertinib in multiple clinical trials with an aggregate patient population of over 1000 patients, including over 450 patients outside China. We have initiated our pivotal Phase 3 ALPACCA study with our first patient dosed in December 2025.</w:t>
      </w:r>
    </w:p>
    <w:p>
      <w:pPr>
        <w:spacing w:after="0" w:line="67" w:lineRule="exact"/>
        <w:rPr>
          <w:rFonts w:ascii="Times New Roman" w:cs="Times New Roman" w:eastAsia="Times New Roman" w:hAnsi="Times New Roman"/>
          <w:sz w:val="17"/>
          <w:szCs w:val="17"/>
          <w:color w:val="auto"/>
        </w:rPr>
      </w:pPr>
    </w:p>
    <w:p>
      <w:pPr>
        <w:ind w:left="720" w:right="139" w:hanging="319"/>
        <w:spacing w:after="0" w:line="257"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the clinical benefit of treating early-stage disease with firmonertinib. </w:t>
      </w:r>
      <w:r>
        <w:rPr>
          <w:rFonts w:ascii="Times New Roman" w:cs="Times New Roman" w:eastAsia="Times New Roman" w:hAnsi="Times New Roman"/>
          <w:sz w:val="18"/>
          <w:szCs w:val="18"/>
          <w:color w:val="auto"/>
        </w:rPr>
        <w:t>We also intend to participate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registrational Phase 3 clinical trial initiated in China, or to conduct a parallel study, to investigate the potential benefit of firmonertinib in the adjuvant setting in NSCLC patients with uncommon EGFRm that are not eligible for osimertinib such as exon 20 insertion and PACC mutations. We intend to join the adjuvant study of firmonertinib, or to conduct a parallel study, once the EGFRm patient group is further defined based on ongoing clinical trials in the metastatic setting.</w:t>
      </w:r>
    </w:p>
    <w:p>
      <w:pPr>
        <w:spacing w:after="0" w:line="74" w:lineRule="exact"/>
        <w:rPr>
          <w:rFonts w:ascii="Times New Roman" w:cs="Times New Roman" w:eastAsia="Times New Roman" w:hAnsi="Times New Roman"/>
          <w:sz w:val="18"/>
          <w:szCs w:val="18"/>
          <w:color w:val="auto"/>
        </w:rPr>
      </w:pPr>
    </w:p>
    <w:p>
      <w:pPr>
        <w:ind w:left="720" w:right="31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 combination strategies with firmonertinib to overcome and prevent resistance to EGFR TKI in NSCLC involving classical mutations. </w:t>
      </w:r>
      <w:r>
        <w:rPr>
          <w:rFonts w:ascii="Times New Roman" w:cs="Times New Roman" w:eastAsia="Times New Roman" w:hAnsi="Times New Roman"/>
          <w:sz w:val="18"/>
          <w:szCs w:val="18"/>
          <w:color w:val="auto"/>
        </w:rPr>
        <w:t>Acquired resistance presents an inevitable challenge to longer-term EGFRm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NSCLC management. As such, we are evaluating the use of firmonertinib in combination with other potential agents to extend patient benefit in EGFRm NSCLC patients.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 novel therapeutic product candidates for unmet medical needs, leveraging innovative platforms and technologies starting with ADCs.</w:t>
      </w:r>
    </w:p>
    <w:p>
      <w:pPr>
        <w:spacing w:after="0" w:line="157" w:lineRule="exact"/>
        <w:rPr>
          <w:sz w:val="20"/>
          <w:szCs w:val="20"/>
          <w:color w:val="auto"/>
        </w:rPr>
      </w:pPr>
    </w:p>
    <w:p>
      <w:pPr>
        <w:ind w:left="720" w:right="79" w:hanging="319"/>
        <w:spacing w:after="0" w:line="25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and develop differentiated next-generation ADCs for solid tumors. </w:t>
      </w:r>
      <w:r>
        <w:rPr>
          <w:rFonts w:ascii="Times New Roman" w:cs="Times New Roman" w:eastAsia="Times New Roman" w:hAnsi="Times New Roman"/>
          <w:sz w:val="18"/>
          <w:szCs w:val="18"/>
          <w:color w:val="auto"/>
        </w:rPr>
        <w:t>ADCs are a promising modality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treating cancer due to their ability to target chemotherapy directly to the tumor cells. We have entered into a research collaboration with Aarvik to leverage its proprietary multi-target, multivalent, site-specific conjugation antibody platform to discover ADCs with potentially improved activity and safety over single target bivalent ADCs for oncology indications globally. We identified a preclinical candidate, ARR-002, and have initiated IND-enabling activities. We have also entered into a collaboration with Alphamab to discover, develop and commercialize novel ADCs. We are working with Alphamab to leverage their proprietary linker-payload platform and glycan-conjugation technology to identify novel ADCs for oncology indications globally, except greater China, which includes mainland China, Hong Kong, Macau and Taiwan where Alphamab retains the right to develop and commercialize ADCs. We entered into a license agreement with Lepu Biopharma pursuant to which Lepu Biopharma granted us a right to develop and commercialize ARR-217, an antibody drug conjugate targeting CDH17 for gastrointestinal cancers outside greater China, which is mainland China, Hong Kong, Macau and Taiwan.</w:t>
      </w:r>
    </w:p>
    <w:p>
      <w:pPr>
        <w:spacing w:after="0" w:line="189" w:lineRule="exact"/>
        <w:rPr>
          <w:sz w:val="20"/>
          <w:szCs w:val="20"/>
          <w:color w:val="auto"/>
        </w:rPr>
      </w:pPr>
    </w:p>
    <w:p>
      <w:pPr>
        <w:jc w:val="both"/>
        <w:ind w:left="700" w:right="259"/>
        <w:spacing w:after="0" w:line="266" w:lineRule="auto"/>
        <w:rPr>
          <w:sz w:val="20"/>
          <w:szCs w:val="20"/>
          <w:color w:val="auto"/>
        </w:rPr>
      </w:pPr>
      <w:r>
        <w:rPr>
          <w:rFonts w:ascii="Times New Roman" w:cs="Times New Roman" w:eastAsia="Times New Roman" w:hAnsi="Times New Roman"/>
          <w:sz w:val="18"/>
          <w:szCs w:val="18"/>
          <w:color w:val="auto"/>
        </w:rPr>
        <w:t>ARR-217 is currently enrolling patients in a Phase 1 clinical study. This is an open-label, multi-center, Phase 1 study to evaluate the safety, tolerability, efficacy, and pharmacokinetics of ARR-217 (MRG007) in patients with unresectable locally advanced or metastatic solid tumors.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Broaden our pipeline through expanded business development initiatives.</w:t>
      </w:r>
    </w:p>
    <w:p>
      <w:pPr>
        <w:spacing w:after="0" w:line="227" w:lineRule="exact"/>
        <w:rPr>
          <w:sz w:val="20"/>
          <w:szCs w:val="20"/>
          <w:color w:val="auto"/>
        </w:rPr>
      </w:pPr>
    </w:p>
    <w:p>
      <w:pPr>
        <w:ind w:left="720" w:right="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rights to additional therapeutic candidates targeting solid tumors. </w:t>
      </w:r>
      <w:r>
        <w:rPr>
          <w:rFonts w:ascii="Times New Roman" w:cs="Times New Roman" w:eastAsia="Times New Roman" w:hAnsi="Times New Roman"/>
          <w:sz w:val="18"/>
          <w:szCs w:val="18"/>
          <w:color w:val="auto"/>
        </w:rPr>
        <w:t>We intend to use our demonstrated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in business development to establish additional collaborations and acquire the rights to drug candidates designed to treat solid tumors and address significant unmet medical needs of patients with cancers. While we source candidates from across the globe, our initial focus has been on drugs originally discovered and developed in China for potential commercialization in the United States, the European Union, and other jurisdictions. For programs that we in-license, we plan to pursue a global development strategy to enable approval and commercialization in a broad set of geographies. We remain agnostic as to therapeutic modality, which we believe will expand our access to drug candidates with attractive therapeutic profiles.</w:t>
      </w:r>
    </w:p>
    <w:p>
      <w:pPr>
        <w:spacing w:after="0" w:line="184" w:lineRule="exact"/>
        <w:rPr>
          <w:rFonts w:ascii="Times New Roman" w:cs="Times New Roman" w:eastAsia="Times New Roman" w:hAnsi="Times New Roman"/>
          <w:sz w:val="18"/>
          <w:szCs w:val="18"/>
          <w:color w:val="auto"/>
        </w:rPr>
      </w:pPr>
    </w:p>
    <w:p>
      <w:pPr>
        <w:ind w:left="720" w:right="79" w:hanging="319"/>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Track record of establishing collaborations and license agreements. </w:t>
      </w:r>
      <w:r>
        <w:rPr>
          <w:rFonts w:ascii="Times New Roman" w:cs="Times New Roman" w:eastAsia="Times New Roman" w:hAnsi="Times New Roman"/>
          <w:sz w:val="18"/>
          <w:szCs w:val="18"/>
          <w:color w:val="auto"/>
        </w:rPr>
        <w:t>Since our inception in 2021,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four licensing agreements for oncology assets, including our lead product candidate firmonertinib, and the ADC product candidates ARR-217, ARR-002, ARR-421 and ARR-173. We believe in continuing to build our pipeline through sourcing innovation globally and remaining nimble in developing such programs in collaboration with our partners.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Lung Cancer</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According to the National Cancer Institute, lung cancer is predicted to account for nearly 250,000 of the two million new cancer diagnoses made in the United States in 2023. Lung cancer ranks behind both breast and prostate cancer in terms of the number of newly diagnosed cases yet is responsible for far more deaths than any other type of cancer, with the estimated 27,000 lung cancer deaths to occur in 2023, more than double the annual number of deaths attributed to colorectal, pancreatic or breast cancer, as illustrated in the chart below. Lung cancer is the cause of approximately 20% of all cancer-related deaths and the 5-year survival rate for advanced lung cancer in the United States is approximately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6%. Worldwide, lung cancer is estimated to be responsible for 2.2 million new cancer cases annually and 1.8 million deaths.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114300</wp:posOffset>
            </wp:positionV>
            <wp:extent cx="5074920" cy="1963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7492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Non-Small Cell Lung Cancer and the EGFR Driver Mutation</w:t>
      </w:r>
    </w:p>
    <w:p>
      <w:pPr>
        <w:spacing w:after="0" w:line="22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Cases of lung cancer are divided into NSCLC and small cell lung cancer, with NSCLC accounting for approximately 85% of all lung cancer diagnoses. NSCLC can be further segregated into two primary classifications: non-squamous cell carcinoma and squamous cell carcinoma. Non-squamous cell carcinoma is the most prevalent type of NSCLC and makes up approximately 77% of all NSCLC cases. Adenocarcinoma is the largest subgroup of the non-squamous NSCLC, constituting 81%. Among the genetic mutations that promote the development of NSCLC, mutational activation of the EGFR gene is among the most common. EGFR is a transmembrane glycoprotein consisting of an extracellular epidermal growth factor binding domain, a hydrophobic transmembrane domain and an intracellular tyrosine kinase domain that regulates signal transduction pathways involved in cellular proliferation. Its mutation results in the constitutive activation of these pathways and uncontrolled growth of the cancer cell. The overall prevalence of the EGFR mutation among NSCLC patients varies widely between different ethnic populations. Approximately 38% of NSCLC patients from Asian countries have an EGFR mutation, while approximately 24% of NSCLC patients in the Americas and approximately 14% of NSCLC patients in Europe have EGFR mutations. EGFR mutations are also more commonly associated with NSCLC patients who have never smoked, as well as women and young adult NSCLC patients. Substantially all NSCLC cases involving an EGFR mutation are non-squamous cell carcinomas.</w:t>
      </w:r>
    </w:p>
    <w:p>
      <w:pPr>
        <w:spacing w:after="0" w:line="19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Numerous EGFR mutations have been identified that cluster within the EGFR kinase domain encoded by exons 18-21 in the EGFR gene. These mutations, which include amino acid insertions, deletions and substitutions, activate EGFR signaling within the tumor cell and can be categorized as either classical or uncommon mutations. Classical mutations involving a deletion in amino acids encoded by exon 19 and another involving a substitution of the amino acid arginine for leucine at codon 858, which is referred to as an L858R mutation, are responsible for approximately 69% of NSCLC patients with an EGFRm. The uncommon mutations may be categorized based on the structural change to the drug binding pocket of the EGFR kinase domain, with the two most frequent groups of uncommon mutations involving an exon 20 insertion or PACC mutations of the EGFR. These two types of uncommon mutations account for approximately 22% of patients with EGFRm NSCLC and the life expectancy for NSCLC patients with uncommon EGFRm, including exon 20 insertion and PACC mutations, is lower. The distribution of patients with EGFR-mutation positive NSCLC is presented below. EGFRm are detected by numerous commercially available FDA-approved DNA tests, either Polymerase Chain Reaction (PCR) or Next Generation Sequencing (NGS), utilizing either tumor tissue or blood samples and testing for EGFRm, as well as other activating gene mutations, is considered standard in the management of NSCLC as per national guidelines such as National Comprehensive Cancer Network (NCCN). We are working with a diagnostics company to develop an FDA-approved NGS test for confirming EGFR exon 20 insertion mutations in our clinical trial and if firmonertinib is approved, we believe it would be indicated for patients with EGFRm as detected by an FDA-approved DNA test.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EGFR activating mutations include both classical and uncommon mutations in the kinase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155575</wp:posOffset>
            </wp:positionV>
            <wp:extent cx="2451735" cy="218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173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Therapeutics and their Limitations</w:t>
      </w:r>
    </w:p>
    <w:p>
      <w:pPr>
        <w:spacing w:after="0" w:line="229" w:lineRule="exact"/>
        <w:rPr>
          <w:sz w:val="20"/>
          <w:szCs w:val="20"/>
          <w:color w:val="auto"/>
        </w:rPr>
      </w:pPr>
    </w:p>
    <w:p>
      <w:pPr>
        <w:ind w:left="60" w:right="59" w:firstLine="324"/>
        <w:spacing w:after="0" w:line="246" w:lineRule="auto"/>
        <w:rPr>
          <w:sz w:val="20"/>
          <w:szCs w:val="20"/>
          <w:color w:val="auto"/>
        </w:rPr>
      </w:pPr>
      <w:r>
        <w:rPr>
          <w:rFonts w:ascii="Times New Roman" w:cs="Times New Roman" w:eastAsia="Times New Roman" w:hAnsi="Times New Roman"/>
          <w:sz w:val="17"/>
          <w:szCs w:val="17"/>
          <w:color w:val="auto"/>
        </w:rPr>
        <w:t>In classical EGFRm NSCLC, the current standard of care for the treatment of locally advanced or metastatic EGFRm NSCLC involves the use of a TKI as first-line therapy. Two first-generation TKIs, gefitinib and erlotinib (TARCEVA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received initial marketing approval by the FDA in the early 2000s. These drugs, which were designed to competitively bind with EGFR at the ATP-binding site in a reversible manner to block enzymatic activation and downstream signal transduction, provide certain NSCLC patients with EGFRm substantial benefit, offering superior efficacy and safety profiles as compared to chemotherapy. However, durability of response to treatment is limited and virtually all patients with advanced disease acquire resistance, the most common of which involves a T790M substitution mutation. In addition, rash and diarrhea, often severe, are common adverse events (AEs). Efforts to address acquired resistance to first-generation TKIs led to the approval by the FDA of the second-generation TKIs afatinib (GILOTRIF</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 2013 and dacomitinib (VIZIMPRO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 2018, drugs which irreversibly block the tyrosine kinase activity. However, TRAEs are more pronounced than the first-generation designs, which have limited broader clinical application of the second-generation TKIs.</w:t>
      </w:r>
    </w:p>
    <w:p>
      <w:pPr>
        <w:spacing w:after="0" w:line="19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Osimertinib was the first third-generation TKI to receive FDA approval and is currently a standard of care for patients with EGFRm NSCLC involving classical mutations and the related treatment emergent T790M mutation in the majority of countries worldwide. Osimertinib provides an improved AE profile, including a reduction in severe adverse events, compared to the earlier generation EGFR targeted TKIs and displays a greater ability to cross the blood-brain barrier, enabling efficacy against metastases involving the CNS. The ability to treat CNS metastases is of notable importance as patients with EGFR-activating mutations are particularly susceptible to the development of brain metastases, which can occur in up to 70% of patients during the course of their disease. In 2024, amivantamab in combination with lazertinib was approved for the treatment of first-line NSCLC patients with EGFR exon 19 deletions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or exon 21 L858R substitution mutations. Amivantamab is a bispecific antibody and lazertinib is a third-generation EGFR TKI. The key limitations of therapies in EGFRm NSCLC are presented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06415" cy="2314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Table includes approved and disclosed registrational indications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*Afatinib has limited clinical data in patients with 2 of the 70 described PACC mutations.</w:t>
      </w:r>
    </w:p>
    <w:p>
      <w:pPr>
        <w:spacing w:after="0" w:line="9" w:lineRule="exact"/>
        <w:rPr>
          <w:sz w:val="20"/>
          <w:szCs w:val="20"/>
          <w:color w:val="auto"/>
        </w:rPr>
      </w:pPr>
    </w:p>
    <w:p>
      <w:pPr>
        <w:ind w:left="380" w:right="339" w:hanging="323"/>
        <w:spacing w:after="0" w:line="250" w:lineRule="auto"/>
        <w:rPr>
          <w:sz w:val="20"/>
          <w:szCs w:val="20"/>
          <w:color w:val="auto"/>
        </w:rPr>
      </w:pPr>
      <w:r>
        <w:rPr>
          <w:rFonts w:ascii="Times New Roman" w:cs="Times New Roman" w:eastAsia="Times New Roman" w:hAnsi="Times New Roman"/>
          <w:sz w:val="18"/>
          <w:szCs w:val="18"/>
          <w:i w:val="1"/>
          <w:iCs w:val="1"/>
          <w:color w:val="auto"/>
        </w:rPr>
        <w:t>**Exclaim-2 study in 1L announced as negative and in July 2024, the FDA withdrew the license for mobocertinib in the United States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Dacomitinib is also approved in the United States for classical EGFR mutations</w:t>
      </w:r>
    </w:p>
    <w:p>
      <w:pPr>
        <w:spacing w:after="0" w:line="20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There is currently no TKI approved as first-line therapy for NSCLC patients with EGFR exon 20 insertion mutations. Platinum-based chemotherapy with pemetrexed is a standard of care for first-line therapy in this patient population in the United States and the European Union with or without amivantamab. Of particular note, approximately one-third of NSCLC patients harboring EGFR exon 20 insertion mutations have brain metastases at the time of diagnosis, which are mainly treated with radiation therapy, as chemotherapy is less effective in the treatment of brain metastases due to low brain penetration.</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2021, the FDA granted marketing approval to two therapeutics, mobocertinib, a TKI, and amivantamab, a bispecific antibody, to treat NSCLC patients with exon 20 insertion mutations which have progressed after administration of platinum-based chemotherapy. Both approvals were granted under accelerated approval and continued approval may be contingent upon verification and description of clinical benefit in confirmatory trial(s). Notably, in July 2023, Takeda announced the discontinuation of its Phase 3 clinical trial of mobocertinib as a monotherapy in first-line patients due to futility and subsequently withdrew the drug from the market globally. In August 2023, Johnson &amp; Johnson announced that its Phase 3 trial of amivantamab in combination with chemotherapy in first-line patients met its primary endpoint of PFS when compared to chemotherapy alone. While the FDA approved the use of this combination in this patient population in March 2024, and by the European Commission in July 2024, the use of chemotherapy in combination with amivantamab in the first-line patients may be limited due to the need to combine with intravenous chemotherapy and lack of brain penetration of amivantamab, along with chemotherapy associated toxicities.</w:t>
      </w:r>
    </w:p>
    <w:p>
      <w:pPr>
        <w:spacing w:after="0" w:line="192" w:lineRule="exact"/>
        <w:rPr>
          <w:sz w:val="20"/>
          <w:szCs w:val="20"/>
          <w:color w:val="auto"/>
        </w:rPr>
      </w:pPr>
    </w:p>
    <w:p>
      <w:pPr>
        <w:jc w:val="both"/>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A distinct set of approximately 70 uncommon EGFR-activating mutations have been identified that are predicted to alter the orientation of the interior surface of the ATP-binding pocket of the EGFR P-loop or αC-terminal end of the C-helix within the tyrosine kinase domain and are referred to as PACC mutations. Over 12% of patients with EGFRm are estimated to involve PACC mutations and patients diagnosed with PACC mutations have limited treatment options.</w:t>
      </w:r>
    </w:p>
    <w:p>
      <w:pPr>
        <w:spacing w:after="0" w:line="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Guidelines employing TKIs for many of the PACC-specific EGFRm are not established and as a result chemotherapy is used as the default course of therapy in many patients with limited clinical benefit. Osimertinib is frequently used in some patients, but the activity of osimertinib is much less than in classical EGFRm NSCLC. The second-generation TKI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afatinib is the only TKI to have received FDA and the European Medical Association approval in NSCLC to treat EGFRm NSCLC with limited clinical data for two of the 70 PACC mutations, G719X and S768I.</w:t>
      </w:r>
    </w:p>
    <w:p>
      <w:pPr>
        <w:spacing w:after="0" w:line="189" w:lineRule="exact"/>
        <w:rPr>
          <w:sz w:val="20"/>
          <w:szCs w:val="20"/>
          <w:color w:val="auto"/>
        </w:rPr>
      </w:pPr>
    </w:p>
    <w:p>
      <w:pPr>
        <w:jc w:val="both"/>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The current treatment paradigm for the various subtypes of EGFRm NSCLC outside of China and areas of unmet medical needs where we believe firmonertinib may provide clinical utility is summarized in the chart presented below.</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Firmonertinib has the potential to address significant unmet needs in the current EGFRm NSCLC treatment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155575</wp:posOffset>
            </wp:positionV>
            <wp:extent cx="5057775" cy="2528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5777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right="259" w:firstLine="324"/>
        <w:spacing w:after="0" w:line="233" w:lineRule="auto"/>
        <w:rPr>
          <w:sz w:val="20"/>
          <w:szCs w:val="20"/>
          <w:color w:val="auto"/>
        </w:rPr>
      </w:pPr>
      <w:r>
        <w:rPr>
          <w:rFonts w:ascii="Times New Roman" w:cs="Times New Roman" w:eastAsia="Times New Roman" w:hAnsi="Times New Roman"/>
          <w:sz w:val="18"/>
          <w:szCs w:val="18"/>
          <w:color w:val="auto"/>
        </w:rPr>
        <w:t>Specific to the HER2 exon 20 insertion mutation, an exon 20 insertion in the related HER2 gene, in August 2022 the FDA granted accelerated approval to fam-trastuzumab deruxtecan-nxki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HER2-directed antibody-drug conjugate, for adults with unresectable or metastatic NSCLC who have received prior systemic therapy. Despite its approval, patients with refractory or recurrent disease remain a significant portion of the patient population and currently approved TKIs have demonstrated limited efficacy in targeted HER2 exon 20 insertion mutations.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Firmonertinib: Our Lead Development Candidate</w:t>
      </w:r>
    </w:p>
    <w:p>
      <w:pPr>
        <w:spacing w:after="0" w:line="229"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Our lead development candidate is firmonertinib, an investigational, novel, EGFR mutant-selective TKI that we are developing for the treatment of patients with NSCLC harboring a broader set of EGFRm than are currently served by approved EGFR TKIs. Firmonertinib is currently approved and commercially distributed by Allist in China as a first-line treatment of locally advanced or metastatic NSCLC patients with classical EGFRm as well as pre-treated patients with T790M mutations. In addition, in an interim data readout from the FAVOUR trial of firmonertinib, reductions in tumor size have been observed in patients with exon 20 insertion mutations and activity in PACC mutations has been observed in an interim data readout from the FURTHER trial. Exon 20 insertion mutations and PACC mutations are each a subtype of uncommon mutation. Exon 20 insertions and PACC mutations account for approximately 22% of EGFRm NSCLC patients and are largely underserved by existing treatments. Firmonertinib has been studied in over 1000 patients, including over 450 patients outside China, across a broad dose range. We anticipate that favorable safety data, if obtained for firmonertinib, could allow for the administration of firmonertinib at different doses required for optimal activity in different EGFRm patient populations. Encouraging activity has been observed to date in both preclinical and clinical settings, including response in CNS metastases, in an interim data readout from our partner’s ongoing FAVOUR clinical trial in China with patients with exon 20 insertions, and in the FURTHER clinical trial in patients with PACC mutations globally.</w:t>
      </w:r>
    </w:p>
    <w:p>
      <w:pPr>
        <w:spacing w:after="0" w:line="184"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Of particular note, firmonertinib exhibited elevated tissue distribution to the brain in preclinical studies. In these studies, the brain and plasma concentrations were measured in mice following a single dose of either firmonertinib 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osimertinib and the brain-to-plasma calculated for both total drug (Kp) and unbound drug (Kp uu). Osimertinib was used as a reference compound in certain experiments as it has demonstrated clinical activity in patients with CNS metastases. As is noted in the chart below, these experiments showed that firmonertinib penetrated the blood-brain barrier at a rate similar to that of osimertinib.</w:t>
      </w:r>
    </w:p>
    <w:p>
      <w:pPr>
        <w:spacing w:after="0" w:line="178" w:lineRule="exact"/>
        <w:rPr>
          <w:sz w:val="20"/>
          <w:szCs w:val="20"/>
          <w:color w:val="auto"/>
        </w:rPr>
      </w:pPr>
    </w:p>
    <w:p>
      <w:pPr>
        <w:jc w:val="center"/>
        <w:ind w:left="1520" w:right="200"/>
        <w:spacing w:after="0" w:line="267" w:lineRule="auto"/>
        <w:rPr>
          <w:sz w:val="20"/>
          <w:szCs w:val="20"/>
          <w:color w:val="auto"/>
        </w:rPr>
      </w:pPr>
      <w:r>
        <w:rPr>
          <w:rFonts w:ascii="Times New Roman" w:cs="Times New Roman" w:eastAsia="Times New Roman" w:hAnsi="Times New Roman"/>
          <w:sz w:val="18"/>
          <w:szCs w:val="18"/>
          <w:i w:val="1"/>
          <w:iCs w:val="1"/>
          <w:color w:val="auto"/>
        </w:rPr>
        <w:t>Firmonertinib displayed brain penetrant properties similar to osimertinib in pre-clinical studies. When mice were administered a single dose of either firmonertinib or osimertinib, they penetrated the blood-brain barrier to a similar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123190</wp:posOffset>
            </wp:positionV>
            <wp:extent cx="5212080" cy="1080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are currently awaiting topline data from our FURVENT clinical trial, a global, pivotal Phase 3 clinical trial of firmonertinib in first-line non-squamous locally advanced or metastatic NSCLC patients with exon 20 insertion mutations and we expect topline data in mid-2026. In addition, we are conducting our ALPACCA trial, a global, pivotal Phase 3 clinical trial of firmonertinib in first-line non-squamous locally advanced or metastatic NSCLC patients with PACC mutations. Data from our clinical trials are discussed below.</w:t>
      </w:r>
    </w:p>
    <w:p>
      <w:pPr>
        <w:spacing w:after="0" w:line="179"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FURVENT — Our ongoing Phase 3 Clinical Trial in First-Line Non-Squamous Locally Advanced or Metastatic EGFRm NSCLC Patients with Exon 20 Insertion Mutations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completed enrolling patients in FURVENT, a global, pivotal Phase 3 clinical trial of firmonertinib in first-line non-squamous locally advanced or metastatic EGFRm NSCLC patients with exon 20 insertion mutations being conducted jointly with Allist. We designed a randomized clinical trial, integrating feedback from global regulatory agencies, that consists of three cohorts, which enrolled 398 patients in total, designed to evaluate the safety and efficacy of firmonertinib at two different dose levels, 160 mg and 240 mg, administered daily (QD) and compare therapeutic benefit to platinum-based chemotherapy cycles with pemetrexed, the clinical trial’s active control group. Participants in this clinical trial will continue to receive treatment until disease progression or discontinuation related to toxicity, with patients in the control group allowed to cross over into one of the two firmonertinib arms after disease progression. The primary endpoint of this trial is PFS per blinded independent central review utilizing RECIST 1.1 criteria. Secondary endpoints include ORR, overall survival (OS) and DOR, as well as brain-specific ORR and PFS in patients with brain metastases. We have completed enrolling patients in this clinical trial and anticipate top-line data for the use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firmonertinib as first-line therapy in patients with non-squamous locally advanced or metastatic EGFRm NSCLC with exon 20 insertion mutations in mid-2026. The FURVENT clinical trial’s study design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33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 Our Ongoing Phase 1b Clinical Trial in NSCLC Patients with EGFR Activating Mutations including PACC Mutations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completed enrolling patients in FURTHER, an ongoing, global Phase 1b dose escalation and expansion clinical trial being conducted jointly with Allist. It is intended to evaluate the safety, pharmacokinetics and reduction in tumor size as a result of once-daily firmonertinib when used in locally advanced or metastatic non-squamous EGFRm NSCLC patients that have previously received systemic therapy and whose tumors contain EGFR activating mutations, including both classical and uncommon, as well as HER2 exon 20 insertion mutations. Cohort 4 specifically enrolls patients with EGFR PACC mutations. PACC mutations represent a group of approximately 70 EGFR activating mutations characterized by a structural displacement of the P-loop and/or αC-helix within EGFR’s kinase domain which impact drug binding for third generation EGFR TKIs such as osimertinib. PACC mutations can be identified along with the classical EGFR mutations using commercially available NGS panels. Currently, afatinib, a second-generation EGFR TKI has data supporting its use in two of the approximately 70 PACC mutations (S768I and G719X). Our preclinical data to date suggest that firmonertinib may have activity against a significantly broader number of PACC mutations.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first stage of the FURTHER clinical trial enrolled a broad group of EGFRm NSCLC patients to evaluate pharmacokinetics and safety in patients outside of China and identify a dose for the expansion cohorts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114300</wp:posOffset>
            </wp:positionV>
            <wp:extent cx="5109210" cy="3420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0921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right="99" w:hanging="319"/>
        <w:spacing w:after="0" w:line="267"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One </w:t>
      </w:r>
      <w:r>
        <w:rPr>
          <w:rFonts w:ascii="Times New Roman" w:cs="Times New Roman" w:eastAsia="Times New Roman" w:hAnsi="Times New Roman"/>
          <w:sz w:val="18"/>
          <w:szCs w:val="18"/>
          <w:color w:val="auto"/>
        </w:rPr>
        <w:t>is designed to enroll 20 patients with locally advanced or metastatic EGFR exon 20 insertion positive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NSCLC who have previously received systemic treatment and may have received prior EGFRm targeting TKI therapeutic or amivantamab. Patients in Cohort One are to receive 240 mg firmonertinib once daily.</w:t>
      </w:r>
    </w:p>
    <w:p>
      <w:pPr>
        <w:spacing w:after="0" w:line="65"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Two </w:t>
      </w:r>
      <w:r>
        <w:rPr>
          <w:rFonts w:ascii="Times New Roman" w:cs="Times New Roman" w:eastAsia="Times New Roman" w:hAnsi="Times New Roman"/>
          <w:sz w:val="18"/>
          <w:szCs w:val="18"/>
          <w:color w:val="auto"/>
        </w:rPr>
        <w:t>is designed to enroll 20 patients with locally advanced or metastatic HER2 exon 20 insertion positive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NSCLC, a mutation and patient population that is distinct from the exon 20 mutation and patient population. Patients in Cohort Two will have previously received systemic treatment and are to receive 240 mg firmonertinib once daily.</w:t>
      </w:r>
    </w:p>
    <w:p>
      <w:pPr>
        <w:spacing w:after="0" w:line="71" w:lineRule="exact"/>
        <w:rPr>
          <w:rFonts w:ascii="Times New Roman" w:cs="Times New Roman" w:eastAsia="Times New Roman" w:hAnsi="Times New Roman"/>
          <w:sz w:val="18"/>
          <w:szCs w:val="18"/>
          <w:color w:val="auto"/>
        </w:rPr>
      </w:pPr>
    </w:p>
    <w:p>
      <w:pPr>
        <w:ind w:left="720" w:right="35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Three </w:t>
      </w:r>
      <w:r>
        <w:rPr>
          <w:rFonts w:ascii="Times New Roman" w:cs="Times New Roman" w:eastAsia="Times New Roman" w:hAnsi="Times New Roman"/>
          <w:sz w:val="18"/>
          <w:szCs w:val="18"/>
          <w:color w:val="auto"/>
        </w:rPr>
        <w:t>is designed to enroll 20 patients with locally advanced or metastatic NSCLC with an EGFR-activating mutation other than exon 20 insertion or PACC mutations who have previously received systemic treatment. Patients with classical EGFRm must have received prior osimertinib therapy. Participants in Cohort Three are to receive 240 mg firmonertinib once daily.</w:t>
      </w:r>
    </w:p>
    <w:p>
      <w:pPr>
        <w:spacing w:after="0" w:line="71"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Four </w:t>
      </w:r>
      <w:r>
        <w:rPr>
          <w:rFonts w:ascii="Times New Roman" w:cs="Times New Roman" w:eastAsia="Times New Roman" w:hAnsi="Times New Roman"/>
          <w:sz w:val="18"/>
          <w:szCs w:val="18"/>
          <w:color w:val="auto"/>
        </w:rPr>
        <w:t>is designed to enroll 60 patients with locally advanced or metastatic NSCLC with EGFR PACC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mutations who are TKI-treatment naive. Patients in Cohort Four are randomized into two groups, one group of up to 30 patients administered 160 mg firmonertinib once-daily and the other group of up to 30 patients administered 240 mg firmonertinib once-daily.</w:t>
      </w:r>
    </w:p>
    <w:p>
      <w:pPr>
        <w:spacing w:after="0" w:line="18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Pharmacokinetic data obtained in the first stage of the FURTHER clinical trial as of June 15, 2023 were consistent with initial pharmacokinetic data obtained in the FAVOUR clinical trial as of June 15, 2023 with similar steady-state levels of firmonertinib and its major metabolite, AST5902 (see figure below). The AEs in the FURTHER clinical trial have been consistent with the EGFR targeted TKI class in general, with diarrhea, stomatitis and rash being the most commonly observed TRAEs. The frequency of dose reduction and discontinuation due to AEs has remained low. Initial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evidence of reduction in tumor size has been observed, with confirmed and unconfirmed partial responses to firmonertinib noted in NSCLC patients with mutations involving EGFR exon 20 insertions.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Firmonertinib has shown similar drug levels at steady state in both the FAVOUR and the FURTHER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155575</wp:posOffset>
            </wp:positionV>
            <wp:extent cx="2348865" cy="2425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Reduction in tumor size observed in preclinical studies with firmonertinib in uncommon EGFR mutations</w:t>
      </w:r>
    </w:p>
    <w:p>
      <w:pPr>
        <w:spacing w:after="0" w:line="22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advanced firmonertinib into clinical trials as a potential treatment for EGFR mutation-positive NSCLC involving uncommon mutations based on compelling data demonstrating reduction in tumor size in preclinical studies using mouse xenografts, as presented below.</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is detailed in the illustration presented below, in this LU0387 patient derived tumor xenograft model with an EGFR exon 20 insertion mutation H773_V774insNPH, once daily oral dosing of firmonertinib at 20 mg/kg, 30 mg/kg or 50 mg/kg, which equates to an approximate human dose of 40 mg, 160 mg or 240 mg respectively, was observed to induce significant tumor growth inhibition with regression of tumors at the 50 mg/kg dose with minimum change to bodyweight.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Firmonertinib displayed reduction in tumor size in EGFR exon 20 insertion mutations tumor model</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-119380</wp:posOffset>
            </wp:positionV>
            <wp:extent cx="5288915" cy="1139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88915" cy="1139825"/>
                    </a:xfrm>
                    <a:prstGeom prst="rect">
                      <a:avLst/>
                    </a:prstGeom>
                    <a:noFill/>
                  </pic:spPr>
                </pic:pic>
              </a:graphicData>
            </a:graphic>
          </wp:anchor>
        </w:drawing>
      </w:r>
    </w:p>
    <w:p>
      <w:pPr>
        <w:spacing w:after="0" w:line="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Similar reduction in tumor size was observed in a Ba/F3 subcutaneous tumor xenograft model harboring a G724S PACC mutation as shown below. This PACC mutation is less sensitive to firmonertinib than other PACC mutations based on cell line data. The oral administration of 15 mg/kg, 30 mg/kg or 50 mg/kg firmonertinib one time per day produced pronounced significant inhibition of tumor growth with regression of tumors at the two higher doses. We believe the limited loss of body weight suggests that the drug was generally well tolerated.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Tumor growth inhibition was observed in an EGFR G724S PACC mutation tumor model with firmonertinib</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314950" cy="1088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efficacy of firmonertinib was also evaluated in a subcutaneous Ba/F3 tumor xenograft model with a HER2 exon 20 insertion mutation V777_G778insGC as illustrated below. B-NDG mice administered an oral dose of 15 mg/kg, 30 mg/kg or 50 mg/kg firmonertinib once daily were observed to exhibit significant tumor growth inhibition with regression at the two higher doses. Moreover, firmonertinib appeared generally well tolerated with minimal change in body weight.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Reduction in tumor size was observed in a HER2 exon 20 insertion mutation tumor model with firmonertinib</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-119380</wp:posOffset>
            </wp:positionV>
            <wp:extent cx="5314950" cy="1105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1105535"/>
                    </a:xfrm>
                    <a:prstGeom prst="rect">
                      <a:avLst/>
                    </a:prstGeom>
                    <a:noFill/>
                  </pic:spPr>
                </pic:pic>
              </a:graphicData>
            </a:graphic>
          </wp:anchor>
        </w:drawing>
      </w:r>
    </w:p>
    <w:p>
      <w:pPr>
        <w:spacing w:after="0" w:line="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Cohort 4 — Our Ongoing Phase 1b Clinical Trial in NSCLC Patients with EGFR Activating PACC Mutations</w:t>
      </w:r>
    </w:p>
    <w:p>
      <w:pPr>
        <w:spacing w:after="0" w:line="15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FURTHER clinical trial cohort 4 enrolled 60 patients with locally advanced or metastatic NSCLC with EGFR PACC mutations who are TKI-treatment naive. Patients in Cohort 4 are randomized into two groups, one group of up to 30 patients administered 160 mg firmonertinib once-daily and the other group of up to 30 patients administered 240 mg firmonertinib once-daily. Patients with asymptomatic metastases involving the CNS are allowed to participate in the trial. The primary endpoint of this trial is ORR as measured by the Response Evaluation Criteria In Solid Tumors (version 1.1) by Blinded Independent Central Review. Secondary endpoints include DOR sustained, disease controlled without progression of the disease (DCR), PFS, OS and safety. Follow-up evaluations with trial participants 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conducted every six weeks. The baseline characteristics of the 60 patients enrolled in the FURTHER clinical trial are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1963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of June 3, 2025, the final data was available from the 45 patients who have had measurable disease at baseline by blinded independent central review committee (BICR), had received at least two tumor assessments, had progressive disease or death, or discontinued from treatment. Of these 45 patients 22 are in the 240mg first line PACC patient group and 23 are in the 160mg first line PACC patient group. Safety data were available for all 60 patients. Based on these data, reduction in tumor size was observed across all cohorts. Confirmed ORRs by BICR (defined as a reduction in tumor size of at least 30% from the baseline in a patient without evidence of progression) were 68% among the 240mg cohort and 43% among the 160 mg cohort. The DCR by BICR, which includes complete responses, partial responses and stable disease, was 100% and 91% for each of these respective trial cohorts,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133350</wp:posOffset>
            </wp:positionV>
            <wp:extent cx="5554980" cy="2280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extent of change in tumor size was evaluated across patients and shown in the figure below taken from the final data cut of June 3, 2025. Patients on average achieved greater tumor size reduction in the 240 mg dose versus the 160 mg dose. Tumor size reduction was observed across the different PACC mutations such as frequent (G719X, S78I), less frequent (other), single and compound mutations.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Tumor size reduction was observed in different PACC mutations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155575</wp:posOffset>
            </wp:positionV>
            <wp:extent cx="5554980" cy="3446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Responses occurred rapidly with most patients having a partial response by the first tumor assessment at six weeks with responses ongoing in many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451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498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confirmed median PFS as of the final data cut of June 3, 2025 was 16.0 months at the 240mg dose and 11.1 months at the 160mg dose. The median duration of follow-up was 16.5 months.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2528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5498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Confirmed CNS responses were also observed in response evaluable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154305</wp:posOffset>
            </wp:positionV>
            <wp:extent cx="5546090" cy="2520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60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Firmonertinib was observed to be generally well tolerated and demonstrated safety results similar to prior firmonertinib trials. The table below summarizes this safety and tolerability data collected in the FURTHER trial as a whole and in Cohort 4 specifically, as of the final data cut date of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123190</wp:posOffset>
            </wp:positionV>
            <wp:extent cx="5554980" cy="2306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5498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FAVOUR — Phase 1b Clinical Trial in NSCLC Patients with EGFR Exon 20 Insertion Mutations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FAVOUR clinical trial is a 90-patient, Phase 1b clinical trial being conducted by Allist in China that is intended to assess the safety and efficacy of firmonertinib in locally advanced or metastatic NSCLC patients who have EGFR exon 20 insertion mutations. This 90-patient clinical trial consists of 3 treatment cohorts of 30 patients each. Eligibility criteria include both adult patients with one or more measurable lesions who are either treatment-naïve, or first-line patients, or have previously received systemic therapy. Patients with asymptomatic metastases involving the CNS are allowed to participate in the trial. First-line patients receive 240 mg firmonertinib once daily. Patients that have received prior treatment are randomized to receive either 160 mg or 240 mg of firmonertinib once daily. The primary endpoint of this trial is ORR as measured by the RECIST version 1.1 by BICR. Secondary endpoints include DOR, DCR, PFS,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overall survival (OS) and safety. OS is not reported due to the data being immature as of the data cutoff date of June 15, 2023. Follow-up evaluations with trial participants are conducted every six weeks. In the treatment-naïve population, firmonertinib is being evaluated as a first-line therapy. The baseline characteristics of the 86 patients enrolled in the FAVOUR clinical trial as of June 15, 2023 are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434965" cy="2057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349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Eastern Cooperative Oncology Group performance status scale</w:t>
      </w:r>
    </w:p>
    <w:p>
      <w:pPr>
        <w:spacing w:after="0" w:line="20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of June 15, 2023, initial interim data was available from the 80 patients who have had measurable disease at baseline by blinded independent central review committee, had received at least two tumor assessments, had progressive disease or death, or discontinued from treatment. Of these 80 patients 28 are in the treatment-naïve patient group and 52 were previously treated, split evenly between the 160 mg and the 240 mg cohort. Safety data were available for all 86 patients. Based on these data, reduction in tumor size was observed across all cohorts. Confirmed ORRs (defined as a reduction in tumor size of at least 30% from the baseline in a patient without evidence of progression) were 79% among the treatment-naïve patients cohort, 46% among the previously treated 240 mg cohort and 39% in the previously treated 160 mg cohort. Median DOR was 15.2 months in treatment-naïve patients, 13.1 months in the 240 mg previously treated cohort and 9.7 months in the 160 mg previously treated cohort. Median PFS was 10.7 months in the treatment-naïve patients, 7.0 months in the 240 mg previously treated cohort and 5.7 months in the 160 mg previously treated cohort. The DCR, which includes complete responses, partial responses and stable disease, was 100%, 92% and 85% for each of these respective trial cohorts. These initial interim PFS and DOR data continue to mature with patients continuing in the clinical trial. Interim data from clinical trials may change as more patient data becomes available and are subject to audit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and verification procedures that could result in material changes in the final data. The following table describes these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161925</wp:posOffset>
            </wp:positionV>
            <wp:extent cx="5212080" cy="2529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extent of change in tumor size was evaluated across patients and shown in the figure below. Median tumor size reduction of 51% was observed in the treatment-naïve patients cohort, 54% was observed among pretreated patients in the 240 mg cohort and 36% in the pretreated 160 mg patient cohort. Patients on average achieved greater tumor size reduction in the 240 mg dose versus the 160 mg dose. Tumor size reduction was observed across the different locations of the exon 20 insertion (near loop, far loop and helical mutations).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Tumor size reduction was observed in all EGFR exon 20 insertion mutation subtypes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155575</wp:posOffset>
            </wp:positionV>
            <wp:extent cx="5212080" cy="2091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Responses occurred rapidly with most patients having a partial response by the first tumor assessment at six weeks with responses ongoing in many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114300</wp:posOffset>
            </wp:positionV>
            <wp:extent cx="5074920" cy="2734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7492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Firmonertinib was observed to be generally well tolerated and demonstrated safety results similar to prior firmonertinib trials. As of June 15, 2023, the following six (n=86) TRSAEs were observed: abnormal hepatic function (1), decreased platelet count (2), abnormal uterine bleeding (1), interstitial lung disease (1) and diarrhea (1). As of June 15, 2023, the following 21 (n=86) treatment-emergent serious adverse events (TESAEs) were observed: pleural effusion (6), pulmonary embolism (2), dyspnoea (1), interstitial lung diseases (1), decreased platelet count (2), increase lipase (1), pericardial effusion (3), pneumonia (3), cerebral infarction (1), abnormal uterine bleeding (1), depression (1), abnormal hepatic function (1), diarrhea (1), colon adenocarcinoma (1) and venous thrombosis (1). When AEs occurred, they were generally consistent with known class effects of EGFR TKIs. TRAEs of Grade 3 or higher deemed related to the study drug were noted in 13% among treatment-naïve patients, and 18% and 29% among previously treated patients dosed at the 160 mg and 240 mg daily level, respectively. TRAEs that led to dose interruption occurred in 14% of patients who received a 160 mg daily dose, 32% among previously treated patients who received a 240 mg daily dose and 23% among patients in the first-lint patient cohort. TRAEs that led to a reduction in dose occurred in 13% of untreated patients at the 240 mg dose and 11% and 18% among previously treated patients who received a 160 mg or 240 mg daily dose, respectively. The rate of trial discontinuation related to TRAEs was low, with only two trial patients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ending trial participation because of AEs across all treatment cohorts. The table below summarizes this safety and tolerability data as of June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114300</wp:posOffset>
            </wp:positionV>
            <wp:extent cx="5212080" cy="2023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most frequent TRAEs as of June 15, 2023 are detailed in the table below. The majority of these AEs were grade 1 or 2 and commonly associated with EGFR TKIs as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114300</wp:posOffset>
            </wp:positionV>
            <wp:extent cx="5212080" cy="2185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Adjuvant Study in NSCLC Patients with Uncommon EGFRm, including Exon 20 Insertion and PACC Mutations</w:t>
      </w:r>
    </w:p>
    <w:p>
      <w:pPr>
        <w:spacing w:after="0" w:line="15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intend to participate in, or to conduct in parallel, a single multicenter, randomized, global pivotal Phase 3 clinical trial initiated in China to investigate the potential benefit of firmonertinib when administered to adult patients with Stage IIB to IIIB EGFRm NSCLC, after surgical resection. Eligibility in this clinical trial is restricted to patients with uncommon EGFR mutations including PACC, exon 20 insertion and other uncommon EGFRm. Participants are to be randomized on a 1:1 basis to receive either firmonertinib or placebo for three years and stratified based on stage of disease, mutation type and geographic origin. Participants are to receive firmonertinib daily over a three-year period with the primary endpoint to be disease free survival with secondary endpoints being OS and safety. We intend to participate in, or to conduct in parallel, this clinical trial in 2026, depending on the timing and results of the FURVENT study.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FURLONG — Completed Phase 3 Clinical Trial in Classical EGFRm First-Line NSCLC Patients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FURLONG was a 358-patient randomized, double-blinded, multi-center clinical trial with an active control arm, conducted in China by Allist, designed to compare the safety and efficacy of once daily dosing of 80 mg firmonertinib to 250 mg of gefitinib as first-line therapy in patients with locally advanced or metastatic NSCLC with classical EGFRm. Data from this trial supported the 2022 approval of firmonertinib in China for this patient population. The 358 patients enrolled in this Phase 3 trial were randomized on a 1:1 basis to receive either 80 mg of firmonertinib or 250 mg gefitinib orally as monotherapy in three-week cycles. All patients in the FURLONG clinical trial had either advanced Stage 3 or Stage 4 disease. Each cohort enrolled a similar number of women and non-smokers, and the distribution of classical mutation type was comparable, as was the number of patients with metastatic disease involving the central nervous system. The patient demographic information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5434965" cy="219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49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Eastern Cooperative Oncology Group performance status scale</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demonstrated improved efficacy results as compared to gefitinib in the FURLONG clinical trial</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Firmonertinib demonstrated clinically meaningful and statistically significant therapeutic benefit as compared to gefitinib in the FURLONG clinical trial. In this clinical trial, we saw patients with firmonertinib lived longer without progression of disease. Median PFS in the patient cohort that was treated with firmonertinib was 20.8 months as compared to 11.1 months for the cohort that received gefitinib, representing a hazard ratio of 0.443 with p value &lt;0.0001. The ORR in the firmonertinib cohort, which included clinical trial participants exhibiting either a complete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response or a partial response to therapy, was 89% as compared to 84% in the gefitinib arm of the trial. The Kaplan-Meier curve of progression free survival in both cohorts is illustrated in the chart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114300</wp:posOffset>
            </wp:positionV>
            <wp:extent cx="5160645" cy="2434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606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demonstrated improved safety results as compared to gefitinib in the FURLONG clinical trial</w:t>
      </w:r>
    </w:p>
    <w:p>
      <w:pPr>
        <w:spacing w:after="0" w:line="227" w:lineRule="exact"/>
        <w:rPr>
          <w:sz w:val="20"/>
          <w:szCs w:val="20"/>
          <w:color w:val="auto"/>
        </w:rPr>
      </w:pPr>
    </w:p>
    <w:p>
      <w:pPr>
        <w:ind w:left="60" w:right="379" w:firstLine="324"/>
        <w:spacing w:after="0" w:line="272" w:lineRule="auto"/>
        <w:rPr>
          <w:sz w:val="20"/>
          <w:szCs w:val="20"/>
          <w:color w:val="auto"/>
        </w:rPr>
      </w:pPr>
      <w:r>
        <w:rPr>
          <w:rFonts w:ascii="Times New Roman" w:cs="Times New Roman" w:eastAsia="Times New Roman" w:hAnsi="Times New Roman"/>
          <w:sz w:val="17"/>
          <w:szCs w:val="17"/>
          <w:color w:val="auto"/>
        </w:rPr>
        <w:t>Firmonertinib also demonstrated favorable safety results as compared to gefitinib in the FURLONG clinical trial. Despite an extended median duration of exposure to firmonertinib of 18.3 months as compared to 11.2 months among patients in the gefitinib cohort, firmonertinib administration resulted in fewer Grade 3 TRAEs as compared to gefitinib,</w:t>
      </w:r>
    </w:p>
    <w:p>
      <w:pPr>
        <w:spacing w:after="0" w:line="2" w:lineRule="exact"/>
        <w:rPr>
          <w:sz w:val="20"/>
          <w:szCs w:val="20"/>
          <w:color w:val="auto"/>
        </w:rPr>
      </w:pPr>
    </w:p>
    <w:p>
      <w:pPr>
        <w:ind w:left="60" w:right="139"/>
        <w:spacing w:after="0" w:line="265" w:lineRule="auto"/>
        <w:rPr>
          <w:sz w:val="20"/>
          <w:szCs w:val="20"/>
          <w:color w:val="auto"/>
        </w:rPr>
      </w:pPr>
      <w:r>
        <w:rPr>
          <w:rFonts w:ascii="Times New Roman" w:cs="Times New Roman" w:eastAsia="Times New Roman" w:hAnsi="Times New Roman"/>
          <w:sz w:val="17"/>
          <w:szCs w:val="17"/>
          <w:color w:val="auto"/>
        </w:rPr>
        <w:t>11.2% versus 17.9%, and fewer treatment-related serious adverse events, 5.6% versus 6.1%. The following TRSAEs were observed in ten patients (n=178) in the FURLONG study: increased alanine aminotransferase (4), increased aspartate aminotransferase (3), cerebral infraction (2), abnormal hepatic function (1), decreased blood fibrinogen (1), decreased platelet count (1), diarrhea (1), cholecystitis (1), cholelithiasis (1), pancreatitis (1), gastroenteritis (1), and gastritis (1). The following TESAEs were observed in 44 patients (n=178) in the FURLONG study: pleural effusion (5), cerebral infarction</w:t>
      </w:r>
    </w:p>
    <w:p>
      <w:pPr>
        <w:spacing w:after="0" w:line="1"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(5), increased alanine aminotransferase (4), increased aspartate aminotransferase (3), pneumonia (3), dyspnoea (2), respiratory failure (2), pulmonary embolism (2), abnormal hepatic function (1), decreased blood fibrinogen (1), decreased platelet count (1), diarrhea (1), cholecystitis (1), cholelithiasis (1), pancreatitis (1), gastroenteritis (1), gastritis (1), and death (1). The rate of trial discontinuation related to TRAEs was 3.4%, with six trial patients ending trial participation because of AEs, one as a result of each of interstitial lung disease, hyperbilirubinemia, visual impairment, ECG QT prolongation, ALT/AST elevation and decreased platelet count.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exhibited superior efficacy results in the treatment of CNS metastases in the FURLONG clinical trial</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Of the 358 patients enrolled in FURLONG, 60 had measurable CNS lesions that could be evaluated. Among trial participants with measurable CNS metastases, firmonertinib produced a confirmed CNS metastases specific ORR of 91% vs. 65% for gefitinib. In the full analysis set of 133 patients who had measurable or non-measurable CNS metastases the median CNS metastases specific progression free survival was 20.8 months for firmonertinib versus 9.8 months for the cohort that received gefitinib. Additionally, in a post-hoc analysis of patients that did not present with CNS lesions at enrollment, none of the patients who were treated with firmonertinib developed new lesions related to CNS metastases during the trial period. Among gefitinib patients, 8 trial participants developed such lesions. We believe this difference reflects firmonertinib’s enhanced potential to cross the blood-brain barrier which we believe may enable the prevention of CNS metastases.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Molecular Structure of Firmonertinib</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molecular structure of firmonertinib is shown below. Firmonertinib contains an acrylamide side chain to confer irreversible binding to the EGFR kinase domain that may result in prolonged target inhibition and a flexible trifluoroethoxy side chain linked to a pyridine to provide additional contact points in the drug binding pocket, which we believe may enable improved binding across EGFR mutants as modeled below. It is believed that these two features of firmonertinib work together to enable broad inhibition of both classical and uncommon EGFR mutations such as exon 20 insertions and PACC mutations. In addition, the active metabolite of firmonertinib, AST5902 retained mutation specificity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which we believe may minimize toxicity due to EGFR inhibition in non-cancer cells.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molecular structure of firmonertinib contains numerous advantageous features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chemical structure of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155575</wp:posOffset>
            </wp:positionV>
            <wp:extent cx="3994785" cy="2280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947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trifluoroethoxy side chain was included to provide additional contact points across different EGFR mutant subtypes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155575</wp:posOffset>
            </wp:positionV>
            <wp:extent cx="5212080" cy="1903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Antibody Drug Conjugate Collaborations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ADCs have emerged as an important therapeutic approach to delivering potent chemotherapy more directly to tumor cells which express a target on its cell surface while avoiding toxicity to normal cells which express the target at lower levels. However, currently available ADCs that utilize conventional antibodies that bind a single target as the drug delivery vehicle are still plagued by dose limiting and chronic toxicities. In addition, target expression tends to be heterogeneous within a tumor which can limit efficacy and/or restrict ADC use to only tumors that have high and mostly homogenous target expression.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Lepu Biopharma Antibody Drug Conjugate Collaboration</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also established an ADC collaboration with Lepu Biopharma in January 2025, to gain ex-Greater China, which includes mainland China, Hong Kong, Macau and Taiwan, rights to ARR-217, a CDH-17 targeted ADC, with the potential to treat gastrointestinal malignancies.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Aarvik Antibody Drug Conjugate Collaboration</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To overcome the limitations of conventional ADCs we are advancing the development of next-generation ADCs through a research collaboration with Aarvik. Leveraging Aarvik’s proprietary multi-target, multivalent antibody and site-specific conjugation platform, we have an ongoing research collaboration in an effort to develop an ADC that is potentially both safer and more effective than a conventional single target bivalent ADC. We identified a lead candidate (ARR-002) and initiated IND-enabling activities.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Alphamab Antibody Drug Conjugate Collaboration</w:t>
      </w:r>
    </w:p>
    <w:p>
      <w:pPr>
        <w:spacing w:after="0" w:line="229" w:lineRule="exact"/>
        <w:rPr>
          <w:sz w:val="20"/>
          <w:szCs w:val="20"/>
          <w:color w:val="auto"/>
        </w:rPr>
      </w:pPr>
    </w:p>
    <w:p>
      <w:pPr>
        <w:ind w:left="60" w:right="119" w:firstLine="315"/>
        <w:spacing w:after="0" w:line="261" w:lineRule="auto"/>
        <w:rPr>
          <w:sz w:val="20"/>
          <w:szCs w:val="20"/>
          <w:color w:val="auto"/>
        </w:rPr>
      </w:pPr>
      <w:r>
        <w:rPr>
          <w:rFonts w:ascii="Times New Roman" w:cs="Times New Roman" w:eastAsia="Times New Roman" w:hAnsi="Times New Roman"/>
          <w:sz w:val="18"/>
          <w:szCs w:val="18"/>
          <w:color w:val="auto"/>
        </w:rPr>
        <w:t>In addition to our Aarvik ADC Collaboration, we established an ADC collaboration with Alphamab in June 2024. We are working with Alphamab to leverage their proprietary linker-payload platform and glycan-conjugation technology to identify novel ADCs for oncology indications globally, except greater China, which includes mainland China, Hong Kong, Macau and Taiwan where Alphamab retains the right to develop and commercialize ADCs.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Licenses, Partnerships and Collaborations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Allist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Technology Transfer and License Agreement</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June 30, 2021 (the Effective Date), we entered into a Global Technology Transfer and License Agreement with Allist, as amended on November 6, 2023 (the Allist License Agreement), pursuant to which (i) Allist granted to us an exclusive (even as to Allist and its affiliates), royalty-bearing, sublicensable license under certain intellectual property (including patents and know-how) owned or controlled by Allist to develop, manufacture and commercialize any product (the Licensed Product) containing firmonertinib or any of its salts or derivatives as an active ingredient (the Licensed Compound), for all uses (the Field), in all countries and territories (the Licensed Territory) other than greater China, which includes mainland China, Hong Kong, Macau and Taiwan (the Retained Territory); and (ii) we granted Allist a non-exclusive sublicensable license to use (1) any information, data and results that relate solely and exclusively to the Licensed Product and which we generate or collect in the conduct of clinical trials or preclinical activities in the Licensed Territory and (2) any improvements or enhancements that we make or discover under the License Agreement to the know-how licensed to us and is owned or controlled by us, to develop, manufacture, and commercialize the Licensed Compound and the Licensed Product for all uses in the Retained Territory.</w:t>
      </w:r>
    </w:p>
    <w:p>
      <w:pPr>
        <w:spacing w:after="0" w:line="19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parties have appointed a joint collaboration committee, comprised of representatives from both us and Allist (the Collaboration Committee), to oversee the parties’ development activities related to the Licensed Compound under the Allist License Agreement.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Allist License Agreement, we are required to use commercially reasonable efforts to (i) develop the Licensed Product in the Licensed Territory, (ii) prepare and submit regulatory filings and seek regulatory approvals in all major market countries in the Licensed Territory and (iii) perform all commercialization activities for the Licensed Product in each country in the Licensed Territory in which the Licensed Product has received regulatory approval, and we are solely responsible for all the expenses associated with the foregoing (i)-(iii). We are also responsible for the manufacture and supply of the Licensed Product in the Licensed Territory, by ourselves or through a third-party manufacturer, for the purpose of conducting clinical trials, obtaining regulatory approval and commercializing the Licensed Product in the Licensed Territory.</w:t>
      </w:r>
    </w:p>
    <w:p>
      <w:pPr>
        <w:spacing w:after="0" w:line="192"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consideration of the licenses and rights granted to us under the Allist License Agreement, we granted to Allist a total of 1,276,250 shares of common stock for a purchase price of $0.0001 per share pursuant to that certain Subscription Agreement executed concurrently with the Allist License Agreement.</w:t>
      </w:r>
    </w:p>
    <w:p>
      <w:pPr>
        <w:spacing w:after="0" w:line="176"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As additional consideration for the licenses and rights granted to us under the Allist License Agreement, we made an upfront, non-creditable and non-refundable cash payment of $40.0 million to Allist on the Effective Date (the Initial Payment). We are obligated to make development and regulatory approval milestone payments to Allist upon the achievement of specific milestone events related to the Licensed Product in an aggregate amount up to $110.0 million, of which we have paid $5.0 million upon meeting certain clinical milestones, and commercial milestone payments to Allist upon the achievement of specified net sales thresholds of the Licensed Product in an aggregate amount up to $655.0 million. We are also obligated to pay Allist tiered royalties ranging from high single digits to low mid-</w:t>
      </w:r>
    </w:p>
    <w:p>
      <w:pPr>
        <w:spacing w:after="0" w:line="3"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teens percentages on an incremental aggregated net sales basis on the net sales of any Licensed Products in the Licensed Territory made by or on behalf of us or our sublicensees. Our obligation to pay royalties for each Licensed Product begins from the date of the first commercial sale of such Licensed Product in a given country and extends until the latest of (i) the expiration of the last valid patent claim related to such Licensed Product’s composition or approved indications in such country, (ii) the termination of any regulatory-based exclusivity period in such country, or (iii) ten years after the initial commercial sale of such Licensed Product in such country (the Allist License Royalty Term). Our obligation to make milestone payments also ceases upon the expiration of the Allist License Royalty Term on a product-by-product and country-by-country basis.</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Allist License Agreement will remain in force until the earlier occurrence of (i) the expiration of our obligation to pay royalties for all Licensed Products and (ii) the date that the Allist License Agreement is terminated pursuant to its early termination provisions (the Term). Either party has the right to terminate the Allist License Agreement, subject to specified cure periods, for the material breach by the other party or the bankruptcy or insolvency of the other party. In addition, we have the right to terminate the Allist License Agreement upon 60 days’ prior written notice to Allist at any time, at our sole discretion, either in its entirety or on a Licensed Product-by-Licensed Product and country-by-country basis. Upon termination of the License Agreement, Allist will have certain specified reversion rights with respect to the Licensed Product if the termination is for any reason other than by us for the material breach by Allist, and if the termination is by us for the material breach by Allist, we would have the right to continue under the License Agreement in lieu of termination but with our milestone and royalty payment obligations being substantially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Joint Clinical Collaboration Agreement</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On December 24, 2021, we entered into a Joint Clinical Collaboration Agreement (the Allist Collaboration Agreement) with Allist to govern the conduct of any global clinical trials to be conducted with the Licensed Products as specified in the Allist License Agreement (each, a Global Study). Pursuant to the Allist Collaboration Agreement, if either party or both parties wish to jointly conduct a Global Study, one or both parties (as the case may be) shall prepare and submit the proposed strategy, protocol design, budget, proposal for budget sharing and internal process timeline for such proposed Global Study to the Collaboration Committee that was appointed pursuant to the Allist License Agreement for its review at least 90 days in advance of the applicable protocol filing with the relevant regulatory authorities. Upon the approval by the collaboration committee of a development plan for the proposed Global Study that includes the allocation of the sponsorship for the conduct of the proposed Global Study and other details for conducting the proposed Global Study as specified in the Allist Collaboration Agreement, the proposed Global Study shall be deemed to be a “Joint Global Study” and such development plan a “Joint Global Development Plan.” The parties have agreed in the Allist Collaboration Agreement that (i) we will be the sponsor of any Joint Global Study in the Licensed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Territory (as defined in the Allist License Agreement), (ii) Allist will be the sponsor of any Joint Global Study in the PRC (as defined in the Allist License Agreement) and (iii) the Collaboration Committee shall designate the party that will be the sponsor of any Joint Global Study in certain territories (Joint Territories). The parties will mutually agree on the global regulatory strategy for each Joint Global Study. The party that is the sponsor of a Joint Global Study will be responsible for</w:t>
      </w:r>
    </w:p>
    <w:p>
      <w:pPr>
        <w:spacing w:after="0" w:line="3" w:lineRule="exact"/>
        <w:rPr>
          <w:sz w:val="20"/>
          <w:szCs w:val="20"/>
          <w:color w:val="auto"/>
        </w:rPr>
      </w:pPr>
    </w:p>
    <w:p>
      <w:pPr>
        <w:ind w:left="60" w:right="139" w:hanging="10"/>
        <w:spacing w:after="0" w:line="252"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sites and investigators to be used in the conduct of the applicable Joint Global Study, and (2) developing strategies for, and preparing and submitting, all regulatory filings and applications for regulatory approval for the Licensed Products, in the sponsor’s sponsored territory, except that Allist shall be responsible for developing strategies for, and preparing and submitting, all regulatory filings and applications for regulatory approval for the Licensed Products in the Joint Territories regardless of whether we are the sponsor in these territories. The parties will review the budget for each Joint Global Study and agree through the Collaboration Committee on the model to be used to share the expenses to be incurred in the conduct of such Joint Global Study.</w:t>
      </w:r>
    </w:p>
    <w:p>
      <w:pPr>
        <w:spacing w:after="0" w:line="18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cure periods, the Allist Collaboration Agreement may be terminated by a party upon a material breach of the Allist Collaboration Agreement by the other party.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Aarvik Research Collaboration Agreement</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December 21, 2021, we entered into a Research Collaboration Agreement, as amended effective June 30, 2023 (the Aarvik Collaboration Agreement), with Aarvik, pursuant to which we and Aarvik agreed to collaborate on the discovery and characterization of novel ADCs with a goal to identify ADCs that may be suitable for further development by us in accordance with the applicable statements of work (each a SOW, collectively, the SOWs) until the completion of all activities in accordance with the applicable SOWs (collectively, the Aarvik Collaboration).</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August 9, 2024, we entered into an amendment and restatement of the Aarvik Collaboration Agreement (the Amended and Restated Aarvik Collaboration Agreement). Under the Amended and Restated Aarvik Collaboration Agreement, Aarvik granted us an exclusive option (the Option) to obtain exclusive rights to certain of Aarvik’s intellectual property for the research, development, manufacture, use, commercialization, or other exploitation of the novel ADCs. Under the Amended and Restated Aarvik Collaboration Agreement, we are required to pay Aarvik a collaboration initiation fee and research fees as provided in the SOWs. We exercised the exclusive option simultaneously with entry into the Amended and Restated Aarvik Collaboration Agreement.</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parties have appointed a joint research committee, comprised of our representatives and representatives from Aarvik, to oversee the parties’ research collaboration activities under the Amended and Restated Aarvik Collaboration Agreement. Aarvik has agreed, during the term of the Aarvik Collaboration and following our exercise of the Option, to certain exclusivity and ownership provisions with respect to ADCs.</w:t>
      </w:r>
    </w:p>
    <w:p>
      <w:pPr>
        <w:spacing w:after="0" w:line="180"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Under the Amended and Restated Aarvik Collaboration Agreement, we are required to pay Aarvik a collaboration execution fee and research fees as provided in the SOWs. We further agreed to reimburse Aarvik for actual costs incurred in procuring other materials Aarvik will actually use in performing activities under the applicable SOWs. Because we have exercised the Option, we were required to make a one-time non-refundable option exercise payment of low single-digit millions and we will be obligated to make milestone payments to Aarvik upon the achievement of specific regulatory and sales milestone events related to the Aarvik Collaboration as specified and determined in the Amended and Restated Aarvik Collaboration Agreement. Combined regulatory milestone payments and sales milestone payments will not exceed $98.0 million per product. During the Aarvik Collaboration Royalty Term (as defined below), we are also obligated to pay Aarvik tiered royalties on aggregate net sales of products developed under the Aarvik Collaboration and commercialized by us or on our behalf at royalty rates in the mid-single digits, and we must also pay to Aarvik’s upstream licensor a royalty of less than 1% on such net sales. Our obligation to pay royalties for each product, calculated on a product-by-product and jurisdiction-by-jurisdiction basis, begins from the date of the first commercial sale of each product within a given jurisdiction and extends until the earliest of (a) the first approval of a biosimilar product related to such product in such jurisdiction, which is made and sold by a different company, meeting specific government regulatory standards, (b) an anniversary of the date of the first commercial sale of such product in such jurisdiction, or (c) the expiration of the last valid claim of a patent included in the Collaboration IP that pertains to the any ADC generated within Aarvik Collaboration or any derivative thereof featured in such product within such jurisdiction (the Aarvik Collaboration Royalty Term).</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Amended and Restated Aarvik Collaboration Agreement will remain in full force and effect until the expiration of all Aarvik Collaboration Royalty Terms for all products under the Amended and Restated Aarvik Collaboration Agreement, unless terminated earlier. On a jurisdiction-by-jurisdiction and product-by-product basis, following the expiration of the Aarvik Collaboration Royalty Term, the license granted to us hereunder will become nonexclusive, perpetual, irrevocable, fully-paid and royalty-free. We can terminate the Amended and Restated Aarvik Collaboration Agreement for convenience. Either party can terminate the Amended and Restated Aarvik Collaboration Agreement for material breach that is not cured within a specified period, or for the other party’s insolvency or certain bankruptcy events. Upon termination of the Amended and Restated Aarvik Collaboration Agreement with respect to the Target Pair or any given product, the licenses granted by Aarvik will terminate with respect to the applicable terminated Target Pair or product, and unless the Amended and Restated Aarvik Collaboration Agreement is terminated by us for Aarvik’s uncured breach or insolvency, then the Collaboration IP will be assigned back to Aarvik. If the Amended and Restated Aarvik Collaboration Agreement is terminated only with respect to a particular jurisdiction (but not all jurisdictions) and a specific Target Pair or product, then we will grant to Aarvik an exclusive and fully paid-up right and license to use the licensed IP with respect to the terminated Target Pair or product in such jurisdiction.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InnoCare Clinical Collaboration Agreement</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June 23, 2023, we entered into a Clinical Collaboration Agreement (the InnoCare Collaboration Agreement) with InnoCare, pursuant to which we and InnoCare agreed to contribute resources to a clinical trial evaluating the use of firmonertinib in combination with InnoCare’s ICP-189, a SHP2i (the InnoCare Collaboration Clinical Trial). Pursuant to the InnoCare Collaboration Agreement, we and InnoCare have mutually granted to each other a non-exclusive license to certain of the granting party’s intellectual property solely for the purpose of conducting the InnoCare Collaboration Clinical Trial.</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Under the InnoCare Collaboration Agreement, InnoCare has the right to use firmonertinib solely for the InnoCare Collaboration Clinical Trial. We and InnoCare have agreed that InnoCare is the regulatory sponsor for the InnoCare Collaboration Clinical Trial and has the sole right and responsibility to prepare all regulatory filings related to the InnoCare Collaboration Clinical Trial, including the protocol and IND filings, conduct the InnoCare Collaboration Clinical Trial, and communicate with regulatory authorities with respect to the InnoCare Collaboration Clinical Trial.</w:t>
      </w:r>
    </w:p>
    <w:p>
      <w:pPr>
        <w:spacing w:after="0" w:line="18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maintain the right to review, comment on, and approve the protocol and IND related to the InnoCare Collaboration Clinical Trial and have the right to attend InnoCare’s meetings with regulatory authorities regarding the InnoCare Collaboration Clinical Trial. InnoCare must also provide us with periodic updates regarding the InnoCare Collaboration Clinical Trial with respect to progress, safety and toxicity, and data and results.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Upon the completion of the InnoCare Collaboration Clinical Trial, InnoCare will lead the analysis of the results of the InnoCare Collaboration Clinical Trial and will provide us with the final report for the InnoCare Collaboration Clinical Trial for our comments. InnoCare has also agreed to provide us with any raw data generated from the InnoCare Collaboration Clinical Trial to the extent permissible by law. The final report and any raw data (collectively, the InnoCare Collaboration Report) from the InnoCare Collaboration Clinical Trial are jointly owned by us and InnoCare. We may not, without InnoCare’s prior consent, use the InnoCare Collaboration Report for purposes of developing or commercializing ICP- 189 alone or in combination with firmonertinib. InnoCare may not, without our prior consent, use the InnoCare Collaboration Report for purposes of developing or commercializing firmonertinib alone or in combination with ICP-189.</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Under the InnoCare Collaboration Agreement, we and InnoCare have agreed to equally share all incurred costs associated with the InnoCare Collaboration Clinical Trial in accordance with a mutually agreed upon budget and have agreed to provide each other with periodic expense reports detailing costs related to the InnoCare Collaboration Clinical Trial. As of December 31, 2025, we recognized approximately $0.9 million of research and development expenses related to incurred costs associated with the InnoCare Collaboration Clinical Trial. We and InnoCare have agreed to discuss such expense reports and determine the calculation of net amounts owed by one party to the other to ensure the appropriate equal sharing of costs associated with the InnoCare Collaboration Clinical Trial. If we or InnoCare become aware of any costs that may be in excess of the costs set out in the budget for the InnoCare Collaboration Clinical Trial, then the respective party shall notify the other party and we and InnoCare shall discuss such costs in order to determine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if such costs are permissible. InnoCare shall have the sole right to make the final decision on matters relating to the excess costs related to the InnoCare Collaboration Clinical Trial; however, we maintain the right to opt out of participating in the InnoCare Collaboration Clinical Trial if the costs surpass a certain threshold above the budget, provided that we will not have rights to the InnoCare Collaboration Report.</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InnoCare Collaboration Agreement will remain in full force and effect until the delivery of the InnoCare Collaboration Report, unless terminated earlier. The InnoCare Collaboration Agreement may be terminated for material breach upon written notice with a period to cure such material breach. The InnoCare Collaboration Agreement may also be terminated immediately by either party if either one believes that there is a material safety issue in the conduct of the InnoCare Collaboration Clinical Trial that cannot be resolved by a protocol amendment satisfactory to both parties after discussion thereof.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Alphamab Collaboration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4, 2024, we entered into a Research and Collaboration Agreement with Alphamab, a wholly owned subsidiary of Alphamab Oncology, pursuant to which the Company and Alphamab will discover, develop and commercialize novel antibody drug conjugates for the treatment of cancers (the Alphamab Agreement).</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Under the Alphamab Agreement, and subject to our payment to Alphamab of the applicable research costs, Alphamab will grant us an exclusive, royalty-bearing, sublicensable license under certain Alphamab intellectual property and joint intellectual property to develop and commercialize such products in all fields of use worldwide, except greater China, which includes mainland China, Hong Kong, Macau and Taiwan (the Retained Territory). Alphamab retains the right to develop and commercialize such products in the Retained Territory. Under the Alphamab Agreement, we granted to Alphamab a royalty-free, perpetual license, which is exclusive during the term of the Alphamab Agreement and non-exclusive thereafter, under all intellectual property rights conceived, discovered, developed or otherwise made solely by us or jointly with Alphamab pursuant to the activities under the Alphamab Agreement for any and all purposes within the Retained Territory. Upon commencement of activities to manufacture the products for use in certain clinical trials, Alphamab will grant us a royalty-bearing license under certain Alphamab intellectual property to manufacture the applicable products. Under the Alphamab Agreement, Alphamab is entitled to an upfront payment and potential development and sales milestone payments of up to an aggregate of $615.5 million from us. Additionally, Alphamab is entitled to receive royalties in the low- to mid- single digit percent range on net sales of products outside greater China that may arise from the Alphamab Agreement.</w:t>
      </w:r>
    </w:p>
    <w:p>
      <w:pPr>
        <w:spacing w:after="0" w:line="19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Alphamab Agreement is subject to termination (i) by either party for customary purposes, including the material breach by or bankruptcy of the other party, (ii) by us for convenience, (iii) by Alphamab due to our challenge of certain patents held by Alphamab, or (iv) by Alphamab on a product-by-product basis due to our failure to carry out certain diligence obligations or in certain instances if there is a change of control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Lepu Biopharma Agreement</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On January 21, 2025, we entered into the Lepu Biopharma License Agreement with Lepu Biopharma, pursuant to which Lepu Biopharma granted us a right to develop and commercialize ARR-217 (MRG007), an antibody drug conjugate for gastrointestinal cancers, outside greater China, which is mainland China, Hong Kong, Macau and Taiwan.</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Under the Lepu Biopharma Agreement, Lepu Biopharma granted to us: (i) an exclusive, royalty-bearing, sublicensable license under certain intellectual property owned or controlled by Lepu Biopharma, to develop, manufacture and commercialize any product containing ARR-217 for all uses in all countries and territories other than Greater China, which is mainland China, Hong Kong, Macau and Taiwan (the ArriVent Territory); and (ii) a non-exclusive license under certain intellectual property controlled by Lepu Biopharma to develop, manufacture and commercialize any product containing ARR-217 for use in oncology in the ArriVent Territory. Under the Lepu Biopharma Agreement, Lepu Biopharma is entitled to receive a one-time upfront payment and near-term milestone payments totaling $47.0 million in cash and is eligible to receive up to $1.16 billion in development, regulatory and sales milestones and tiered royalties in high single-digit to low-teen percentages on net sales in the ArriVent Territory.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Lepu Biopharma Agreement is subject to termination: (i) by either party, subject to specified cure periods, for the material breach by the other party or the bankruptcy or insolvency of the other party, (ii) by us for convenience, subject to a specified notice period, (iii) by Lepu Biopharma due to our challenge of certain patents controlled by Lepu Biopharma, or (iv) by Lepu Biopharma due to our failure to carry out certain diligence obligations.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oversee and manage third party CMOs to support development and manufacture of product candidates for our clinical trials, and, if we receive marketing approval, we will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Currently, we rely on, and have agreements with, two third-party contract manufacturers, Zhejiang Raybow Pharmaceutical Company., Ltd. (Raybow) and SynTheAll Pharmaceutical Co., Ltd. (WuXi STA) to supply the drug substance for firmonertinib to be used in on-going and planned clinical trials and with WuXi STA, with whom we have executed technology transfer related to the manufacture of drug product, to manufacture the clinical trial and initial commercial launch supplies of firmonertinib drug product. Both of our third-party contract manufacturers are located in China, but WuXi STA has manufacturing capabilities globally, including in the United States and Europe. We expect to enter into commercial supply agreements with WuXi STA for both drug substance and drug product prior to any potential approval of firmonertinib. We expect to rely on manufacturers in China for ARR-217 drug substance and drug product for use in initial clinical studies and also expect to rely on WuXi XDC Cayman, Inc., (WuXi XDC) for the manufacture of ARR-002 drug product and drug substances for initial clinical studies.</w:t>
      </w:r>
    </w:p>
    <w:p>
      <w:pPr>
        <w:spacing w:after="0" w:line="19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Firmonertinib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intend to also maintain the current drug substance manufacturer as part of our supply chain strategy.</w:t>
      </w:r>
    </w:p>
    <w:p>
      <w:pPr>
        <w:spacing w:after="0" w:line="18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National Defense Authorization Act for Fiscal Year 2026, enacted in December 2025, included a section titled “Prohibition on Contracting with Certain Biotechnology Providers,” aimed at discouraging federal contracting with certain biotechnology companies for biotechnology equipment or services in China and other countries of concern, also known as the BIOSECURE Act. The statute prohibits federal executive agencies from procuring any biotechnology equipment or service from a biotechnology company of concern or contracting with any such company or any entity that procures or uses equipment or services from a biotechnology company of concern. Such prohibitions may limit our ability to obtain federal government grants for research involving our products, if approved, or product candidates manufactured in China or to enter contracts to sell any such products, if approved, to the federal government. Accordingly, we are taking measures to strengthen our supply chain in the event that Raybow, WuXi STA, or one of our other manufacturers is impacted. We intend to identify alternative potential manufacturers to ensure we have a sufficient stockpile of drug substance and drug product in the United States. We will also continue to closely monitor geopolitical risk and implement additional mitigations and supply chain redundancies, as needed. See the risk factor entitled “We currently rely on a Chinese third party for the manufacture of firmonertinib and ARR-217, for clinical development, and future supply of firmonertinib, and expect to continue to rely on third parties for the foreseeable future. This reliance on third parties increases the risk that we will not have sufficient quantities of firmonertinib or ARR-217 or such quantities at an acceptable cost, which could delay, prevent or impair our development or potential commercialization efforts.”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have made substantial investments in recent years into the rapid development of novel treatments for NSCLC.</w:t>
      </w:r>
    </w:p>
    <w:p>
      <w:pPr>
        <w:spacing w:after="0" w:line="162" w:lineRule="exact"/>
        <w:rPr>
          <w:sz w:val="20"/>
          <w:szCs w:val="20"/>
          <w:color w:val="auto"/>
        </w:rPr>
      </w:pPr>
    </w:p>
    <w:p>
      <w:pPr>
        <w:ind w:left="60" w:right="579" w:firstLine="324"/>
        <w:spacing w:after="0" w:line="312" w:lineRule="auto"/>
        <w:rPr>
          <w:sz w:val="20"/>
          <w:szCs w:val="20"/>
          <w:color w:val="auto"/>
        </w:rPr>
      </w:pPr>
      <w:r>
        <w:rPr>
          <w:rFonts w:ascii="Times New Roman" w:cs="Times New Roman" w:eastAsia="Times New Roman" w:hAnsi="Times New Roman"/>
          <w:sz w:val="17"/>
          <w:szCs w:val="17"/>
          <w:color w:val="auto"/>
        </w:rPr>
        <w:t>We face substantial competition from multiple sources, including large and specialty pharmaceutical and biotechnology companies, academic research institutions and governmental agencies and public and private research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p>
    <w:p>
      <w:pPr>
        <w:spacing w:after="0" w:line="18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NSCLC, numerous commercial and academic preclinical studies and clinical trials are being undertaken by a large number of parties to assess novel technologies and product candidates.</w:t>
      </w:r>
    </w:p>
    <w:p>
      <w:pPr>
        <w:spacing w:after="0" w:line="1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Companies that compete with us directly on the level of commercialization or development of product candidates targeting EGFR mutation-positive NSCLC include, but are not limited to, AstraZeneca, Johnson &amp; Johnson, Blossom Hill Therapeutics, Dizal Pharmaceutical, Oric Pharmaceuticals, Black Diamond Therapeutics, Inc., Cullinan Therapeutics, Inc., Taiho Pharmaceutical Co., Ltd., Boehringer Ingelheim and Bayer AG.</w:t>
      </w:r>
    </w:p>
    <w:p>
      <w:pPr>
        <w:spacing w:after="0" w:line="18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biopharmaceuticals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Firmonertinib</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Through our licensor Allist, we have sought and obtained patent protection in the United States and internationally related to firmonertinib. For firmonertinib and our future product candidates our strategy is to pursue patent protection covering compositions of matter and methods of use. In addition, we seek to identify additional means of obtaining patent protection including formulation and dosing regimen-related claims, as well as manufacturing-related claims, which may enhance our commercial success. We may also rely on trade secrets that may be important to the development of our business. Trade secrets are difficult to protect and provide us with only limited protection. As of December 31, 2025, our intellectual property portfolio for firmonertinib includes issued patents and pending patent applications in the U.S. and internationally.</w:t>
      </w:r>
    </w:p>
    <w:p>
      <w:pPr>
        <w:spacing w:after="0" w:line="19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With regard to the firmonertinib molecule itself, we exclusively license from Allist two issued patents in the US, and one issued patent in each of, Canada, Europe, Japan and South Korea. These patents are expected to expire 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indicated in the table below (composition of matter). The U.S. patents are reissue patents covering firmonertinib, other compounds represented by a general formula, and pharmaceutically acceptable salts of such compounds. The patents also cover related pharmaceutical compositions, methods for treating an EGFR activating or resistant mutation mediated lung cancer and methods for selectively inhibiting an EGFR activating or resistant mutation over a wild-type EGFR to a lung cancer patient.</w:t>
      </w:r>
    </w:p>
    <w:p>
      <w:pPr>
        <w:spacing w:after="0" w:line="18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With regard to mesylate salts of firmonertinib, we exclusively license from Allist one issued patent in each of the United States, Canada, Europe, Japan and South Korea. The U.S. patent covers mesylate salts of firmonertinib, as well as pharmaceutical compositions, methods for preparing such mesylate salts and methods for treating a patient suffering from cancers. With regard to crystalline forms, we also exclusively license from Allist one issued patent in each of the United States, Canada, Europe, Japan and South Korea. The U.S. patent covers two crystalline forms of mesylate salts of firmonertinib, as well as pharmaceutical compositions, methods for preparing such crystalline forms, and methods for treating a patient suffering from cancers. Collectively, these patents are expected to expire as indicated in the table below (composition of matter).</w:t>
      </w:r>
    </w:p>
    <w:p>
      <w:pPr>
        <w:spacing w:after="0" w:line="192"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With regards to methods of manufacturing firmonertinib, we exclusively license from Allist two pending patent applications in each of the United States and Europe. These applications, if issued, would expire as indicated in the table below (composition of matter).</w:t>
      </w:r>
    </w:p>
    <w:p>
      <w:pPr>
        <w:spacing w:after="0" w:line="176" w:lineRule="exact"/>
        <w:rPr>
          <w:sz w:val="20"/>
          <w:szCs w:val="20"/>
          <w:color w:val="auto"/>
        </w:rPr>
      </w:pPr>
    </w:p>
    <w:p>
      <w:pPr>
        <w:jc w:val="both"/>
        <w:ind w:left="60" w:right="319" w:firstLine="324"/>
        <w:spacing w:after="0" w:line="257" w:lineRule="auto"/>
        <w:rPr>
          <w:sz w:val="20"/>
          <w:szCs w:val="20"/>
          <w:color w:val="auto"/>
        </w:rPr>
      </w:pPr>
      <w:r>
        <w:rPr>
          <w:rFonts w:ascii="Times New Roman" w:cs="Times New Roman" w:eastAsia="Times New Roman" w:hAnsi="Times New Roman"/>
          <w:sz w:val="18"/>
          <w:szCs w:val="18"/>
          <w:color w:val="auto"/>
        </w:rPr>
        <w:t>With regard to methods of use for firmonertinib, we exclusively license from Allist three families of national stage patent applications pending in multiple countries, including United States, Canada, Europe, Japan and South Korea. The national stage patent application families relate to use of firmonertinib to treat disease, such as NSCLC, in patients</w:t>
      </w:r>
    </w:p>
    <w:p>
      <w:pPr>
        <w:spacing w:after="0" w:line="1" w:lineRule="exact"/>
        <w:rPr>
          <w:sz w:val="20"/>
          <w:szCs w:val="20"/>
          <w:color w:val="auto"/>
        </w:rPr>
      </w:pPr>
    </w:p>
    <w:p>
      <w:pPr>
        <w:ind w:left="300" w:hanging="250"/>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exon 20 insertion mutations or (b) having an HER2 exon 20 insertion mutation and/or EGFR rare mutation and</w:t>
      </w:r>
    </w:p>
    <w:p>
      <w:pPr>
        <w:spacing w:after="0" w:line="9" w:lineRule="exact"/>
        <w:rPr>
          <w:rFonts w:ascii="Times New Roman" w:cs="Times New Roman" w:eastAsia="Times New Roman" w:hAnsi="Times New Roman"/>
          <w:sz w:val="18"/>
          <w:szCs w:val="18"/>
          <w:color w:val="auto"/>
        </w:rPr>
      </w:pPr>
    </w:p>
    <w:p>
      <w:pPr>
        <w:ind w:left="60" w:right="199" w:hanging="10"/>
        <w:spacing w:after="0" w:line="255"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firmonertinib to treat disease, such as NSCLC, in patients having EGFR PACC mutations, , as well as pharmaceutical compositions containing therapeutically effective amounts of firmonertinib.. Any U.S. or foreign patents issued from the national stage applications are expected to expire as indicated in the table below (composition of matter).</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ARR-217</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Lepu Biopharma has exclusively licensed us two PCT applications relating to antibodies and ADCs, including ARR-</w:t>
      </w:r>
    </w:p>
    <w:p>
      <w:pPr>
        <w:spacing w:after="0" w:line="27" w:lineRule="exact"/>
        <w:rPr>
          <w:sz w:val="20"/>
          <w:szCs w:val="20"/>
          <w:color w:val="auto"/>
        </w:rPr>
      </w:pPr>
    </w:p>
    <w:p>
      <w:pPr>
        <w:ind w:left="60" w:right="159" w:hanging="10"/>
        <w:spacing w:after="0" w:line="260" w:lineRule="auto"/>
        <w:tabs>
          <w:tab w:leader="none" w:pos="4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 or foreign patents issued from such PCT applications are expected to expire as indicated in the table below (composition of matter).</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ARR-002</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Aarvik has exclusively licensed us one PCT application relating to antibody scaffolds and ADCs comprising such scaffolds and one PCT application relating to antibody scaffolds and ADCs comprising such scaffolds, including ARR-002. Any U.S. or foreign patents issued from national stage filings of the PCT patent applications, are expected to expire as indicated in the table below (composition of matter).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ARR-421</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are joint owners with Alphamab of a provisional application relating to the ARR-421 program and Alphamab has exclusively licensed us a PCT application relating to camptothecin derivatives and conjugates comprising the same. Any U.S. or foreign patents issued from such applications are expected to expire as indicated in the table below (composition of matter).</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may file additional patent applications in support of current and new product candidates as well as new platform and core technologies.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Patent Expiration Dates* of Product Candidates Patents/Applications by Category</w:t>
      </w:r>
    </w:p>
    <w:p>
      <w:pPr>
        <w:spacing w:after="0" w:line="223" w:lineRule="exact"/>
        <w:rPr>
          <w:sz w:val="20"/>
          <w:szCs w:val="20"/>
          <w:color w:val="auto"/>
        </w:rPr>
      </w:pPr>
    </w:p>
    <w:tbl>
      <w:tblPr>
        <w:tblLayout w:type="fixed"/>
        <w:tblInd w:w="870" w:type="dxa"/>
        <w:tblCellMar>
          <w:top w:w="0" w:type="dxa"/>
          <w:left w:w="0" w:type="dxa"/>
          <w:bottom w:w="0" w:type="dxa"/>
          <w:right w:w="0" w:type="dxa"/>
        </w:tblCellMar>
      </w:tblPr>
      <w:tr>
        <w:trPr>
          <w:trHeight w:val="189"/>
        </w:trPr>
        <w:tc>
          <w:tcPr>
            <w:tcW w:w="1780" w:type="dxa"/>
            <w:vAlign w:val="bottom"/>
            <w:tcBorders>
              <w:top w:val="single" w:sz="8" w:color="auto"/>
              <w:left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Product Candidate</w:t>
            </w:r>
          </w:p>
        </w:tc>
        <w:tc>
          <w:tcPr>
            <w:tcW w:w="208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Composition of Matter</w:t>
            </w:r>
          </w:p>
        </w:tc>
        <w:tc>
          <w:tcPr>
            <w:tcW w:w="206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Methods of Treatment</w:t>
            </w:r>
          </w:p>
        </w:tc>
        <w:tc>
          <w:tcPr>
            <w:tcW w:w="138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Manufacturing</w:t>
            </w:r>
          </w:p>
        </w:tc>
      </w:tr>
      <w:tr>
        <w:trPr>
          <w:trHeight w:val="61"/>
        </w:trPr>
        <w:tc>
          <w:tcPr>
            <w:tcW w:w="1480" w:type="dxa"/>
            <w:vAlign w:val="bottom"/>
            <w:tcBorders>
              <w:top w:val="single" w:sz="8" w:color="auto"/>
              <w:left w:val="single" w:sz="8" w:color="auto"/>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76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72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16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28"/>
        </w:trPr>
        <w:tc>
          <w:tcPr>
            <w:tcW w:w="17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Firmonertinib</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2035, 2037</w:t>
            </w:r>
          </w:p>
        </w:tc>
        <w:tc>
          <w:tcPr>
            <w:tcW w:w="320" w:type="dxa"/>
            <w:vAlign w:val="bottom"/>
            <w:tcBorders>
              <w:right w:val="single" w:sz="8" w:color="auto"/>
            </w:tcBorders>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2042-2043</w:t>
            </w:r>
          </w:p>
        </w:tc>
        <w:tc>
          <w:tcPr>
            <w:tcW w:w="340" w:type="dxa"/>
            <w:vAlign w:val="bottom"/>
            <w:tcBorders>
              <w:right w:val="single" w:sz="8" w:color="auto"/>
            </w:tcBorders>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2042</w:t>
            </w:r>
          </w:p>
        </w:tc>
        <w:tc>
          <w:tcPr>
            <w:tcW w:w="220" w:type="dxa"/>
            <w:vAlign w:val="bottom"/>
            <w:tcBorders>
              <w:right w:val="single" w:sz="8" w:color="auto"/>
            </w:tcBorders>
          </w:tcPr>
          <w:p>
            <w:pPr>
              <w:spacing w:after="0"/>
              <w:rPr>
                <w:sz w:val="19"/>
                <w:szCs w:val="19"/>
                <w:color w:val="auto"/>
              </w:rPr>
            </w:pPr>
          </w:p>
        </w:tc>
      </w:tr>
      <w:tr>
        <w:trPr>
          <w:trHeight w:val="22"/>
        </w:trPr>
        <w:tc>
          <w:tcPr>
            <w:tcW w:w="14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7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ARR-217</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2044, 2045</w:t>
            </w:r>
          </w:p>
        </w:tc>
        <w:tc>
          <w:tcPr>
            <w:tcW w:w="320" w:type="dxa"/>
            <w:vAlign w:val="bottom"/>
            <w:tcBorders>
              <w:right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
        </w:trPr>
        <w:tc>
          <w:tcPr>
            <w:tcW w:w="14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7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ARR-002</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2044, 2045</w:t>
            </w:r>
          </w:p>
        </w:tc>
        <w:tc>
          <w:tcPr>
            <w:tcW w:w="320" w:type="dxa"/>
            <w:vAlign w:val="bottom"/>
            <w:tcBorders>
              <w:right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
        </w:trPr>
        <w:tc>
          <w:tcPr>
            <w:tcW w:w="14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7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ARR-421</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2045, 2047</w:t>
            </w:r>
          </w:p>
        </w:tc>
        <w:tc>
          <w:tcPr>
            <w:tcW w:w="320" w:type="dxa"/>
            <w:vAlign w:val="bottom"/>
            <w:tcBorders>
              <w:right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
        </w:trPr>
        <w:tc>
          <w:tcPr>
            <w:tcW w:w="14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61" w:lineRule="auto"/>
        <w:rPr>
          <w:sz w:val="20"/>
          <w:szCs w:val="20"/>
          <w:color w:val="auto"/>
        </w:rPr>
      </w:pPr>
      <w:r>
        <w:rPr>
          <w:rFonts w:ascii="Times New Roman" w:cs="Times New Roman" w:eastAsia="Times New Roman" w:hAnsi="Times New Roman"/>
          <w:sz w:val="18"/>
          <w:szCs w:val="18"/>
          <w:color w:val="auto"/>
        </w:rPr>
        <w:t>*Expiration dates of granted patents assume payment of all appropriate maintenance, renewal, annuity or other governmental fees. Expiration dates of pending patent applications assume grant of the patent</w:t>
      </w:r>
    </w:p>
    <w:p>
      <w:pPr>
        <w:ind w:left="60"/>
        <w:spacing w:after="0"/>
        <w:rPr>
          <w:sz w:val="20"/>
          <w:szCs w:val="20"/>
          <w:color w:val="auto"/>
        </w:rPr>
      </w:pPr>
      <w:r>
        <w:rPr>
          <w:rFonts w:ascii="Times New Roman" w:cs="Times New Roman" w:eastAsia="Times New Roman" w:hAnsi="Times New Roman"/>
          <w:sz w:val="18"/>
          <w:szCs w:val="18"/>
          <w:color w:val="auto"/>
        </w:rPr>
        <w:t>applications. The expiration dates in this table do not take into account potential patent term extensions or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Actual expiration dates may vary based on interpretations of laws in the jurisdictions in which patents have granted.</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our current and future product candidates and the methods used to develop and manufacture them, as well as successfully defending any such patents against third-party challenges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 — Risks Related to Our Intellectual Property.”</w:t>
      </w:r>
    </w:p>
    <w:p>
      <w:pPr>
        <w:spacing w:after="0" w:line="19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jurisdictions,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“Risk Factors — Risks Related to Our Intellectual Property.”</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some instances, we may submit patent applications directly to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3" w:lineRule="exact"/>
        <w:rPr>
          <w:sz w:val="20"/>
          <w:szCs w:val="20"/>
          <w:color w:val="auto"/>
        </w:rPr>
      </w:pPr>
    </w:p>
    <w:p>
      <w:pPr>
        <w:ind w:left="60" w:right="459" w:firstLine="324"/>
        <w:spacing w:after="0" w:line="312" w:lineRule="auto"/>
        <w:rPr>
          <w:sz w:val="20"/>
          <w:szCs w:val="20"/>
          <w:color w:val="auto"/>
        </w:rPr>
      </w:pPr>
      <w:r>
        <w:rPr>
          <w:rFonts w:ascii="Times New Roman" w:cs="Times New Roman" w:eastAsia="Times New Roman" w:hAnsi="Times New Roman"/>
          <w:sz w:val="17"/>
          <w:szCs w:val="17"/>
          <w:color w:val="auto"/>
        </w:rPr>
        <w:t>U.S. non-provisional applications and PCT applications may claim the benefit of the priority date of earlier filed provisional applications, when applicable. The PCT system allows a single application to be filed within 12 months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94"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 applications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 —  Risks Related to Our Intellectual Property.”</w:t>
      </w:r>
    </w:p>
    <w:p>
      <w:pPr>
        <w:spacing w:after="0" w:line="191"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 — Risks Related to Our Intellectual Property.”</w:t>
      </w:r>
    </w:p>
    <w:p>
      <w:pPr>
        <w:spacing w:after="0" w:line="176"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Within the United States</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and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under the Federal Food, Drug, and Cosmetic Act (FDC Act) and its implementing regulations and while biological products are regulated under the FDC Act, the Public Health Service Act (PHS Act), and their implementing regulations. Both drugs and biologics also are subject to other federal, state and local statutes and regulations. Failure to comply with applicable U.S. requirements may subject a company to a variety of administrative or judicial sanctions brought by the FDA and the Department of Justice (DOJ) or other governmental entities. Such sanctions could include, but are not limited to, FDA refusal to approve pending marketing applications, warning or untitled letters, product recalls, product seizures, total or partial suspension of production or distribution, injunctions, fines, civil penalties and criminal prosecution.</w:t>
      </w:r>
    </w:p>
    <w:p>
      <w:pPr>
        <w:spacing w:after="0" w:line="19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Pharmaceutical and biological product development for a new product or certain changes to an approved product in the U.S. typically involves nonclinical laboratory, animal tests and formulation studies conducted according to good laboratory practices and other applicable regulations and guidance; the submission to the FDA of an IND which must become effective before clinical testing may commence; and completion of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Once a pharmaceutical or biological candidate is identified for development, it enters the preclinical or nonclinical testing stage. Nonclinical tests include laboratory evaluation of product chemistry, formulation and toxicity, as well as potentially animal studies to assess the characteristics and potential safety and activity of the product. The Consolidated Appropriations Act for 2023, signed into law on December 29, 2022, amended both the FDC Act and the PHS Act to specify that nonclinical testing for drugs may, but is no longer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results of nonclinical testing are submitted to the FDA as part of an IND along with other information, including information about product chemistry, manufacturing and controls, analytical data and a proposed clinical trial protocol detailing, among other things, the objectives of the clinical trial, the parameters to be used in monitoring safety, and the effectiveness criteria to be evaluated, if the trial includes an efficacy evaluation. Long-term nonclinical tests, such as animal tests of reproductive toxicity and carcinogenicity, may continue after the IND is submitted. A 30-day waiting period after the submission of each IND is required prior to the commencement of clinical testing in humans. If the FDA has not otherwise notified the sponsor of the IND within this 30-day period, then the clinical trial proposed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IND may begin, unless the FDA, within the 30-day time period, imposes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 to healthy volunteers or patients under the supervision of one or more qualified investigators.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which includes, among other things, the requirement that all research subjects provide their informed consent in writing for their participation in any clinical trial; as well as (iii) under protocols detailing the objectives of the trial, dosing procedures, subject selection and exclusion criteria,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independent institutional review board (IRB) or ethics committee for approval at each clinical site before each trial may be initiated, and the IRB must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may also require the clinical trial at the site to be halted, either temporarily or permanently (or impose other conditions), for failure to comply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9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Clinical trials to support new drug applications (NDAs) or biologics license applications (BLAs) for marketing approval of pharmaceutical or biological products, respectively, are typically conducted in three sequential phases, but the phases may overlap or be combined. In Phase 1, the initial introduction of the product candidate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with a specified disease or condition to preliminarily evaluate the effectiveness of the product candidate for a particular indication, determine dosage tolerance and optimum dosage, and to identify possible adverse effects and safety risks. If a product candidate demonstrates evidence of effectiveness and an acceptable safety profile in Phase 2 evaluations, Phase 3 trials are undertaken to further evaluate dosage, obtain substantial evidence of clinical efficacy and further test for safety in a larger number of patients, typically at geographically dispersed clinical trial sites, to permit FDA to evaluate the overall benefit-risk relationship of the product candidate and to provide adequate information for the labeling of the drug. In most cases, the FDA requires two adequate and well-controlled clinical trials to demonstrate the efficacy of the therapeutic product candidate. Results from a single adequate and well-controlled trial may be sufficient in certain instances, such as: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submitted in conjunction with other confirmatory evidence.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Moreover,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Congress also recently amended the FDC Act to require sponsors of a Phase 3 clinical trial, or other “pivotal study” of a new drug or biologic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If the FDA objects to a sponsor’s diversity action plan or otherwise requires significant changes to be made, it could delay initiation of the relevant clinical trial.</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nonclinical animal studies and must also develop additional information about the chemistry and physical characteristics of the product and finalize a process for manufacturing the product in commercial quantities in accordance with current good manufacturing practices (cGMPs). The manufacturing process must be capable of consistently producing quality batches of the product candidate and, among other things, the manufacturer must develop methods for testing the identity, strength, quality and purity of the final drug product. For biologics in particular, the PHS Act emphasizes the importance of manufacturing control for products whose attributes cannot be precisely defined in order to help reduce the risk of the introduction of adventitious agents. In addition, appropriate packaging must be selected and tested, and stability studies must be conducted to demonstrate that the product candidate does not undergo unacceptable deterioration over its shelf life.</w:t>
      </w:r>
    </w:p>
    <w:p>
      <w:pPr>
        <w:spacing w:after="0" w:line="18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an NDA/BLA is prepared and submitted to the FDA. FDA approval of the NDA/BLA is required before marketing of the product may begin in the U.S. The NDA/BLA must include the results of all product development, nonclinical, clinical and other testing, a compilation of data relating to the product’s pharmacology, chemistry, manufacture and controls, along with proposed labeling and other relevant information. The cost of preparing and submitting an NDA/BLA is substantial. The submission of most prescription drug marketing applications is additionally subject to a substantial application user fee, and the applicant under an approved NDA/BLA is also subject to an annual program fee for each prescription product. These fees are typically increased annually. A waiver of such fees may be obtained under certain limited circumstances.</w:t>
      </w:r>
    </w:p>
    <w:p>
      <w:pPr>
        <w:spacing w:after="0" w:line="192"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Congress is required to re-authorize the agency’s user fee programs every five years, and current legislative provisions supporting the prescription drug-specific program are set to expire on September 30, 2027. The FDA has 60 days from its receipt of an NDA/BLA to determine whether the application will be filed based on the agency’s threshold determination that it is sufficiently complete to permit substantive review. The FDA may request additional information rather than accept an NDA/BLA for filing, in which case the FDA may issue a Refuse to File letter. In this event, the NDA/BLA must be resubmitted with the additional information. The resubmitted application also is subject to review before the FDA accepts it for filing. If the submission is filed, the FDA begins an in-depth review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or an original BLA, to review and act on the submission. This review typically takes twelve months from the date the NDA/BLA is submitted to FDA because the FDA has approximately two months to make a “filing” decision after it the application is submitted. Most applications designated for priority review products are reviewed in six months of the date of the FDA’s filing determination. Priority review can be applied to NDAs or BLAs for products that are designed to treat a serious condition, where the FDA determines the product may offer significant improvements in safety or effectiveness or provide a treatment where no adequate therapy exists. The review process for both standard and priority review may be extended by the FDA on one occasion for three additional months to consider a “major amendment,” which may include certain late-submitted information, or information intended to clarify information already provided in the submission.</w:t>
      </w:r>
    </w:p>
    <w:p>
      <w:pPr>
        <w:spacing w:after="0" w:line="18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FDA may also refer applications for novel drug/biologic products, or drug/biologic products that present difficult questions of safety or efficacy, to an independent advisory committee — typically a panel that includes clinicians and other scientific experts — for review, evaluation and a recommendation as to whether the application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should be approved and under what conditions. The FDA is not bound by the recommendation of an advisory committee, but it generally follows such recommendations.</w:t>
      </w:r>
    </w:p>
    <w:p>
      <w:pPr>
        <w:spacing w:after="0" w:line="16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Before approving an NDA/BLANDA/BLA, the FDA may inspect one or more clinical sites to assure that the trials support the application were conducted compliance with GCP. Additionally, the FDA will typically inspect the facility or the facilities at which the product is manufactured to assess compliance with cGMPs, to assure that the facilities, methods and controls are adequate to preserve the drug’s identity, strength, quality and purity and, for a biologic, its potency. The FDA will not approve the product unless compliance with cGMP, is satisfactory and the NDA/BLA contains data that provide substantial evidence that the product is safe and effective in the indication sought.</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After the FDA evaluates the NDA/BLA and the manufacturing facilities, it issues either an approval letter or a complete response letter (CRL). A CRL indicates that the review cycle of the application is complete, and the application will not be approved in its present form. A CRL usually describes the specific deficiencies in the submission and may require additional clinical data, such as an additional clinical trial or other significant and time-consuming requirements related to clinical trials, nonclinical studies or manufacturing, in order for the FDA to reconsider the application. In September 2025, the FDA began publishing CRLs soon after issuing them to the respective sponsors, breaking with long standing agency tradition of publishing CRLs with approval documentation after the product is approved. If a CRL is issued, the sponsor must resubmit the NDA/BLA, addressing all of the deficiencies identified in the letter, or withdraw the application. Even if such data and information are submitted, the FDA may decide that the NDA/BLA does not satisfy the criteria for approval. The FDA has committed to reviewing such resubmissions in two or six months depending on the type of information included. An approval letter authorizes commercial marketing of the drug with specific prescribing information for specific indications.</w:t>
      </w:r>
    </w:p>
    <w:p>
      <w:pPr>
        <w:spacing w:after="0" w:line="190"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If a product receives regulatory approval, the approval may be significantly limited to specific diseases and dosages or the indications for use may otherwise be limited, which could restrict the commercial value of the product. As a condition of NDA/BLA approval, the FDA may also require a risk evaluation and mitigation strategy (REMS) to help ensure that the benefits of the drug outweigh the potential risks. If the FDA concludes a REMS is needed, the sponsor of the marketing application must submit a proposed REMS. The FDA will not approve the NDA/BLA without an approved REMS, if required.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 Once granted, product approvals may be withdrawn if compliance with regulatory standards is not maintained or problems are later identified.</w:t>
      </w:r>
    </w:p>
    <w:p>
      <w:pPr>
        <w:spacing w:after="0" w:line="18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NDA/BLA or NDA/BLA supplement before the change can be implemented. A supplement seeking a new indication typically requires clinical data similar to that in the original application, and the FDA uses the same procedures and actions in reviewing efficacy supplements as it does in reviewing original NDAs and BLAs.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prescription drugs and biologics, are required to register and disclose certain clinical trial information on a public registry maintained by the U.S. National Institutes of Health (NIH). Information related to the product, patient population, phase of investigation, study sites and investigators and other aspects of the clinical trial is made public as part of the registration. Sponsors are also obligated to report the results of their clinical trials after completion, although such results disclosure can be delayed in certain circumstances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sponsors must conduct pediatric clinical trials for most drugs, for a new active ingredient, new indication, new dosage form, new dosing regimen or new route of administration. Under PREA, original NDAs and BLAs, as well as certain supplements to approved NDAs and BLAs,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With certain exceptions, PREA does not apply to any drug for an indication for which orphan designation has been granted.</w:t>
      </w:r>
    </w:p>
    <w:p>
      <w:pPr>
        <w:spacing w:after="0" w:line="19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and BLA holders a six-month extension of any exclusivity — patent or nonpatent —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submitted under the BPCA are treated as priority review applications, with all of the benefits that designation confers.</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Congress periodically considers enacting new incentives or mandates applicable to pediatric drug development, and the regulatory requirements applicable to pediatric drug developers may change in the future. For example, in February 2026, bipartisan legislation was signed into law and will grant FDA authority to assess penalties against companies that do not complete required pediatric studies.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&amp; Accelerated Approval Pathway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products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NDA/BLA is submitted, the application may be eligible for priority review. With regard to a Fast Track product candidate,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NDA/BLA.</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NDA/BLA is eligible for priority review if the product candidate is designed to treat a serious condition, and if approved, would provide a significant improvement in safety or efficacy compared to available therapies. The FDA endeavors to review applications with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priority review designations within six months of the filing date as compared to ten months for review of new molecular entity NDAs or original BLAs under its current PDUFA review goals.</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2025, the FDA created a new voucher program called the Commissioner’s National Priority Voucher (CNPV), with the goal of radically expediting therapeutic product review and approval processes. The agency may award a CNPV to a company or a specific product candidate that demonstrates alignment with certain national health priorities. The FDA aims to take action on a marketing application for which a CNPV is used within one to two months after the filing date.</w:t>
      </w:r>
    </w:p>
    <w:p>
      <w:pPr>
        <w:spacing w:after="0" w:line="18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Drugs or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product receiving accelerated approval perform adequate and well-controlled confirmatory clinical trials, and may require that such confirmatory trials be underway prior to granting accelerated approval. Product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9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None of these FDA programs change the standards for approval but they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Once an NDA/BLA is approved, a product will be subject to pervasive and continuing regulation by the FDA, including, among other things, requirements relating to record-keeping, reporting of adverse experiences, periodic reporting, product sampling and distribution, and advertising and promotion of the product. For instance, the FDA closely regulates the post-approval marketing, labeling, advertising and promotion of drugs, including through its enforcement of standards and regulations for direct-to-consumer advertising, industry-sponsored scientific and educational activities and promotional activities involving the internet. Drugs may be marketed only for the approved indications and in accordance with the provisions of the approved labeling.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company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Companies may share truthful and not misleading information that is not inconsistent with the labeling, and the FDA recently published guidance for industry that outlines modernized recommendations for how drug manufacturers can share truthful, scientifically sound, and clinically relevant information on unapproved uses with health care providers in a non-promotional way.</w:t>
      </w:r>
    </w:p>
    <w:p>
      <w:pPr>
        <w:spacing w:after="0" w:line="19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Moreover, if there are any modifications to the product, including changes in indications, labeling or manufacturing processes or facilities, the applicant may be required to submit and obtain FDA approval of a new NDA/BLA or an NDA/BLA supplement, which may require the applicant to develop additional data or conduct additional nonclinical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NDA/BLA. The FDA also may require post-marketing testing, known as Phase 4 testing (to gain additional experience from the treatment of patients in the intended therapeutic indication), REMS or surveillance to monitor the effects of an approved product, or FDA may place conditions on an approval that could restrict the distribution or use of the product. In addition, quality control, drug manufacturing, packaging and labeling procedures must continue to conform to cGMPs after approval. Drug manufacturers and certain of their subcontractors are required to register their establishments with FDA and certain state agencies. Registration with the FDA subjects entities to periodic unannounced inspections by the FDA and certain state agencies to assess compliance with cGMPs and other laws and regulations. Accordingly, manufacturers must continue to expend time, money and effort in the areas of production and quality-control to maintain compliance with cGMPs.</w:t>
      </w:r>
    </w:p>
    <w:p>
      <w:pPr>
        <w:spacing w:after="0" w:line="19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FDA regulations also require, among other things, the investigation and correction of any deviations from cGMP and the imposition of reporting and documentation requirements upon the NDA/BLA sponsor and any third-party manufacturers involved in producing the approved therapeutic product. Regulatory authorities may withdraw product approvals or request product recalls if a company fails to comply with regulatory standards or if it encounters problems following initial marketing.</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ind w:left="720" w:right="55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(DSCSA) was enacted in 2013 with the aim of building an electronic system to identify and trace certain prescription drugs distributed in the United States, including most biological products. The DSCSA mandated resource-intensive obligations for manufacturers, wholesale distributors and dispensers over a 10-year period that culminated in November 2023. Most recently, the FDA announced a one-year stabilization period to November 2024 followed by trading partner-specific exemptions through specified dates in 2025,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products regulated by the FDA. It is impossible to predict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whether further legislative or regulatory changes will be enacted, or FDA regulations, guidance or interpretations changed or what the impact of such changes, if any, may be.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229" w:lineRule="exact"/>
        <w:rPr>
          <w:sz w:val="20"/>
          <w:szCs w:val="20"/>
          <w:color w:val="auto"/>
        </w:rPr>
      </w:pPr>
    </w:p>
    <w:p>
      <w:pPr>
        <w:ind w:left="60" w:right="139" w:firstLine="450"/>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or BLA.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92" w:lineRule="exact"/>
        <w:rPr>
          <w:sz w:val="20"/>
          <w:szCs w:val="20"/>
          <w:color w:val="auto"/>
        </w:rPr>
      </w:pPr>
    </w:p>
    <w:p>
      <w:pPr>
        <w:ind w:left="60" w:right="179" w:firstLine="450"/>
        <w:spacing w:after="0" w:line="254" w:lineRule="auto"/>
        <w:rPr>
          <w:sz w:val="20"/>
          <w:szCs w:val="20"/>
          <w:color w:val="auto"/>
        </w:rPr>
      </w:pPr>
      <w:r>
        <w:rPr>
          <w:rFonts w:ascii="Times New Roman" w:cs="Times New Roman" w:eastAsia="Times New Roman" w:hAnsi="Times New Roman"/>
          <w:sz w:val="18"/>
          <w:szCs w:val="18"/>
          <w:color w:val="auto"/>
        </w:rPr>
        <w:t>Under PREA, submission of a pediatric assessment is not required for pediatric investigation of a product that has been granted Orphan Drug Designation. However, in 2017, the scope of PREA was extended to require pediatric studies for products intended for the treatment of an adult cancer that are directed at a molecular target and that are determined to be substantially relevant to the growth or progression of a pediatric cancer. In addition, the FDA finalized guidance in 2018 indicating that it does not expect to grant any additional Orphan Drug Designation to products for pediatric subpopulations of common diseases. Nevertheless, the FDA intends to still grant Orphan Drug Designation to a drug or biologic that otherwise meets all other criteria for designation when it prevents, diagnoses or treats either (i) a rare disease that includes a rare pediatric subpopulation, (ii) a pediatric subpopulation that constitutes a valid orphan subset, or (iii) a rare disease that is in fact a different disease in the pediatric population as compared to the adult population.</w:t>
      </w:r>
    </w:p>
    <w:p>
      <w:pPr>
        <w:spacing w:after="0" w:line="242" w:lineRule="exact"/>
        <w:rPr>
          <w:sz w:val="20"/>
          <w:szCs w:val="20"/>
          <w:color w:val="auto"/>
        </w:rPr>
      </w:pPr>
    </w:p>
    <w:p>
      <w:pPr>
        <w:ind w:left="60" w:right="79" w:firstLine="540"/>
        <w:spacing w:after="0" w:line="252" w:lineRule="auto"/>
        <w:rPr>
          <w:sz w:val="20"/>
          <w:szCs w:val="20"/>
          <w:color w:val="auto"/>
        </w:rPr>
      </w:pPr>
      <w:r>
        <w:rPr>
          <w:rFonts w:ascii="Times New Roman" w:cs="Times New Roman" w:eastAsia="Times New Roman" w:hAnsi="Times New Roman"/>
          <w:sz w:val="18"/>
          <w:szCs w:val="18"/>
          <w:color w:val="auto"/>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Orphan exclusivity does not block the approval of a different drug or biologic for the same rare disease or condition, nor does it block the approval of the same drug or biologic for different conditions.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 product with Orphan Drug Designation may not receive orphan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Certain of our product candidates may require an in vitro diagnostic to identify appropriate patient populations for investigation and/or use of our product candidates. These diagnostics, often referred to as companion diagnostics, are regulated as medical devices. In the United States, the FDC Act and its implementing regulations, and other federal and state statutes and regulations, govern, among other things, medical device design and development, nonclinical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utilize the PMA pathway.</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If use of companion diagnostic is deemed essential to the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w:t>
      </w:r>
    </w:p>
    <w:p>
      <w:pPr>
        <w:spacing w:after="0" w:line="19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Management System Regulation (QMSR), which imposes elaborate testing, control, documentation and other quality assurance requirements. The QSR was developed and implemented to harmonize the FDA’s previous medical device current good manufacturing practice regulations (referred to as the Quality System Regulation, or QSR) with the International Organization for Standardization standard for device quality management systems (ISO 13485:2016) and it became effective on February 2, 2026.</w:t>
      </w:r>
    </w:p>
    <w:p>
      <w:pPr>
        <w:spacing w:after="0" w:line="19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FDA issued a proposed rule to reclassify certain nucleic acid-based test systems indicated for use with a corresponding approved oncology therapeutic product from Class III (PMA) into Class II, subject to 510(k) premarket notification with special controls. This change, if finalized in 2026, will decrease the regulatory burden on industry because manufacturers of these kinds of in vitro diagnostic products will no longer have to submit a PMA and receive FDA approval before marketing the test.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comparable state agencies. The FDA also may inspect foreign facilities that export products to the United States.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 &amp; Marketing Exclusivity for Small Molecule Drug Products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as part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pursuant to each state’s laws on drug substitution.</w:t>
      </w:r>
    </w:p>
    <w:p>
      <w:pPr>
        <w:spacing w:after="0" w:line="192" w:lineRule="exact"/>
        <w:rPr>
          <w:sz w:val="20"/>
          <w:szCs w:val="20"/>
          <w:color w:val="auto"/>
        </w:rPr>
      </w:pPr>
    </w:p>
    <w:p>
      <w:pPr>
        <w:ind w:left="60" w:right="319" w:firstLine="324"/>
        <w:spacing w:after="0" w:line="276" w:lineRule="auto"/>
        <w:rPr>
          <w:sz w:val="20"/>
          <w:szCs w:val="20"/>
          <w:color w:val="auto"/>
        </w:rPr>
      </w:pPr>
      <w:r>
        <w:rPr>
          <w:rFonts w:ascii="Times New Roman" w:cs="Times New Roman" w:eastAsia="Times New Roman" w:hAnsi="Times New Roman"/>
          <w:sz w:val="17"/>
          <w:szCs w:val="17"/>
          <w:color w:val="auto"/>
        </w:rPr>
        <w:t>The ANDA applicant is required to certify to the FDA concerning any patents listed for the approved product in the FDA’s Orange Book. Specifically, the applicant must certify that (i) the required patent information has not been filed;</w:t>
      </w:r>
    </w:p>
    <w:p>
      <w:pPr>
        <w:spacing w:after="0" w:line="1" w:lineRule="exact"/>
        <w:rPr>
          <w:sz w:val="20"/>
          <w:szCs w:val="20"/>
          <w:color w:val="auto"/>
        </w:rPr>
      </w:pPr>
    </w:p>
    <w:p>
      <w:pPr>
        <w:ind w:left="60" w:right="139" w:hanging="10"/>
        <w:spacing w:after="0" w:line="251"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9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Regulatory exclusivity provisions under the FDC Act can delay the submission or the approval of certain marketing applications for small-molecule drug products. Upon NDA approval of a new chemical entity (NCE), which is a drug that contains no active moiety (which is the molecule or ion responsible for the action of the drug substance) that has been approved by FDA in any other NDA, that NDA receives five years of non-patent data and marketing exclusivity within the United States during which FDA cannot accept for review any (i) ANDA seeking approval of a generic version of that drug, or (ii) any NDA submitted under Section 505(b)(2) (505(b)(2) NDA) of the Act (also referred to as a submitted by another company for another drug based on the same active moiety, regardless of whether the drug is intended for the same indication as the original innovative drug or for another indication, where the applicant does 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own or have a legal right of reference to all the data required for approval. An application referencing the protected NDA may be submitted one year before NCE exclusivity expires if a Paragraph IV certification is filed, i.e., certification of patent invalidity or non-infringement to one of the patents listed with the FDA by the innovator NDA holder. If there is no listed patent in the Orange Book, there may not be a Paragraph IV certification, and, thus, no application may be filed before the expiration of the five-year exclusivity period.</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Certain changes to a drug, such as the addition of a new indication to the package insert, or new dosages or strengths of an existing drug, can be the subject of a three-year non-patent period of data exclusivity if the NDA (or supplement to an existing NDA) contains reports of new clinical investigations (other than bioavailability studies) conducted or sponsored by the applicant that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that is does not reference data in another drug’s approved application. However, an applicant submitting a full NDA would be required to conduct, or obtain a right of reference to, all of the nonclinical studies and adequate and well-controlled clinical trials necessary to demonstrate safety and effectiveness.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was enacted in the United States and included the Biologics Price Competition and Innovation Act of 2009 (BPCIA). The BPCIA amended the PHS Act to create an abbreviated approval pathway for biological products that are biosimilar to or interchangeable with an FDA-licensed reference biological product. This amendment to the PHS Act, in part, attempts to minimize duplicative testing. We expect that our ADC product candidates are regulated as biological products that will be submitted for approval pursuant to a BLA and will be subject to the BPCIA.</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Since that time, the FDA has approved more than 80 biosimilars, including the first interchangeable biosimilars in 2021. The FDA has also issued several guidance documents outlining its approach to reviewing and approving biosimilars and interchangeable biosimilars. It has also created a public database that contains information on all FDA-licensed biological products, including biosimilars, called the Purple Book.</w:t>
      </w:r>
    </w:p>
    <w:p>
      <w:pPr>
        <w:spacing w:after="0" w:line="18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Biosimilarity requires that the follow-on biological product be highly similar to the reference product notwithstanding minor differences in clinically inactive components and that there be no clinically meaningful differences between the follow-on product and the reference product in terms of safety, purity and potency. The biosimilar applicant must demonstrate that its product is biosimilar based on data from (1) analytical studies showing that the biosimilar product is highly similar to the reference product; (2) toxicity assessments; and (3) for some biological products,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spacing w:after="0" w:line="19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 reference biological product is granted twelve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 Act in order to permit multiple interchangeable products approved on the same day to receive and benefit from this one-year exclusivity period. If pediatric studies are performed and accepted by the FDA as responsive to a written request from FDA, as described above, the 12-year exclusivity period will be extended for an additional six months.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policy proposals have sought to reduce the 12-year reference product exclusivity period and, more recently, to potentially eliminate the separate statutory definition of an interchangeable biological product. As a result, the ultimate impact, implementation and meaning of the BPCIA continue to be subject to uncertainty.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 Patent Term Extension</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After NDA/BLA approval, owners of relevant drug patents may apply for up to a five-year patent extension, under the Hatch-Waxman Amendments provisions that permit the extension of eligible patents as compensation for patent term lost during product development and FDA regulatory review process. The allowable patent term extension is calculated as half of the product’s testing phase (the time between IND application and NDA/BLA submission) and all of the review phase (the time between NDA/BLA submission and approval up to a maximum of five years). The time can be shortened if the FDA determines that the applicant did not pursue approval with due diligence. The total patent term after the extension may not exceed 14 years, and only one patent can be extended. The USPTO, in consultation with the FDA, reviews and approves the application for any patent term extension or restoration.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USPTO director must determine that approval of the drug covered by the patent for which such interim patent extension is being sought is likely. Interim patent extensions are not available for a drug for which an NDA/BLA has not been submitted.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United States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trials,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trials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European Union (EU) Drug Development</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As in the United States, drugs and biologics, which are referred to collectively in Europe as medicinal products, can be marketed only if a marketing authorization from the competent regulatory agencies has been obtained. Similar to the United States, the various phases of nonclinical and clinical research in the European Union are subject to significant regulatory controls. Although the EU Clinical Trials Directive 2001/20/EC sought to harmonize the EU clinical trials regulatory framework, setting out common rules for the control and authorization of clinical trials in the EU, the EU Member States transposed and applied the provisions of the Directive differently. This led to significant variations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member state regimes. Under the previous regime, before a clinical trial could be initiated, a clinical trial application must have been approved in each of the EU countries where the trial was to be conducted by two distinct bodies: the National Competent Authority (NCA) and one or more Ethics Committees (ECs). All suspected unexpected serious adverse reactions to the investigated drug that occur during the clinical trial would have to be reported to the NCA and ECs of the Member State where they occurred.</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EU clinical trials legislation has since been reformed with the aims of harmonizing and streamlining clinical-trial authorization, simplifying adverse event reporting procedures, improving the supervision of clinical trials and increasing their transparency. Specifically, the new Clinical Trials Regulation, (EU) No 536/2014 (Clinical Trials Regulation) came into application on January 31, 2022. The Clinical Trials Regulation is directly applicable in all the EU Member States, repealing the previous Clinical Trials Directive 2001/20/EC. The extent to which ongoing clinical trials are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the Clinical Trials Regulation will at that time begin to apply to the clinical trial. In addition, use of the new EU-wide application procedure being implemented via the Clinical Trial Information System, became mandatory for new clinical trial application submissions as of February 1, 2023.</w:t>
      </w:r>
    </w:p>
    <w:p>
      <w:pPr>
        <w:spacing w:after="0" w:line="194"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With respect to marketing applications for a new medicinal product, there are two types of marketing authorizations available in the European Economic Area (EEA), which is comprised of the 27 Member States of the European Union plus Norway, Iceland and Liechtenstein. In the EEA, medicinal products can only be commercialized after obtaining an appropriate Marketing Authorization (MA):</w:t>
      </w:r>
    </w:p>
    <w:p>
      <w:pPr>
        <w:spacing w:after="0" w:line="180" w:lineRule="exact"/>
        <w:rPr>
          <w:sz w:val="20"/>
          <w:szCs w:val="20"/>
          <w:color w:val="auto"/>
        </w:rPr>
      </w:pPr>
    </w:p>
    <w:p>
      <w:pPr>
        <w:ind w:left="720" w:right="99" w:hanging="319"/>
        <w:spacing w:after="0" w:line="254"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EMA.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80"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Similar to the United States, the EU regulatory framework also provides opportunities for market exclusivity. Upon receiving an MA, reference product candidates generally receive eight years of data exclusivity and an additional two years of market exclusivity. If granted, the data exclusivity period prevents generic applicants from relying on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nonclinical and clinical trial data contained in the dossier of the reference product when applying for a generic MA in the EU during a period of eight years from the date on which the reference product was first authorized in the EU. The market exclusivity period prevents a successful generic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8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April 2023, the European Commission proposed widespread changes to the existing pharmaceutical legislation that would, among other things, alter the data exclusivity periods available to MA holders. As of December 2025, the three EU institutions, the European Commission, the European Parliament and the Council of the EU, are in the process of negotiating the final content of the new Directive and Regulation. Once negotiations are complete, the European Parliament and the Council of the EU will vote on whether to approve the Directive and Regulation. If adopted and implemented, these revisions will significantly change several aspects of drug development and approval in the European Union.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 Post-Approval Requirements</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All new MA applicants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which is different from the legal framework in the United States. Moreover, although general requirements for advertising and promotion of medicinal products are established under EU directives, the details are governed by regulations in each Member State and can differ from one country to another. In recent years, advertising and promotion by pharmaceutical companies in the EU and UK marketplaces have received heightened scrutiny from regulatory authorities and in some cases, fines have been issued.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 (UK)</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UK formally withdrew from the EU on January 31, 2020 (known as Brexit), following which the UK licensing decisions were transferred from the EMA to the Medicines and Healthcare Products Regulatory Agency (MHRA) the UK’s regulatory body. Between January 1, 2021 and January 2023, the UK continued to adopt decisions taken by the European Commission on the approval of new marketing authorizations, although companies were required to submit an identical application to the MHRA upon the CHMP positive opinion of the application and the MHRA followed the European Commission decision on approval. In March 2023, the UK government and the European Commission reached agreement on a regulatory framework, referred to as the Windsor Framework. The Windsor Framework became effective January 1, 2025 and changed the system that was previously in effect under the Northern Ireland Protocol, including for the regulation of pharmaceutical products in the UK. Specifically, the MHRA will be responsible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approving all medicines intended to be marketed in the United Kingdom (including Northern Ireland), while the EMA will no longer be involved in approving medicines intended for sale in Northern Ireland.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may also be subject to regulation by other regulatory authorities in the United States in addition to the FDA. Depending on the nature of the product, those authorities may include the Centers for Medicare and Medicaid Services (CMS), other divisions of the U.S. Department of Health and Human Services (HHS), the Department of Justice, the Drug Enforcement Administration, the Federal Trade Commission (FTC), the Occupational Safety and Health Administration, the Environmental Protection Agency and state and local governments.</w:t>
      </w:r>
    </w:p>
    <w:p>
      <w:pPr>
        <w:spacing w:after="0" w:line="187"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For example, in the United States, sales and marketing for prescription pharmaceutical products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the Patient Protection and Affordable Care Act (discussed further below), among other things, amended the intent requirement of the federal Anti-Kickback Statute and two of the five criminal healthcare fraud statutes created by the Health Insurance Portability and Accountability Act of 1996 (HIPAA). A person or entity no longer needs to have actual knowledge of these two provisions in the statute or specific intent to violate them; specifically with respect to the prohibition on executing or attempting to execute a scheme or artifice to defraud or to fraudulently obtain money or property of any health care benefit program and the prohibition on disposing of assets to enable a person to become eligible for Medicaid. Moreover, the government may now assert that a claim including items or services resulting from a violation of the federal Anti-Kickback Statute constitutes a false or fraudulent claim for purposes of the False Claims Act, which generally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Manufacturers can be held liable under the civil False Claims Act even when they do not submit claims directly to government payors if they are deemed to “cause” the submission of false or fraudulent claims. Biotechnology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spacing w:after="0" w:line="20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passed by Congress. If pharmaceutical products are made available to authorized users of the Federal Supply Schedule of the General Services Administration, additional laws and requirements apply. There also are federal transparency requirements under the Physician Payments Sunshine Act that require manufacturers of FDA-approved drugs, devices, biologics and medical supplies covered by Medicare or Medicaid to report, on an annual basis, to CMS information related to payments and other transfers of value to physicians, teaching hospitals, and certain advanced non-physician health care practitioners and physician ownership and investment interests. Prescription drug products also must meet applicable child-resistant packaging requirements under the U.S. Poison Prevention Packaging Act.</w:t>
      </w:r>
    </w:p>
    <w:p>
      <w:pPr>
        <w:spacing w:after="0" w:line="18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are also potentially subject to federal and state consumer protection and unfair competition laws. Also, many states have similar fraud and abuse statutes or regulations that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marketing expenditures to the extent that those laws impose requirements that are more stringent than the Physician Payments Sunshine Act.</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Potential Changes to Healthcare Laws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therapeutic product candidates, restrict or regulate post-approval activities, and affect the ability to profitably sell therapeutic product candidates that obtain marketing approval. 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192"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For example, the Patient Protection and Affordable Care Act, as amended by the Health Care and Education Reconciliation Act (ACA), was enacted in March 2010 and has had a significant impact on the healthcare industry in the U.S. The ACA expanded coverage for the uninsured while at the same time containing overall healthcare costs. With regard to biopharmaceutical products, the ACA, among other things,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(ASP), to the HHS, beginning on January 1, 2022, subject to enforcement via civil money penalties. We expect that further legislative changes or additions to the ACA, the Medicare and Medicaid programs,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August 2022, President Biden signed into the law the Inflation Reduction Act of 2022 (IRA). Among other things, the IRA has multiple provisions that may impact the prices of drug and biological products that are both sold into the Medicare program and throughout the United States. Starting in 2023, a manufacturer of drugs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CMS is negotiating drug prices annually for a select number of single source Part D drugs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without generic competition and will also negotiate drug prices for a select number of Part B drugs starting for payment year 2028. If a product is selected by CMS for negotiation, it is expected that the revenue generated from such product will decrease. CMS has begun to implement these new authorities by entering into agreements with pharmaceutical manufacturers to conduct price negotiations and ultimately announcing annual rounds of negotiated prices; those negotiated “maximum fair prices” will be effective initially as of January 1, 2026 (payment year 2026), with subsequent rounds adding additional drugs with negotiated maximum fair prices effective ins subsequent years. However, the IRA’s impact on the biopharmaceutical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in the future.</w:t>
      </w:r>
    </w:p>
    <w:p>
      <w:pPr>
        <w:spacing w:after="0" w:line="19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Separately, the Trump Administration announced the creation of a government website called TrumpRx, which will allow consumers to purchase certain drugs at reduced prices as negotiated between the drug manufacturers and the administration. As of January 2026, the Trump Administration had secured deals with 16 major drug manufacturers to offer certain drugs at most-favored-nation prices.</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has led to further and more aggressive efforts by states in this area. The FTC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as PBM reform continues to be a bipartisan priority. In February 2026, President Trump signed into law several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(DOL) also issued a proposed rule in January 2026 that would mandate specific PBM fee disclosures to self-insured plan fiduciaries under the Employment Retirement Income Security Act (ERISA). If finalized as proposed, the DOL rule would also allow plan fiduciaries to audit those PBM disclosures to confirm accuracy. Additional proposals and legislative changes aimed at PBMs and their business practices are likely to continue to be introduced and considered in Congress and by executive agencies. Significant efforts to change the PBM industry as it currently exists in the U.S. may affect the entire pharmaceutical supply chain and the business of other stakeholders, including pharmaceutical product developers like us.</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Sales of our future products will depend, in part, on the extent to which our products will be covered by third-party payors, such as government health programs, commercial insurance and managed healthcare organizations. There may be significant delays in obtaining coverage and reimbursement for approved products, and coverage may be more limited than the purposes for which the product is approved by the FDA or regulatory authorities in other countries. It is time consuming and expensive to seek reimbursement from third-party payors.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spacing w:after="0" w:line="18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therapeutics have been a focus in this effort. Recent U.S. federal actions include initiatives incorporating “most favored nation” (international reference pricing) concepts for certain prescription drugs, as well as agency testing of new payment models that could tie Medicare reimbursement or manufacturer rebates to prices in specified reference countries. The United States government, state legislatures and foreign governments have shown significant interest in implementing cost-containment programs, including price controls, restrictions on reimbursement and requirements for substitution of generic products. In late 2025, the CMS proposed multiyear pilot models for Medicare Parts B and D that would require manufacturer rebates when U.S. prices exceed prices in designated reference countries; in parallel,</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 Trump Administration announced a series of manufacturer specific arrangements reflecting most favored nation style pricing commitments in certain programs and channels. Adoption of price controls and cost-containment measures, and adoption of more restrictive policies in jurisdictions with existing controls and measures, could further limit our net revenue and results. Although the scope, timing and ultimate impact of these most favored nation style initiatives are uncertain and subject to rulemaking, program design and potential legal challenges, if implemented or expanded they could reduce reimbursement or net realized prices for affected products and adversely impact our margins and market access, particularly for products reimbursed under Medicare. Further, if these third-party payors do not consider our products to be cost-effective compared to other therapies, they may not cover our products after approval as a benefit under their plans or, if they do, the level of payment may not be sufficient to allow us to sell our products on a profitable basis. In addition, companion diagnostic tests require coverage and reimbursement separate and apart from the coverage and reimbursement for their companion pharmaceutical or biological products.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Moreover, in some foreign countries, the proposed pricing for a therapeutic product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if approved. Historically, therapeutic candidates launched in the European Union do not follow price structures of the United States and generally tend to be significantly lower.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Importantly, U.S. authorities that enforce the FCPA, including the Department of Justice, deem most health care professionals and other employees of foreign hospitals, clinics, research facilities and medical schools in countries with public health care or public education systems to be “foreign officials” under the FCPA. When we interact with foreign health 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future products and services or securing required permits and approvals such as those needed to initiate clinical trials in foreign jurisdictions. The FCPA also obligates companies whose securities are listed in the United States to comply with accounting provisions requiring the maintenance of books and records that accurately and fairly reflect all transactions of the corporation, including international subsidiaries, and the development and maintenance of an adequate system of internal accounting controls for international operations. The SEC is involved with the books and records.</w:t>
      </w:r>
    </w:p>
    <w:p>
      <w:pPr>
        <w:spacing w:after="0" w:line="19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February 2025, President Trump issued an executive order directing the DOJ to pause enforcement of the FCPA and to issue new enforcement guidelines that take into consideration U.S. national security and the competitiveness of U.S. companies abroad. On June 10, 2025, the DOJ issued guidelines for investigations and enforcement of the FCPA. It is unclear how this presidential directive and DOJ guidelines may affect the biopharmaceutical industry as a whole or our business in particular.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77 employees, all of whom were full-time and 45 of whom were engaged in research and development activities. 33 of our employees hold Ph.D. or M.D. degrees. None of our employees are represented by a labor union or covered under a collective bargaining agreement. We consider our relationship with our employees to be good.</w:t>
      </w:r>
    </w:p>
    <w:p>
      <w:pPr>
        <w:spacing w:after="0" w:line="180"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April 2021 under the name of ArriVent BioPharma, Inc. Our principal executive offices are located at 18 Campus Boulevard, Suite 100, Newtown Square, PA 19073. Our telephone number is (628) 277-4836. Our website address is www.arrivent.com. Information contained on, or that can be accessible through, our website is not a part of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Internet address is www.arrivent.com.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(Exchange Act) with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ir.arrivent.com as soon as reasonably practicable after we electronically file or furnish such information with the SEC. The information contained on the websites referenced in this Annual Report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code of ethics, other corporate policies and procedures, and the charters of our Audit Committee, Compensation Committee and Nominating and Corporate Governance Committee are available through our Internet website at www.arrivent.com.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120" w:right="139" w:firstLine="292"/>
        <w:spacing w:after="0" w:line="287"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and uncertainties described below, the section of this Annual Report titled “Management’s Discussion and Analysis of Financial Condition and Results of Operations” and our financial statements and related notes appearing elsewhere in this Annual Report, before investing in our common stock. The risks and uncertainties described below are not the only ones we face.</w:t>
      </w:r>
    </w:p>
    <w:p>
      <w:pPr>
        <w:spacing w:after="0" w:line="172" w:lineRule="exact"/>
        <w:rPr>
          <w:sz w:val="20"/>
          <w:szCs w:val="20"/>
          <w:color w:val="auto"/>
        </w:rPr>
      </w:pPr>
    </w:p>
    <w:p>
      <w:pPr>
        <w:ind w:left="120" w:right="219" w:firstLine="292"/>
        <w:spacing w:after="0" w:line="278" w:lineRule="auto"/>
        <w:rPr>
          <w:sz w:val="20"/>
          <w:szCs w:val="20"/>
          <w:color w:val="auto"/>
        </w:rPr>
      </w:pPr>
      <w:r>
        <w:rPr>
          <w:rFonts w:ascii="Times New Roman" w:cs="Times New Roman" w:eastAsia="Times New Roman" w:hAnsi="Times New Roman"/>
          <w:sz w:val="17"/>
          <w:szCs w:val="17"/>
          <w:i w:val="1"/>
          <w:iCs w:val="1"/>
          <w:color w:val="auto"/>
        </w:rPr>
        <w:t>Additional risks and uncertainties that we are unaware of, or that we currently believe are not material, may also become important factors that affect us. If any of the following risks occur, our business, operating results and prospects could be materially harmed. In that event, the price of our common stock could decline, and you could lose part or all of your investment.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419" w:firstLine="292"/>
        <w:spacing w:after="0" w:line="26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180" w:lineRule="exact"/>
        <w:rPr>
          <w:sz w:val="20"/>
          <w:szCs w:val="20"/>
          <w:color w:val="auto"/>
        </w:rPr>
      </w:pPr>
    </w:p>
    <w:p>
      <w:pPr>
        <w:ind w:left="740" w:right="579" w:hanging="285"/>
        <w:spacing w:after="0" w:line="262"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 w:lineRule="exact"/>
        <w:rPr>
          <w:rFonts w:ascii="Times New Roman" w:cs="Times New Roman" w:eastAsia="Times New Roman" w:hAnsi="Times New Roman"/>
          <w:sz w:val="16"/>
          <w:szCs w:val="16"/>
          <w:color w:val="auto"/>
        </w:rPr>
      </w:pPr>
    </w:p>
    <w:p>
      <w:pPr>
        <w:ind w:left="740" w:right="539" w:hanging="285"/>
        <w:spacing w:after="0" w:line="258"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a limited operating history and no history of commercializing pharmaceutical products, which may make it difficult to evaluate the prospects for our future viability.</w:t>
      </w:r>
    </w:p>
    <w:p>
      <w:pPr>
        <w:ind w:left="740" w:right="459" w:hanging="285"/>
        <w:spacing w:after="0" w:line="255"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spacing w:after="0" w:line="1" w:lineRule="exact"/>
        <w:rPr>
          <w:rFonts w:ascii="Times New Roman" w:cs="Times New Roman" w:eastAsia="Times New Roman" w:hAnsi="Times New Roman"/>
          <w:sz w:val="16"/>
          <w:szCs w:val="16"/>
          <w:color w:val="auto"/>
        </w:rPr>
      </w:pPr>
    </w:p>
    <w:p>
      <w:pPr>
        <w:ind w:left="740" w:right="339" w:hanging="285"/>
        <w:spacing w:after="0" w:line="263"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currently depend significantly on the success of firmonertinib. If we are unable to advance firmonertinib in clinical development, obtain regulatory approval and ultimately commercialize firmonertinib, or experience significant delays in doing so, our business will be materially harmed.</w:t>
      </w:r>
    </w:p>
    <w:p>
      <w:pPr>
        <w:spacing w:after="0" w:line="43" w:lineRule="exact"/>
        <w:rPr>
          <w:rFonts w:ascii="Times New Roman" w:cs="Times New Roman" w:eastAsia="Times New Roman" w:hAnsi="Times New Roman"/>
          <w:sz w:val="16"/>
          <w:szCs w:val="16"/>
          <w:color w:val="auto"/>
        </w:rPr>
      </w:pPr>
    </w:p>
    <w:p>
      <w:pPr>
        <w:ind w:left="740" w:right="619" w:hanging="285"/>
        <w:spacing w:after="0" w:line="274" w:lineRule="auto"/>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Clinical and preclinical development of new biopharmaceutical products involves a lengthy and expensive process with uncertain timelines and outcomes, and results of prior clinical trials and studies our current product candidates are not necessarily predictive of future results. Our other product candidates may not achieve favorable results in our clinical trials or receive regulatory approval on a timely basis, if at all.</w:t>
      </w:r>
    </w:p>
    <w:p>
      <w:pPr>
        <w:spacing w:after="0" w:line="3" w:lineRule="exact"/>
        <w:rPr>
          <w:rFonts w:ascii="Times New Roman" w:cs="Times New Roman" w:eastAsia="Times New Roman" w:hAnsi="Times New Roman"/>
          <w:sz w:val="15"/>
          <w:szCs w:val="15"/>
          <w:color w:val="auto"/>
        </w:rPr>
      </w:pPr>
    </w:p>
    <w:p>
      <w:pPr>
        <w:jc w:val="both"/>
        <w:ind w:left="740" w:right="319" w:hanging="285"/>
        <w:spacing w:after="0" w:line="255"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p>
      <w:pPr>
        <w:spacing w:after="0" w:line="1" w:lineRule="exact"/>
        <w:rPr>
          <w:rFonts w:ascii="Times New Roman" w:cs="Times New Roman" w:eastAsia="Times New Roman" w:hAnsi="Times New Roman"/>
          <w:sz w:val="16"/>
          <w:szCs w:val="16"/>
          <w:color w:val="auto"/>
        </w:rPr>
      </w:pPr>
    </w:p>
    <w:p>
      <w:pPr>
        <w:ind w:left="740" w:right="299" w:hanging="285"/>
        <w:spacing w:after="0" w:line="255"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 w:lineRule="exact"/>
        <w:rPr>
          <w:rFonts w:ascii="Times New Roman" w:cs="Times New Roman" w:eastAsia="Times New Roman" w:hAnsi="Times New Roman"/>
          <w:sz w:val="16"/>
          <w:szCs w:val="16"/>
          <w:color w:val="auto"/>
        </w:rPr>
      </w:pPr>
    </w:p>
    <w:p>
      <w:pPr>
        <w:ind w:left="740" w:right="499" w:hanging="285"/>
        <w:spacing w:after="0" w:line="306" w:lineRule="auto"/>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Use of our current or future product candidates could be associated with adverse side effects, adverse events or other safety risks, which could delay or preclude regulatory approval, cause us to suspend or discontinue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right="399"/>
        <w:spacing w:after="0" w:line="262" w:lineRule="auto"/>
        <w:rPr>
          <w:sz w:val="20"/>
          <w:szCs w:val="20"/>
          <w:color w:val="auto"/>
        </w:rPr>
      </w:pPr>
      <w:r>
        <w:rPr>
          <w:rFonts w:ascii="Times New Roman" w:cs="Times New Roman" w:eastAsia="Times New Roman" w:hAnsi="Times New Roman"/>
          <w:sz w:val="18"/>
          <w:szCs w:val="18"/>
          <w:color w:val="auto"/>
        </w:rPr>
        <w:t>clinical trials, abandon a product candidate, limit the commercial profile of an approved drug label or result in other significant negative consequences that could severely harm our business, prospects, operating results and financial condition.</w:t>
      </w:r>
    </w:p>
    <w:p>
      <w:pPr>
        <w:spacing w:after="0" w:line="2" w:lineRule="exact"/>
        <w:rPr>
          <w:sz w:val="20"/>
          <w:szCs w:val="20"/>
          <w:color w:val="auto"/>
        </w:rPr>
      </w:pPr>
    </w:p>
    <w:p>
      <w:pPr>
        <w:ind w:left="740" w:right="479" w:hanging="285"/>
        <w:spacing w:after="0" w:line="256"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Several of the ongoing clinical trials for our lead product candidate, firmonertinib, and an ongoing trial for ARR-217, are being conducted outside the United States, including in China. However, the FDA and foreign regulatory equivalents may not accept data from such trials, or may expect proportionately more data from subjects in the United States, in which case our development plans will be delayed, which could materially harm our business.</w:t>
      </w:r>
    </w:p>
    <w:p>
      <w:pPr>
        <w:spacing w:after="0" w:line="3" w:lineRule="exact"/>
        <w:rPr>
          <w:rFonts w:ascii="Times New Roman" w:cs="Times New Roman" w:eastAsia="Times New Roman" w:hAnsi="Times New Roman"/>
          <w:sz w:val="16"/>
          <w:szCs w:val="16"/>
          <w:color w:val="auto"/>
        </w:rPr>
      </w:pPr>
    </w:p>
    <w:p>
      <w:pPr>
        <w:ind w:left="740" w:right="719" w:hanging="285"/>
        <w:spacing w:after="0" w:line="250"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spacing w:after="0" w:line="1" w:lineRule="exact"/>
        <w:rPr>
          <w:rFonts w:ascii="Times New Roman" w:cs="Times New Roman" w:eastAsia="Times New Roman" w:hAnsi="Times New Roman"/>
          <w:sz w:val="16"/>
          <w:szCs w:val="16"/>
          <w:color w:val="auto"/>
        </w:rPr>
      </w:pPr>
    </w:p>
    <w:p>
      <w:pPr>
        <w:ind w:left="740" w:right="779" w:hanging="285"/>
        <w:spacing w:after="0" w:line="255"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 and if we are ultimately unable to timely submit for and obtain regulatory approval for our product candidates, our business will be substantially harmed.</w:t>
      </w:r>
    </w:p>
    <w:p>
      <w:pPr>
        <w:spacing w:after="0" w:line="1" w:lineRule="exact"/>
        <w:rPr>
          <w:rFonts w:ascii="Times New Roman" w:cs="Times New Roman" w:eastAsia="Times New Roman" w:hAnsi="Times New Roman"/>
          <w:sz w:val="16"/>
          <w:szCs w:val="16"/>
          <w:color w:val="auto"/>
        </w:rPr>
      </w:pPr>
    </w:p>
    <w:p>
      <w:pPr>
        <w:ind w:left="740" w:right="279" w:hanging="285"/>
        <w:spacing w:after="0" w:line="255"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Firmonertinib has been granted Breakthrough Therapy Designation for the treatment of first-line patients with locally advanced or metastatic EGFRm NSCLC with exon 20 insertion mutations from the FDA and we may seek Breakthrough Therapy Designation for other product candidates in the future. Even if we apply for Breakthrough Therapy Designation in the future, we might not receive such designation, and even if received, such designation FDA may not lead to a faster development or regulatory review or approval process, and does not increase the likelihood that our product candidates will receive marketing approval.</w:t>
      </w:r>
    </w:p>
    <w:p>
      <w:pPr>
        <w:spacing w:after="0" w:line="3" w:lineRule="exact"/>
        <w:rPr>
          <w:rFonts w:ascii="Times New Roman" w:cs="Times New Roman" w:eastAsia="Times New Roman" w:hAnsi="Times New Roman"/>
          <w:sz w:val="16"/>
          <w:szCs w:val="16"/>
          <w:color w:val="auto"/>
        </w:rPr>
      </w:pPr>
    </w:p>
    <w:p>
      <w:pPr>
        <w:ind w:left="740" w:right="379" w:hanging="285"/>
        <w:spacing w:after="0" w:line="258"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p>
      <w:pPr>
        <w:spacing w:after="0" w:line="1" w:lineRule="exact"/>
        <w:rPr>
          <w:rFonts w:ascii="Times New Roman" w:cs="Times New Roman" w:eastAsia="Times New Roman" w:hAnsi="Times New Roman"/>
          <w:sz w:val="16"/>
          <w:szCs w:val="16"/>
          <w:color w:val="auto"/>
        </w:rPr>
      </w:pPr>
    </w:p>
    <w:p>
      <w:pPr>
        <w:ind w:left="740" w:right="539" w:hanging="285"/>
        <w:spacing w:after="0" w:line="254"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heavily rely on our exclusive licenses with our partners to provide us with intellectual property rights to develop and commercialize our product candidates. Any termination or loss of significant rights under our agreements with our partners would adversely affect our development or commercialization of our product candidates.</w:t>
      </w:r>
    </w:p>
    <w:p>
      <w:pPr>
        <w:spacing w:after="0" w:line="1" w:lineRule="exact"/>
        <w:rPr>
          <w:rFonts w:ascii="Times New Roman" w:cs="Times New Roman" w:eastAsia="Times New Roman" w:hAnsi="Times New Roman"/>
          <w:sz w:val="16"/>
          <w:szCs w:val="16"/>
          <w:color w:val="auto"/>
        </w:rPr>
      </w:pPr>
    </w:p>
    <w:p>
      <w:pPr>
        <w:ind w:left="740" w:right="499" w:hanging="285"/>
        <w:spacing w:after="0" w:line="254"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currently rely on Chinese third parties for the manufacture of firmonertinib, ARR-217, and ARR-002 for clinical development, expect to rely on such manufacturers for potential future commercial supply of firmonertinib, ARR-217, and ARR-002, and expect to continue to rely on third parties for the foreseeable future. This reliance on third parties increases the risk that we will not have sufficient quantities for clinical development of firmonertinib, ARR-217, or ARR-002, or for commercialization of firmonertinib in such quantities at an acceptable cost, which could delay, prevent or impair our development or potential commercialization efforts.</w:t>
      </w:r>
    </w:p>
    <w:p>
      <w:pPr>
        <w:spacing w:after="0" w:line="5" w:lineRule="exact"/>
        <w:rPr>
          <w:rFonts w:ascii="Times New Roman" w:cs="Times New Roman" w:eastAsia="Times New Roman" w:hAnsi="Times New Roman"/>
          <w:sz w:val="16"/>
          <w:szCs w:val="16"/>
          <w:color w:val="auto"/>
        </w:rPr>
      </w:pPr>
    </w:p>
    <w:p>
      <w:pPr>
        <w:ind w:left="740" w:right="219" w:hanging="285"/>
        <w:spacing w:after="0" w:line="258"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regulatory obligations and continued regulatory review, which may result in significant additional expense. Additionally, our current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p>
      <w:pPr>
        <w:spacing w:after="0" w:line="64" w:lineRule="exact"/>
        <w:rPr>
          <w:rFonts w:ascii="Times New Roman" w:cs="Times New Roman" w:eastAsia="Times New Roman" w:hAnsi="Times New Roman"/>
          <w:sz w:val="16"/>
          <w:szCs w:val="16"/>
          <w:color w:val="auto"/>
        </w:rPr>
      </w:pPr>
    </w:p>
    <w:p>
      <w:pPr>
        <w:ind w:left="740" w:right="439" w:hanging="285"/>
        <w:spacing w:after="0" w:line="255"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face significant competition, and if our competitors develop and commercialize technologies or product candidates more rapidly than we do, or their technologies or product candidates are more effective, safer, or less expensive than our current and any future product candidates we develop, our business and our ability to develop and successfully commercialize products will be adversely affected.</w:t>
      </w:r>
    </w:p>
    <w:p>
      <w:pPr>
        <w:spacing w:after="0" w:line="2" w:lineRule="exact"/>
        <w:rPr>
          <w:rFonts w:ascii="Times New Roman" w:cs="Times New Roman" w:eastAsia="Times New Roman" w:hAnsi="Times New Roman"/>
          <w:sz w:val="16"/>
          <w:szCs w:val="16"/>
          <w:color w:val="auto"/>
        </w:rPr>
      </w:pPr>
    </w:p>
    <w:p>
      <w:pPr>
        <w:ind w:left="740" w:right="239" w:hanging="285"/>
        <w:spacing w:after="0" w:line="260" w:lineRule="auto"/>
        <w:tabs>
          <w:tab w:leader="none" w:pos="7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right="419" w:hanging="285"/>
        <w:spacing w:after="0" w:line="259" w:lineRule="auto"/>
        <w:tabs>
          <w:tab w:leader="none" w:pos="7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our internal information technology systems, or those used by our CROs,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p>
      <w:pPr>
        <w:spacing w:after="0" w:line="1" w:lineRule="exact"/>
        <w:rPr>
          <w:rFonts w:ascii="Times New Roman" w:cs="Times New Roman" w:eastAsia="Times New Roman" w:hAnsi="Times New Roman"/>
          <w:sz w:val="16"/>
          <w:szCs w:val="16"/>
          <w:color w:val="auto"/>
        </w:rPr>
      </w:pPr>
    </w:p>
    <w:p>
      <w:pPr>
        <w:ind w:left="740" w:right="319" w:hanging="285"/>
        <w:spacing w:after="0" w:line="259" w:lineRule="auto"/>
        <w:tabs>
          <w:tab w:leader="none" w:pos="7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depend heavily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75" w:lineRule="exact"/>
        <w:rPr>
          <w:sz w:val="20"/>
          <w:szCs w:val="20"/>
          <w:color w:val="auto"/>
        </w:rPr>
      </w:pPr>
    </w:p>
    <w:p>
      <w:pPr>
        <w:ind w:left="120" w:right="179" w:firstLine="292"/>
        <w:spacing w:after="0" w:line="270" w:lineRule="auto"/>
        <w:rPr>
          <w:sz w:val="20"/>
          <w:szCs w:val="20"/>
          <w:color w:val="auto"/>
        </w:rPr>
      </w:pPr>
      <w:r>
        <w:rPr>
          <w:rFonts w:ascii="Times New Roman" w:cs="Times New Roman" w:eastAsia="Times New Roman" w:hAnsi="Times New Roman"/>
          <w:sz w:val="17"/>
          <w:szCs w:val="17"/>
          <w:color w:val="auto"/>
        </w:rPr>
        <w:t>We have incurred significant operating losses since our inception and expect to incur significant losses for the foreseeable future. We do not have any products approved for sale and have not generated any revenue since our inception. If our product candidates are not successfully developed, approved and commercialized, we may never generate significant revenue, if we generate any revenue at all. Our net losses were $166.3 million and $80.5 million for the years ended December 31, 2025 and 2024, respectively. As of December 31, 2025, we had an accumulated deficit of $404.6 million. Substantially all of our losses have resulted from expenses incurred in connection with in-licensing intellectual property related to, and developing, our product candidates and from general and administrative costs associated with our operations. Our current product candidates,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our product candidates, seek to identify, assess, acquire, in-license intellectual property related to or develop additional product candidates and operate as a public company. In addition, we are obligated to make milestone payments and royalty payments under certain license agreements and collaboration agreements. For example, we are obligated to pay Allist milestone payments up to an aggregate of $765.0 million upon the achievement of certain development, regulatory and sales milestone events as set forth in the Allist License Agreement, as defined herein. We are also obligated under the Allist License Agreement to pay Allist tiered royalties based on net sales of Licensed Products, as defined herein. Furthermore, we are obligated to pay Lepu Biopharma milestone payments up to an aggregate of $1.17 billion upon the achievement of certain development, regulatory and sales milestone events as set forth in the Lepu Biopharma Agreement, as defined herein. We are also obligated under the Lepu Biopharma Agreement to pay Lepu Biopharma tiered royalties based on net sales of Licensed Products, as defined herein. In addition, we are obligated to pay Aarvik regulatory and sales milestone payments up to an aggregate not to exceed $98.0 million upon the achievement of certain development, regulatory and sales milestone events as set forth in the Aarvik Collaboration Agreement, as defined herein, tiered royalties on aggregate net sales of products developed under the Aarvik Collaboration and commercialized by us or on our behalf at royalty rates in the mid-single digits. See “Business — Licenses, Partnerships and Collaborations — Aarvik Research Collaboration Agreement”. If these payments become due, we may not have sufficient funds available to meet our obligations and our development efforts may be harmed.</w:t>
      </w:r>
    </w:p>
    <w:p>
      <w:pPr>
        <w:spacing w:after="0" w:line="200" w:lineRule="exact"/>
        <w:rPr>
          <w:sz w:val="20"/>
          <w:szCs w:val="20"/>
          <w:color w:val="auto"/>
        </w:rPr>
      </w:pPr>
    </w:p>
    <w:p>
      <w:pPr>
        <w:spacing w:after="0" w:line="211" w:lineRule="exact"/>
        <w:rPr>
          <w:sz w:val="20"/>
          <w:szCs w:val="20"/>
          <w:color w:val="auto"/>
        </w:rPr>
      </w:pPr>
    </w:p>
    <w:p>
      <w:pPr>
        <w:jc w:val="both"/>
        <w:ind w:left="120" w:right="259" w:firstLine="292"/>
        <w:spacing w:after="0" w:line="26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our current product candidates and any future product candidates, acquiring additional product candidates, obtaining regulatory approvals for our current and any future product candidates, and manufacturing, marketing, and selling any products for which we may obtain regulatory approvals. We may never succeed in these activities and, even if we do, may never generate revenue that is significant</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0" w:right="259"/>
        <w:spacing w:after="0" w:line="258" w:lineRule="auto"/>
        <w:rPr>
          <w:sz w:val="20"/>
          <w:szCs w:val="20"/>
          <w:color w:val="auto"/>
        </w:rPr>
      </w:pPr>
      <w:r>
        <w:rPr>
          <w:rFonts w:ascii="Times New Roman" w:cs="Times New Roman" w:eastAsia="Times New Roman" w:hAnsi="Times New Roman"/>
          <w:sz w:val="18"/>
          <w:szCs w:val="18"/>
          <w:color w:val="auto"/>
        </w:rPr>
        <w:t>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stockholders to lose all or part of their investment.</w:t>
      </w:r>
    </w:p>
    <w:p>
      <w:pPr>
        <w:spacing w:after="0" w:line="194"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April 2021 and, to date, we have focused primarily on organizing and staffing our company, business planning, raising capital, in-licensing our product candidates, establishing our intellectual property portfolio and conducting research, preclinical studies, and clinical trials. We have not yet completed any pivotal clinical trials,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accurate.</w:t>
      </w:r>
    </w:p>
    <w:p>
      <w:pPr>
        <w:spacing w:after="0" w:line="188" w:lineRule="exact"/>
        <w:rPr>
          <w:sz w:val="20"/>
          <w:szCs w:val="20"/>
          <w:color w:val="auto"/>
        </w:rPr>
      </w:pPr>
    </w:p>
    <w:p>
      <w:pPr>
        <w:ind w:left="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spacing w:after="0" w:line="175" w:lineRule="exact"/>
        <w:rPr>
          <w:sz w:val="20"/>
          <w:szCs w:val="20"/>
          <w:color w:val="auto"/>
        </w:rPr>
      </w:pPr>
    </w:p>
    <w:p>
      <w:pPr>
        <w:ind w:left="120" w:right="159" w:firstLine="292"/>
        <w:spacing w:after="0" w:line="256"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We expect our expenses to substantially increase in connection with our ongoing activities, particularly as we conduct our ongoing and planned clinical trials for our product candidates, and potentially seek regulatory approval for our current and any future product candidates we may develop, acquire or in-license additional product candidates and operate as a public company. In addition, if we are able to progress our product candidates through development and commercialization, we will be required to make milestone and royalty payments to our licensors from whom we have in-licensed intellectual property related to our product candidates. If we obtain regulatory approvals for our current or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financing necessary to successfully complete the development and commercialization of our current or future product candidates.</w:t>
      </w:r>
    </w:p>
    <w:p>
      <w:pPr>
        <w:spacing w:after="0" w:line="190" w:lineRule="exact"/>
        <w:rPr>
          <w:sz w:val="20"/>
          <w:szCs w:val="20"/>
          <w:color w:val="auto"/>
        </w:rPr>
      </w:pPr>
    </w:p>
    <w:p>
      <w:pPr>
        <w:ind w:left="120" w:right="159" w:firstLine="324"/>
        <w:spacing w:after="0" w:line="266" w:lineRule="auto"/>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6" w:lineRule="exact"/>
        <w:rPr>
          <w:sz w:val="20"/>
          <w:szCs w:val="20"/>
          <w:color w:val="auto"/>
        </w:rPr>
      </w:pPr>
    </w:p>
    <w:p>
      <w:pPr>
        <w:ind w:left="120" w:right="219" w:firstLine="292"/>
        <w:spacing w:after="0" w:line="259"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including the proceeds from our recently completed initial public offering, will enable us to fund our operations through at least twelve months from the issuance date of these financial statements.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Our existing cash and cash equivalents, may not be sufficient to complete development of our current product candidates, or any future product candidate, and we will require substantial capital in order to advance our current product candidates, and any future product candidates through clinical trials, regulatory approval and commercialization. Accordingly, we will need to obtain substantial additional funding in connection with our continuing operations. Our ability to raise additional funds may be adversely impacted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8"/>
          <w:szCs w:val="18"/>
          <w:color w:val="auto"/>
        </w:rPr>
        <w:t>by potential worsening global economic conditions and the disruptions to, and volatility in, the credit and financial markets in the United States and worldwide resulting from factors that include but are not limited to, change in inflation rates, trade sanctions, tariffs, the conflicts in the Middle East, between Russia and Ukraine, potential future U.S. action in Venezuela, and other factors,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order to obtain financing, we may be required to relinquish rights to some of our technologies or drug candidates or otherwise agree to terms unfavorable to us.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current product candidates and any future product candidates.</w:t>
      </w:r>
    </w:p>
    <w:p>
      <w:pPr>
        <w:spacing w:after="0" w:line="1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Our future capital requirements, both near and long-term, will depend on many factors, including, but not limited</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right="199" w:hanging="285"/>
        <w:spacing w:after="0" w:line="266"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initiation, type, number, scope, progress, expansions, results, costs and timing of clinical trials and studies of our current product candidates,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6"/>
          <w:szCs w:val="16"/>
          <w:color w:val="auto"/>
        </w:rPr>
      </w:pPr>
    </w:p>
    <w:p>
      <w:pPr>
        <w:jc w:val="both"/>
        <w:ind w:left="740" w:right="659" w:hanging="285"/>
        <w:spacing w:after="0" w:line="274"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manufacturing for our current product candidates, or any future product candidate, including commercial manufacture at sufficient scale, if any product candidate is approved, including as a result of inflation, any supply chain issues or component shortages;</w:t>
      </w:r>
    </w:p>
    <w:p>
      <w:pPr>
        <w:spacing w:after="0" w:line="60" w:lineRule="exact"/>
        <w:rPr>
          <w:rFonts w:ascii="Times New Roman" w:cs="Times New Roman" w:eastAsia="Times New Roman" w:hAnsi="Times New Roman"/>
          <w:sz w:val="16"/>
          <w:szCs w:val="16"/>
          <w:color w:val="auto"/>
        </w:rPr>
      </w:pPr>
    </w:p>
    <w:p>
      <w:pPr>
        <w:ind w:left="740" w:right="379" w:hanging="285"/>
        <w:spacing w:after="0" w:line="266"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requirements of regulatory authorities in any jurisdictions in which we may seek approval for our current product candidates, and any future product candidates and our anticipated timing for seeking approval in such jurisdictions;</w:t>
      </w:r>
    </w:p>
    <w:p>
      <w:pPr>
        <w:spacing w:after="0" w:line="67" w:lineRule="exact"/>
        <w:rPr>
          <w:rFonts w:ascii="Times New Roman" w:cs="Times New Roman" w:eastAsia="Times New Roman" w:hAnsi="Times New Roman"/>
          <w:sz w:val="16"/>
          <w:szCs w:val="16"/>
          <w:color w:val="auto"/>
        </w:rPr>
      </w:pPr>
    </w:p>
    <w:p>
      <w:pPr>
        <w:ind w:left="740" w:right="539" w:hanging="285"/>
        <w:spacing w:after="0" w:line="282"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meetings and reviews of our current product candidates or future product candidates;</w:t>
      </w:r>
    </w:p>
    <w:p>
      <w:pPr>
        <w:spacing w:after="0" w:line="53" w:lineRule="exact"/>
        <w:rPr>
          <w:rFonts w:ascii="Times New Roman" w:cs="Times New Roman" w:eastAsia="Times New Roman" w:hAnsi="Times New Roman"/>
          <w:sz w:val="16"/>
          <w:szCs w:val="16"/>
          <w:color w:val="auto"/>
        </w:rPr>
      </w:pPr>
    </w:p>
    <w:p>
      <w:pPr>
        <w:ind w:left="740" w:right="319" w:hanging="285"/>
        <w:spacing w:after="0" w:line="282"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delays and cost increases that may result from any health epidemics and outbreaks, including COVID-19 or measles;</w:t>
      </w:r>
    </w:p>
    <w:p>
      <w:pPr>
        <w:spacing w:after="0" w:line="53" w:lineRule="exact"/>
        <w:rPr>
          <w:rFonts w:ascii="Times New Roman" w:cs="Times New Roman" w:eastAsia="Times New Roman" w:hAnsi="Times New Roman"/>
          <w:sz w:val="16"/>
          <w:szCs w:val="16"/>
          <w:color w:val="auto"/>
        </w:rPr>
      </w:pPr>
    </w:p>
    <w:p>
      <w:pPr>
        <w:ind w:left="740" w:right="899" w:hanging="285"/>
        <w:spacing w:after="0" w:line="282"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53" w:lineRule="exact"/>
        <w:rPr>
          <w:rFonts w:ascii="Times New Roman" w:cs="Times New Roman" w:eastAsia="Times New Roman" w:hAnsi="Times New Roman"/>
          <w:sz w:val="16"/>
          <w:szCs w:val="16"/>
          <w:color w:val="auto"/>
        </w:rPr>
      </w:pPr>
    </w:p>
    <w:p>
      <w:pPr>
        <w:ind w:left="740" w:right="999" w:hanging="285"/>
        <w:spacing w:after="0" w:line="297"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41" w:lineRule="exact"/>
        <w:rPr>
          <w:rFonts w:ascii="Times New Roman" w:cs="Times New Roman" w:eastAsia="Times New Roman" w:hAnsi="Times New Roman"/>
          <w:sz w:val="16"/>
          <w:szCs w:val="16"/>
          <w:color w:val="auto"/>
        </w:rPr>
      </w:pPr>
    </w:p>
    <w:p>
      <w:pPr>
        <w:jc w:val="both"/>
        <w:ind w:left="740" w:right="319" w:hanging="285"/>
        <w:spacing w:after="0" w:line="266"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Chemistry, Manufacturing, and Controls (CMC), quality, compliance, and commercial personnel;</w:t>
      </w:r>
    </w:p>
    <w:p>
      <w:pPr>
        <w:spacing w:after="0" w:line="67" w:lineRule="exact"/>
        <w:rPr>
          <w:rFonts w:ascii="Times New Roman" w:cs="Times New Roman" w:eastAsia="Times New Roman" w:hAnsi="Times New Roman"/>
          <w:sz w:val="16"/>
          <w:szCs w:val="16"/>
          <w:color w:val="auto"/>
        </w:rPr>
      </w:pPr>
    </w:p>
    <w:p>
      <w:pPr>
        <w:ind w:left="740" w:right="379" w:hanging="285"/>
        <w:spacing w:after="0" w:line="282"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timing and amount of the milestone, royalty or other payments we must make to our licensors, from whom we have in-licensed our current product candidates, or any future licensors;</w:t>
      </w:r>
    </w:p>
    <w:p>
      <w:pPr>
        <w:spacing w:after="0" w:line="5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product candidate is approved;</w:t>
      </w:r>
    </w:p>
    <w:p>
      <w:pPr>
        <w:spacing w:after="0" w:line="90" w:lineRule="exact"/>
        <w:rPr>
          <w:sz w:val="20"/>
          <w:szCs w:val="20"/>
          <w:color w:val="auto"/>
        </w:rPr>
      </w:pPr>
    </w:p>
    <w:p>
      <w:pPr>
        <w:ind w:left="740" w:right="639" w:hanging="285"/>
        <w:spacing w:after="0" w:line="282" w:lineRule="auto"/>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6"/>
          <w:szCs w:val="16"/>
          <w:color w:val="auto"/>
        </w:rPr>
      </w:pPr>
    </w:p>
    <w:p>
      <w:pPr>
        <w:ind w:left="740" w:right="319" w:hanging="285"/>
        <w:spacing w:after="0" w:line="282" w:lineRule="auto"/>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and strategic decision to acquire or develop future product candidates other than our current product candidates, and the timing of such development, if any;</w:t>
      </w:r>
    </w:p>
    <w:p>
      <w:pPr>
        <w:spacing w:after="0" w:line="53" w:lineRule="exact"/>
        <w:rPr>
          <w:rFonts w:ascii="Times New Roman" w:cs="Times New Roman" w:eastAsia="Times New Roman" w:hAnsi="Times New Roman"/>
          <w:sz w:val="16"/>
          <w:szCs w:val="16"/>
          <w:color w:val="auto"/>
        </w:rPr>
      </w:pPr>
    </w:p>
    <w:p>
      <w:pPr>
        <w:ind w:left="740" w:right="919" w:hanging="285"/>
        <w:spacing w:after="0" w:line="297" w:lineRule="auto"/>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41"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00" w:lineRule="exact"/>
        <w:rPr>
          <w:sz w:val="20"/>
          <w:szCs w:val="20"/>
          <w:color w:val="auto"/>
        </w:rPr>
      </w:pPr>
    </w:p>
    <w:p>
      <w:pPr>
        <w:spacing w:after="0" w:line="255" w:lineRule="exact"/>
        <w:rPr>
          <w:sz w:val="20"/>
          <w:szCs w:val="20"/>
          <w:color w:val="auto"/>
        </w:rPr>
      </w:pPr>
    </w:p>
    <w:p>
      <w:pPr>
        <w:ind w:left="120" w:right="159" w:firstLine="292"/>
        <w:spacing w:after="0" w:line="258" w:lineRule="auto"/>
        <w:rPr>
          <w:sz w:val="20"/>
          <w:szCs w:val="20"/>
          <w:color w:val="auto"/>
        </w:rPr>
      </w:pPr>
      <w:r>
        <w:rPr>
          <w:rFonts w:ascii="Times New Roman" w:cs="Times New Roman" w:eastAsia="Times New Roman" w:hAnsi="Times New Roman"/>
          <w:sz w:val="18"/>
          <w:szCs w:val="18"/>
          <w:color w:val="auto"/>
        </w:rPr>
        <w:t>Conducting clinical trials and nonclinical studies and potentially identifying future product candidates is a time consuming, expensive and uncertain process that takes years to complete, and we may never generate the necessary data or results required to obtain regulatory approval and commercialize our current or future product candidates. If approved, our current product candidates, and any future product candidates may not achieve commercial success. Our commercial revenue, if any, will initially be derived from sales of firmonertinib, which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On February 3, 2025, we filed an automatic universal shelf registration on Form S-3 with the SEC, which became effective upon filing, on which we registered for sale any combination of our common stock, preferred stock, debt securities, warrants, rights and/or units from time to time and at prices and on terms that we may determine (2025 Form S-3), including up to $250 million of common stock which we may offer and sell, from time to time at our sole discretion, under our at-the-market program sales agreement that we entered into with Jefferies LLC (Jefferies) in February 2025 (2025 Sales Agreement).</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25" w:lineRule="exact"/>
        <w:rPr>
          <w:sz w:val="20"/>
          <w:szCs w:val="20"/>
          <w:color w:val="auto"/>
        </w:rPr>
      </w:pPr>
    </w:p>
    <w:p>
      <w:pPr>
        <w:ind w:left="60" w:right="119"/>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significantly on the success of our product candidates If we are unable to advance our product candidates in clinical development, obtain regulatory approval and ultimately commercialize our product candidates, or experience significant delays in doing so, our business will be materially harmed.</w:t>
      </w:r>
    </w:p>
    <w:p>
      <w:pPr>
        <w:spacing w:after="0" w:line="167" w:lineRule="exact"/>
        <w:rPr>
          <w:sz w:val="20"/>
          <w:szCs w:val="20"/>
          <w:color w:val="auto"/>
        </w:rPr>
      </w:pPr>
    </w:p>
    <w:p>
      <w:pPr>
        <w:ind w:left="120" w:right="219" w:firstLine="292"/>
        <w:spacing w:after="0" w:line="257" w:lineRule="auto"/>
        <w:rPr>
          <w:sz w:val="20"/>
          <w:szCs w:val="20"/>
          <w:color w:val="auto"/>
        </w:rPr>
      </w:pPr>
      <w:r>
        <w:rPr>
          <w:rFonts w:ascii="Times New Roman" w:cs="Times New Roman" w:eastAsia="Times New Roman" w:hAnsi="Times New Roman"/>
          <w:sz w:val="18"/>
          <w:szCs w:val="18"/>
          <w:color w:val="auto"/>
        </w:rPr>
        <w:t>We currently have two product candidates in clinical development, firmonertinib and ARR-217, the intellectual property for which we have individually in-licensed. Firmonertinib is in Phase 3 clinical development and ARR-217, which is in Phase 1 clinical development. Our business presently depends significantly on our ability to successfully develop, obtain regulatory approval for, and commercialize firmonertinib and our other product candidates in a timely manner. This may make an investment in our company riskier than similar companies that have more product candidates in active development and may be able to better sustain the delay or failure of a lead product candidate. In addition, our assumptions about our product candidates’ development potential are partially based on the data generated from preclinical studies and clinical trials conducted by our licensors and we may observe materially and adversely different results as we continue to conduct our clinical trials. The success of our product candidates will depend on several factors, including the following:</w:t>
      </w:r>
    </w:p>
    <w:p>
      <w:pPr>
        <w:spacing w:after="0" w:line="200" w:lineRule="exact"/>
        <w:rPr>
          <w:sz w:val="20"/>
          <w:szCs w:val="20"/>
          <w:color w:val="auto"/>
        </w:rPr>
      </w:pPr>
    </w:p>
    <w:p>
      <w:pPr>
        <w:ind w:left="740" w:right="659" w:hanging="285"/>
        <w:spacing w:after="0" w:line="312" w:lineRule="auto"/>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successful initiation, enrollment and completion of ongoing and future clinical trials with favorable results in accordance with good clinical practice (GCP) requirements and other applicable rules and regulations;</w:t>
      </w:r>
    </w:p>
    <w:p>
      <w:pPr>
        <w:spacing w:after="0" w:line="31" w:lineRule="exact"/>
        <w:rPr>
          <w:rFonts w:ascii="Times New Roman" w:cs="Times New Roman" w:eastAsia="Times New Roman" w:hAnsi="Times New Roman"/>
          <w:sz w:val="15"/>
          <w:szCs w:val="15"/>
          <w:color w:val="auto"/>
        </w:rPr>
      </w:pPr>
    </w:p>
    <w:p>
      <w:pPr>
        <w:ind w:left="740" w:right="279" w:hanging="285"/>
        <w:spacing w:after="0" w:line="266"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acceptance of regulatory submissions by the FDA or comparable foreign regulatory authorities for the conduct of nonclinical studies and clinical trials of our product candidates, including clinical trials conducted outside the United States, including China, and our proposed design of planned nonclinical studies and clinical trials of our product candidates;</w:t>
      </w:r>
    </w:p>
    <w:p>
      <w:pPr>
        <w:spacing w:after="0" w:line="54" w:lineRule="exact"/>
        <w:rPr>
          <w:rFonts w:ascii="Times New Roman" w:cs="Times New Roman" w:eastAsia="Times New Roman" w:hAnsi="Times New Roman"/>
          <w:sz w:val="16"/>
          <w:szCs w:val="16"/>
          <w:color w:val="auto"/>
        </w:rPr>
      </w:pPr>
    </w:p>
    <w:p>
      <w:pPr>
        <w:ind w:left="740" w:right="559" w:hanging="285"/>
        <w:spacing w:after="0" w:line="297"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frequency, severity, and types of adverse events observed, or that we may observe, in nonclinical studies and clinical trials;</w:t>
      </w:r>
    </w:p>
    <w:p>
      <w:pPr>
        <w:spacing w:after="0" w:line="41" w:lineRule="exact"/>
        <w:rPr>
          <w:rFonts w:ascii="Times New Roman" w:cs="Times New Roman" w:eastAsia="Times New Roman" w:hAnsi="Times New Roman"/>
          <w:sz w:val="16"/>
          <w:szCs w:val="16"/>
          <w:color w:val="auto"/>
        </w:rPr>
      </w:pPr>
    </w:p>
    <w:p>
      <w:pPr>
        <w:ind w:left="740" w:right="319" w:hanging="285"/>
        <w:spacing w:after="0" w:line="266"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maintaining relationships with contract research organizations (CROs) and clinical sites for the clinical development of our product candidates, and ability of such CROs and clinical sites to comply with clinical trial protocols, current GCP and other applicable requirements;</w:t>
      </w:r>
    </w:p>
    <w:p>
      <w:pPr>
        <w:spacing w:after="0" w:line="67" w:lineRule="exact"/>
        <w:rPr>
          <w:rFonts w:ascii="Times New Roman" w:cs="Times New Roman" w:eastAsia="Times New Roman" w:hAnsi="Times New Roman"/>
          <w:sz w:val="16"/>
          <w:szCs w:val="16"/>
          <w:color w:val="auto"/>
        </w:rPr>
      </w:pPr>
    </w:p>
    <w:p>
      <w:pPr>
        <w:ind w:left="740" w:right="679" w:hanging="285"/>
        <w:spacing w:after="0" w:line="312" w:lineRule="auto"/>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demonstrating the safety and efficacy of our product candidates to the satisfaction of applicable regulatory authorities, including by establishing a safety database of a size satisfactory to regulatory authorities;</w:t>
      </w:r>
    </w:p>
    <w:p>
      <w:pPr>
        <w:spacing w:after="0" w:line="31" w:lineRule="exact"/>
        <w:rPr>
          <w:rFonts w:ascii="Times New Roman" w:cs="Times New Roman" w:eastAsia="Times New Roman" w:hAnsi="Times New Roman"/>
          <w:sz w:val="15"/>
          <w:szCs w:val="15"/>
          <w:color w:val="auto"/>
        </w:rPr>
      </w:pPr>
    </w:p>
    <w:p>
      <w:pPr>
        <w:ind w:left="740" w:right="1119" w:hanging="285"/>
        <w:spacing w:after="0" w:line="274"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receipt and maintenance of marketing approvals from applicable regulatory authorities for the initial indication for use and any additional indications, including approvals of NDAs from the FDA, and maintaining any such approvals;</w:t>
      </w:r>
    </w:p>
    <w:p>
      <w:pPr>
        <w:spacing w:after="0" w:line="60" w:lineRule="exact"/>
        <w:rPr>
          <w:rFonts w:ascii="Times New Roman" w:cs="Times New Roman" w:eastAsia="Times New Roman" w:hAnsi="Times New Roman"/>
          <w:sz w:val="16"/>
          <w:szCs w:val="16"/>
          <w:color w:val="auto"/>
        </w:rPr>
      </w:pPr>
    </w:p>
    <w:p>
      <w:pPr>
        <w:ind w:left="740" w:right="199" w:hanging="285"/>
        <w:spacing w:after="0" w:line="261"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relationships with our third-party manufacturers and their ability to comply with current Good Manufacturing Practice (cGMP) requirements as well as making arrangements with our third-party manufacturers for, or establishing our own, clinical or commercial manufacturing capabilities at a cost and scale sufficient to support commercialization;</w:t>
      </w:r>
    </w:p>
    <w:p>
      <w:pPr>
        <w:spacing w:after="0" w:line="71" w:lineRule="exact"/>
        <w:rPr>
          <w:rFonts w:ascii="Times New Roman" w:cs="Times New Roman" w:eastAsia="Times New Roman" w:hAnsi="Times New Roman"/>
          <w:sz w:val="16"/>
          <w:szCs w:val="16"/>
          <w:color w:val="auto"/>
        </w:rPr>
      </w:pPr>
    </w:p>
    <w:p>
      <w:pPr>
        <w:ind w:left="740" w:right="519" w:hanging="285"/>
        <w:spacing w:after="0" w:line="282"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establishing commercial capabilities and launching commercial sales of our product candidates, if and when approved, whether alone or in collaboration with others;</w:t>
      </w:r>
    </w:p>
    <w:p>
      <w:pPr>
        <w:spacing w:after="0" w:line="53" w:lineRule="exact"/>
        <w:rPr>
          <w:rFonts w:ascii="Times New Roman" w:cs="Times New Roman" w:eastAsia="Times New Roman" w:hAnsi="Times New Roman"/>
          <w:sz w:val="16"/>
          <w:szCs w:val="16"/>
          <w:color w:val="auto"/>
        </w:rPr>
      </w:pPr>
    </w:p>
    <w:p>
      <w:pPr>
        <w:ind w:left="740" w:right="1099" w:hanging="285"/>
        <w:spacing w:after="0" w:line="297"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establishing, maintaining and enforcing patent and any potential trade secret protection or regulatory exclusivity for our product candidates;</w:t>
      </w:r>
    </w:p>
    <w:p>
      <w:pPr>
        <w:spacing w:after="0" w:line="41"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maintaining an acceptable safety profile of our product candidates following regulatory approval, if any;</w:t>
      </w:r>
    </w:p>
    <w:p>
      <w:pPr>
        <w:spacing w:after="0" w:line="103" w:lineRule="exact"/>
        <w:rPr>
          <w:rFonts w:ascii="Times New Roman" w:cs="Times New Roman" w:eastAsia="Times New Roman" w:hAnsi="Times New Roman"/>
          <w:sz w:val="16"/>
          <w:szCs w:val="16"/>
          <w:color w:val="auto"/>
        </w:rPr>
      </w:pPr>
    </w:p>
    <w:p>
      <w:pPr>
        <w:ind w:left="740" w:right="719" w:hanging="285"/>
        <w:spacing w:after="0" w:line="297" w:lineRule="auto"/>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maintaining and growing an organization of people who can develop and, if approved, commercialize our product candidates, if approved; and</w:t>
      </w:r>
    </w:p>
    <w:p>
      <w:pPr>
        <w:spacing w:after="0" w:line="41"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acceptance of our product candidates, if approved, by patients, the medical community and third-party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19" w:firstLine="292"/>
        <w:spacing w:after="0" w:line="329" w:lineRule="auto"/>
        <w:rPr>
          <w:sz w:val="20"/>
          <w:szCs w:val="20"/>
          <w:color w:val="auto"/>
        </w:rPr>
      </w:pPr>
      <w:r>
        <w:rPr>
          <w:rFonts w:ascii="Times New Roman" w:cs="Times New Roman" w:eastAsia="Times New Roman" w:hAnsi="Times New Roman"/>
          <w:sz w:val="17"/>
          <w:szCs w:val="17"/>
          <w:color w:val="auto"/>
        </w:rPr>
        <w:t>If we are unable to develop, receive marketing approval for and successfully commercialize our product candidates, or if we experience delays as a result of any of the above factors or otherwise, our business would be significantly harmed.</w:t>
      </w:r>
    </w:p>
    <w:p>
      <w:pPr>
        <w:spacing w:after="0" w:line="122"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of new biopharmaceutical products involves a lengthy and expensive process with uncertain timelines and outcomes, and results of prior clinical trials and studies of our product candidates are not necessarily predictive of future results. Our product candidates may not achieve favorable results in our clinical trials or receive regulatory approval on a timely basis, if at all.</w:t>
      </w:r>
    </w:p>
    <w:p>
      <w:pPr>
        <w:spacing w:after="0" w:line="17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Clinical and preclinical development of new biopharmaceutical candidates is expensive and can take many years to complete, and its outcome is inherently uncertain. We cannot guarantee that any clinical trials or nonclinical studies will be conducted as planned or completed on schedule, if at all, and failure or delays can occur at any time during the trial or study process. Despite promising preclinical or clinical results, any product candidate can unexpectedly fail at any stage of development. The historical failure rate for product candidates in our industry is high, particularly in the earlier stages of development.</w:t>
      </w:r>
    </w:p>
    <w:p>
      <w:pPr>
        <w:spacing w:after="0" w:line="187" w:lineRule="exact"/>
        <w:rPr>
          <w:sz w:val="20"/>
          <w:szCs w:val="20"/>
          <w:color w:val="auto"/>
        </w:rPr>
      </w:pPr>
    </w:p>
    <w:p>
      <w:pPr>
        <w:ind w:left="120" w:right="199" w:firstLine="292"/>
        <w:spacing w:after="0" w:line="256"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product candidates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We do not know how our product candidates will perform in on-going and future clinical trials. It is not uncommon to observe results in clinical trials that are unexpected based on earlier clinical trials and preclinical studies, and many product candidates fail in clinical trials despite very promising early results. Furthermore, although firmonertinib is currently approved and commercially distributed by Allist in China as a first-line therapy to treat classical EGFRm NSCLC based on successful clinical trials conducted within China, there is no guarantee that we will be able to replicate all the results of any prior trials in the indications and doses we are exploring in our on-going and future clinical trials or even if we do, whether such results would lead to approval of the product candidate by the FDA or other health authorities. Moreover, preclinical and clinical data are often susceptible to varying interpretations and analyses. A number of companies in the biopharmaceutical and biotechnology industries have suffered significant setbacks in clinical development even after achieving promising results in earlier studies. Based upon negative or inconclusive results, we or any future collaborator may decide, or regulators may require us, to conduct additional nonclinical studies or clinical trials or delay our ongoing or future clinical trials, which would cause us to incur additional operating expenses and delays and may not be sufficient to support regulatory approval on a timely basis or at all.</w:t>
      </w:r>
    </w:p>
    <w:p>
      <w:pPr>
        <w:spacing w:after="0" w:line="184"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a result, we cannot be certain that our ongoing and planned clinical trials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results of operations and prospects.</w:t>
      </w:r>
    </w:p>
    <w:p>
      <w:pPr>
        <w:spacing w:after="0" w:line="176" w:lineRule="exact"/>
        <w:rPr>
          <w:sz w:val="20"/>
          <w:szCs w:val="20"/>
          <w:color w:val="auto"/>
        </w:rPr>
      </w:pPr>
    </w:p>
    <w:p>
      <w:pPr>
        <w:ind w:left="60" w:right="339"/>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p>
      <w:pPr>
        <w:spacing w:after="0" w:line="167" w:lineRule="exact"/>
        <w:rPr>
          <w:sz w:val="20"/>
          <w:szCs w:val="20"/>
          <w:color w:val="auto"/>
        </w:rPr>
      </w:pPr>
    </w:p>
    <w:p>
      <w:pPr>
        <w:ind w:left="120" w:right="159" w:firstLine="292"/>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for their intended use(s) in humans. Before we can initiate clinical trials for any future product candidates, we must submit the results of nonclinical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nonclinical studies for any product candidate before it allows us to initiate clinical trials under any IND or similar regulatory submission, which may lead to delays and increase the costs of our nonclinical development programs. For example, such authorities may ask us to collect more clinical data prior to permitting us to</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239"/>
        <w:spacing w:after="0" w:line="263" w:lineRule="auto"/>
        <w:rPr>
          <w:sz w:val="20"/>
          <w:szCs w:val="20"/>
          <w:color w:val="auto"/>
        </w:rPr>
      </w:pPr>
      <w:r>
        <w:rPr>
          <w:rFonts w:ascii="Times New Roman" w:cs="Times New Roman" w:eastAsia="Times New Roman" w:hAnsi="Times New Roman"/>
          <w:sz w:val="18"/>
          <w:szCs w:val="18"/>
          <w:color w:val="auto"/>
        </w:rPr>
        <w:t>participate in the adjuvant study of firmonertinib initiated by Allist or to initiate another such study. Moreover, even if we commence clinical trials, issues relating to the safety and efficacy of current or future drug candidates may arise that could cause regulatory authorities to suspend, delay, or terminate such clinical trials. Any such delays in the commencement or completion, or the termination or suspension, of our ongoing and planned clinical trials or nonclinical studies for our product candidates, and any future product candidates could significantly affect our product development timelines and product development costs and harm our financial position.</w:t>
      </w:r>
    </w:p>
    <w:p>
      <w:pPr>
        <w:spacing w:after="0" w:line="178" w:lineRule="exact"/>
        <w:rPr>
          <w:sz w:val="20"/>
          <w:szCs w:val="20"/>
          <w:color w:val="auto"/>
        </w:rPr>
      </w:pPr>
    </w:p>
    <w:p>
      <w:pPr>
        <w:jc w:val="both"/>
        <w:ind w:left="120" w:right="499" w:firstLine="292"/>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and nonclinical studies will begin on time or be completed on schedule, if at all. The commencement, data readouts and completion of clinical trials and nonclinical studies can be delayed for a number of reasons, including delays related to:</w:t>
      </w:r>
    </w:p>
    <w:p>
      <w:pPr>
        <w:spacing w:after="0" w:line="187" w:lineRule="exact"/>
        <w:rPr>
          <w:sz w:val="20"/>
          <w:szCs w:val="20"/>
          <w:color w:val="auto"/>
        </w:rPr>
      </w:pPr>
    </w:p>
    <w:p>
      <w:pPr>
        <w:ind w:left="700" w:right="299" w:hanging="245"/>
        <w:spacing w:after="0" w:line="284" w:lineRule="auto"/>
        <w:tabs>
          <w:tab w:leader="none" w:pos="74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inability to obtain animals or materials to initiate and generate sufficient nonclinical,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60" w:lineRule="exact"/>
        <w:rPr>
          <w:rFonts w:ascii="Times New Roman" w:cs="Times New Roman" w:eastAsia="Times New Roman" w:hAnsi="Times New Roman"/>
          <w:sz w:val="16"/>
          <w:szCs w:val="16"/>
          <w:color w:val="auto"/>
        </w:rPr>
      </w:pPr>
    </w:p>
    <w:p>
      <w:pPr>
        <w:ind w:left="740" w:right="1279" w:hanging="285"/>
        <w:spacing w:after="0" w:line="297"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41" w:lineRule="exact"/>
        <w:rPr>
          <w:rFonts w:ascii="Times New Roman" w:cs="Times New Roman" w:eastAsia="Times New Roman" w:hAnsi="Times New Roman"/>
          <w:sz w:val="16"/>
          <w:szCs w:val="16"/>
          <w:color w:val="auto"/>
        </w:rPr>
      </w:pPr>
    </w:p>
    <w:p>
      <w:pPr>
        <w:ind w:left="740" w:right="85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53" w:lineRule="exact"/>
        <w:rPr>
          <w:rFonts w:ascii="Times New Roman" w:cs="Times New Roman" w:eastAsia="Times New Roman" w:hAnsi="Times New Roman"/>
          <w:sz w:val="16"/>
          <w:szCs w:val="16"/>
          <w:color w:val="auto"/>
        </w:rPr>
      </w:pPr>
    </w:p>
    <w:p>
      <w:pPr>
        <w:ind w:left="740" w:right="67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6"/>
          <w:szCs w:val="16"/>
          <w:color w:val="auto"/>
        </w:rPr>
      </w:pPr>
    </w:p>
    <w:p>
      <w:pPr>
        <w:ind w:left="740" w:right="35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approval from one or more institutional review boards (IRBs) or ethics committees (EC) responsible for the oversight of human subjects research conducted at clinical trial sites;</w:t>
      </w:r>
    </w:p>
    <w:p>
      <w:pPr>
        <w:spacing w:after="0" w:line="53" w:lineRule="exact"/>
        <w:rPr>
          <w:rFonts w:ascii="Times New Roman" w:cs="Times New Roman" w:eastAsia="Times New Roman" w:hAnsi="Times New Roman"/>
          <w:sz w:val="16"/>
          <w:szCs w:val="16"/>
          <w:color w:val="auto"/>
        </w:rPr>
      </w:pPr>
    </w:p>
    <w:p>
      <w:pPr>
        <w:ind w:left="740" w:right="93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subjects, or withdrawing their approval of the trial;</w:t>
      </w:r>
    </w:p>
    <w:p>
      <w:pPr>
        <w:spacing w:after="0" w:line="5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or amendments to the clinical trial protocol;</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6"/>
          <w:szCs w:val="16"/>
          <w:color w:val="auto"/>
        </w:rPr>
      </w:pPr>
    </w:p>
    <w:p>
      <w:pPr>
        <w:ind w:left="740" w:right="109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53" w:lineRule="exact"/>
        <w:rPr>
          <w:rFonts w:ascii="Times New Roman" w:cs="Times New Roman" w:eastAsia="Times New Roman" w:hAnsi="Times New Roman"/>
          <w:sz w:val="16"/>
          <w:szCs w:val="16"/>
          <w:color w:val="auto"/>
        </w:rPr>
      </w:pPr>
    </w:p>
    <w:p>
      <w:pPr>
        <w:ind w:left="740" w:right="339" w:hanging="285"/>
        <w:spacing w:after="0" w:line="274"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raw materials for manufacturing sufficient quantities of our product candidates, or obtaining sufficient quantities of combination therapies or other materials needed for use in clinical trials and nonclinical studies;</w:t>
      </w:r>
    </w:p>
    <w:p>
      <w:pPr>
        <w:spacing w:after="0" w:line="60"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adequate materials for packaging clinical trial material;</w:t>
      </w:r>
    </w:p>
    <w:p>
      <w:pPr>
        <w:spacing w:after="0" w:line="103" w:lineRule="exact"/>
        <w:rPr>
          <w:rFonts w:ascii="Times New Roman" w:cs="Times New Roman" w:eastAsia="Times New Roman" w:hAnsi="Times New Roman"/>
          <w:sz w:val="16"/>
          <w:szCs w:val="16"/>
          <w:color w:val="auto"/>
        </w:rPr>
      </w:pPr>
    </w:p>
    <w:p>
      <w:pPr>
        <w:ind w:left="740" w:right="699" w:hanging="285"/>
        <w:spacing w:after="0" w:line="297"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expiration of the shelf life of clinical material for use in clinical trials prior to the enrollment of any of our clinical trials;</w:t>
      </w:r>
    </w:p>
    <w:p>
      <w:pPr>
        <w:spacing w:after="0" w:line="41" w:lineRule="exact"/>
        <w:rPr>
          <w:rFonts w:ascii="Times New Roman" w:cs="Times New Roman" w:eastAsia="Times New Roman" w:hAnsi="Times New Roman"/>
          <w:sz w:val="16"/>
          <w:szCs w:val="16"/>
          <w:color w:val="auto"/>
        </w:rPr>
      </w:pPr>
    </w:p>
    <w:p>
      <w:pPr>
        <w:ind w:left="740" w:right="559" w:hanging="285"/>
        <w:spacing w:after="0" w:line="266"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 up, including subjects failing to remain in our trials due to movement restrictions, health reasons or otherwise resulting from any public health concerns, such as COVID-19 or measles;</w:t>
      </w:r>
    </w:p>
    <w:p>
      <w:pPr>
        <w:spacing w:after="0" w:line="67" w:lineRule="exact"/>
        <w:rPr>
          <w:rFonts w:ascii="Times New Roman" w:cs="Times New Roman" w:eastAsia="Times New Roman" w:hAnsi="Times New Roman"/>
          <w:sz w:val="16"/>
          <w:szCs w:val="16"/>
          <w:color w:val="auto"/>
        </w:rPr>
      </w:pPr>
    </w:p>
    <w:p>
      <w:pPr>
        <w:ind w:left="740" w:right="719" w:hanging="285"/>
        <w:spacing w:after="0" w:line="282"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individuals choosing an alternative product for the indications for which we are developing our current or future product candidates, or participating in competing clinical trials;</w:t>
      </w:r>
    </w:p>
    <w:p>
      <w:pPr>
        <w:spacing w:after="0" w:line="53" w:lineRule="exact"/>
        <w:rPr>
          <w:rFonts w:ascii="Times New Roman" w:cs="Times New Roman" w:eastAsia="Times New Roman" w:hAnsi="Times New Roman"/>
          <w:sz w:val="16"/>
          <w:szCs w:val="16"/>
          <w:color w:val="auto"/>
        </w:rPr>
      </w:pPr>
    </w:p>
    <w:p>
      <w:pPr>
        <w:ind w:left="740" w:right="959" w:hanging="285"/>
        <w:spacing w:after="0" w:line="297"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lack of adequate funding to continue the clinical trials, nonclinical studies, manufacturing or incurring greater costs than we anticipate;</w:t>
      </w:r>
    </w:p>
    <w:p>
      <w:pPr>
        <w:spacing w:after="0" w:line="41"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research subjects experiencing severe or serious unexpected treatment-related adverse effects;</w:t>
      </w:r>
    </w:p>
    <w:p>
      <w:pPr>
        <w:spacing w:after="0" w:line="103" w:lineRule="exact"/>
        <w:rPr>
          <w:rFonts w:ascii="Times New Roman" w:cs="Times New Roman" w:eastAsia="Times New Roman" w:hAnsi="Times New Roman"/>
          <w:sz w:val="16"/>
          <w:szCs w:val="16"/>
          <w:color w:val="auto"/>
        </w:rPr>
      </w:pPr>
    </w:p>
    <w:p>
      <w:pPr>
        <w:ind w:left="740" w:right="579" w:hanging="285"/>
        <w:spacing w:after="0" w:line="297" w:lineRule="auto"/>
        <w:tabs>
          <w:tab w:leader="none" w:pos="7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our current or future product candidates;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right="579" w:hanging="285"/>
        <w:spacing w:after="0" w:line="297" w:lineRule="auto"/>
        <w:tabs>
          <w:tab w:leader="none" w:pos="7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4" w:lineRule="exact"/>
        <w:rPr>
          <w:rFonts w:ascii="Times New Roman" w:cs="Times New Roman" w:eastAsia="Times New Roman" w:hAnsi="Times New Roman"/>
          <w:sz w:val="16"/>
          <w:szCs w:val="16"/>
          <w:color w:val="auto"/>
        </w:rPr>
      </w:pPr>
    </w:p>
    <w:p>
      <w:pPr>
        <w:ind w:left="740" w:right="439" w:hanging="285"/>
        <w:spacing w:after="0" w:line="266" w:lineRule="auto"/>
        <w:tabs>
          <w:tab w:leader="none" w:pos="7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(CMO), as a result of changes in U.S. legislation or otherwise, delays or failure by our CMOs or us to make any necessary changes to such manufacturing process, or failure of our CMOs to produce clinical trial materials in accordance with cGMP regulations or other applicable requirements; and</w:t>
      </w:r>
    </w:p>
    <w:p>
      <w:pPr>
        <w:spacing w:after="0" w:line="54"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117" w:lineRule="exact"/>
        <w:rPr>
          <w:sz w:val="20"/>
          <w:szCs w:val="20"/>
          <w:color w:val="auto"/>
        </w:rPr>
      </w:pPr>
    </w:p>
    <w:p>
      <w:pPr>
        <w:ind w:left="120" w:right="439" w:firstLine="292"/>
        <w:spacing w:after="0" w:line="282" w:lineRule="auto"/>
        <w:rPr>
          <w:sz w:val="20"/>
          <w:szCs w:val="20"/>
          <w:color w:val="auto"/>
        </w:rPr>
      </w:pPr>
      <w:r>
        <w:rPr>
          <w:rFonts w:ascii="Times New Roman" w:cs="Times New Roman" w:eastAsia="Times New Roman" w:hAnsi="Times New Roman"/>
          <w:sz w:val="18"/>
          <w:szCs w:val="18"/>
          <w:color w:val="auto"/>
        </w:rPr>
        <w:t>In addition, disruptions caused by future public health concerns may increase the likelihood that we encounter such difficulties or delays in initiating, enrolling, conducting or completing our planned and ongoing clinical trials.</w:t>
      </w:r>
    </w:p>
    <w:p>
      <w:pPr>
        <w:spacing w:after="0" w:line="175"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in whole or in part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other regulatory requirements or our clinical trial protocols, inspection of the clinical trial operations or trial site by the FDA or comparable foreign regulatory authorities resulting in the imposition of a clinical hold or other adverse findings,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IRBs for reexamination, which may impact the costs, timing or successful completion of a clinical trial.</w:t>
      </w:r>
    </w:p>
    <w:p>
      <w:pPr>
        <w:spacing w:after="0" w:line="176" w:lineRule="exact"/>
        <w:rPr>
          <w:sz w:val="20"/>
          <w:szCs w:val="20"/>
          <w:color w:val="auto"/>
        </w:rPr>
      </w:pPr>
    </w:p>
    <w:p>
      <w:pPr>
        <w:ind w:left="120" w:right="199" w:firstLine="292"/>
        <w:spacing w:after="0" w:line="259"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has been done for firmonertinib and intended to be done in the future for firmonertinib and ARR-217 or any other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civil unrest, relevant to such foreign countries.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results.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8" w:lineRule="exact"/>
        <w:rPr>
          <w:sz w:val="20"/>
          <w:szCs w:val="20"/>
          <w:color w:val="auto"/>
        </w:rPr>
      </w:pPr>
    </w:p>
    <w:p>
      <w:pPr>
        <w:ind w:left="120" w:right="219" w:firstLine="292"/>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or suspension of, or a delay in the commencement or completion of, clinical trials, whether in whole or in part, may also ultimately lead to the denial of regulatory approval of a product candidate. We may make formulation or manufacturing changes to our current or future product candidates as a result of changes in U.S. legislation or otherwise, in which case we may need to conduct additional nonclinical studies or clinical trials to bridge our modified product candidates to earlier versions. Any resulting delays to our clinical trials could shorten any period during which we may have the exclusive right to commercialize our product candidates. In such cases, our competitors may be able to bring products to market before we do, and the commercial viability of our current or future product candidates could be significantly reduced. Any of these occurrences may harm our business, financial condition and prospects.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firmonertinib, the conditions which we may evaluate include limited patient pools from which to draw. In some cases, patient populations are located at specific academic sites focused on such indications, which often host multiple competing clinical trials. Potential patients for any planned clinical trials may not be adequately diagnosed or identified with the diseases that we are targeting or may not meet the entry criteria for such trials. We also may encounter difficulties in identifying and enrolling patients with a stage of disease appropriate for our planned clinical trials or in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spacing w:after="0" w:line="19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further development and potential marketing approval of our product candidates. Even once enrolled we may be unable to retain a sufficient number of patients to complete any of our trials.</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p>
      <w:pPr>
        <w:spacing w:after="0" w:line="180"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targeted patient population;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therapies for the disease or condition under investigation;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body of safety and efficacy data for the product candidate;</w:t>
      </w:r>
    </w:p>
    <w:p>
      <w:pPr>
        <w:spacing w:after="0" w:line="117"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nature of competing treatments and ongoing clinical trials of competing therapies for the same indication;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adequately monitor patients during and after treatment;</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will drop out of a trial before completing all site visits;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travel or quarantine policies, or other factors, including those related to COVID-19 or future pandemics or epidemics; and</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approved or investigational therapies, including any products that may be approved for, or any product candidates under investigation for, the indications we are investigating.</w:t>
      </w:r>
    </w:p>
    <w:p>
      <w:pPr>
        <w:spacing w:after="0" w:line="6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our product candidate or any negative results a competitor may report in clinical trials of the competitor’s product candidate in the same class, may make it difficult or impossible to recruit and retain patients in other clinical trials of our product candidate.</w:t>
      </w:r>
    </w:p>
    <w:p>
      <w:pPr>
        <w:spacing w:after="0" w:line="18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for any reason, the integrity of data from our clinical trials may be compromised or not accepted by the FDA or applicable foreign authorities, which would represent a significant setback for the applicable program. In addition, we rely on, and will continue to rely on, CROs and clinical trial sites to ensure proper and timely conduct of our clinical trials and future clinical trials and, while we intend to enter into agreements governing their services, we will be limited in our ability to compel their actual performance. Such delays or failures could adversely affect our business, operating results and prospects.</w:t>
      </w:r>
    </w:p>
    <w:p>
      <w:pPr>
        <w:spacing w:after="0" w:line="19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79" w:lineRule="exact"/>
        <w:rPr>
          <w:sz w:val="20"/>
          <w:szCs w:val="20"/>
          <w:color w:val="auto"/>
        </w:rPr>
      </w:pPr>
    </w:p>
    <w:p>
      <w:pPr>
        <w:ind w:left="60" w:right="33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Use of our current or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p>
    <w:p>
      <w:pPr>
        <w:spacing w:after="0" w:line="159" w:lineRule="exact"/>
        <w:rPr>
          <w:sz w:val="20"/>
          <w:szCs w:val="20"/>
          <w:color w:val="auto"/>
        </w:rPr>
      </w:pPr>
    </w:p>
    <w:p>
      <w:pPr>
        <w:ind w:left="120" w:right="199" w:firstLine="292"/>
        <w:spacing w:after="0" w:line="256" w:lineRule="auto"/>
        <w:rPr>
          <w:sz w:val="20"/>
          <w:szCs w:val="20"/>
          <w:color w:val="auto"/>
        </w:rPr>
      </w:pPr>
      <w:r>
        <w:rPr>
          <w:rFonts w:ascii="Times New Roman" w:cs="Times New Roman" w:eastAsia="Times New Roman" w:hAnsi="Times New Roman"/>
          <w:sz w:val="18"/>
          <w:szCs w:val="18"/>
          <w:color w:val="auto"/>
        </w:rPr>
        <w:t>As is the case with biopharmaceuticals generally, adverse side effects associated with the use of firmonertinib have been observed and it is likely there may be adverse side effects with our other product candidates and any future product candidates we may develop. Results of our ongoing and future clinical trials of firmonertinib or other product candidates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partially or completely halt clinical trials and could result in a restrictive prescription drug label, post-approval requirements, or lead to the delay of the planned clinical development, or the delay or denial of regulatory approval by the FDA or comparable foreign regulatory authorities. Drug-related side effects could also affect patient recruitment or the ability of enrolled patients to complete the trial or result in potential product liability claims. Any of these occurrences could severely harm our business, prospects, operating results and financial condition. The severity of adverse events (AEs) is described by grade on a scale of increasing severity from Grade 1 (mild), Grade 2 (moderate), Grade 3 (severe), Grade 4 (life-threatening) and Grade 5 (death). Serious adverse events (SAEs) are adverse events that are life threatening, require or prolong hospitalization, result in persistent or significant disability/incapacity, result in congenital anomalies or birth defects, or any other medical event which investigators judge to represent significant hazards. It should be noted that “Severe” and “Serious” are not synonymous as not all AEs that are severe (Grade 3) meet the criteria for SAE while Grade 4 (life-threatening) and Grade 5 (death) AEs are SAEs. AEs and SAEs that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8"/>
          <w:szCs w:val="18"/>
          <w:color w:val="auto"/>
        </w:rPr>
        <w:t>determined to be related to the drug(s) being tested are reported as TRAEs and TRSAEs. TRAEs leading to discontinuation of study drug(s) are commonly reported to indicate the manageability of treatment-related toxicities. In the FURLONG trial, TRSAEs were observed in ten out of 178 treated patients and six out of 178 patients discontinued participation in the trial as a result of TRAEs. In the FAVOUR trial, as of the December 5, 2024 data cut-off date, TRSAEs were observed in seven out of 90 of the treated patients and three out of 90 patients discontinued participation in the trial as a result of TRAEs. The most frequent TRAEs (≥20%) in the FAVOUR trial as of December 5, 2024 were diarrhea, anemia, aspartate aminotransferase increased, alanine aminotransferase increased, blood creatinine increased, mouth ulceration, rash, white blood cell count decreased. Isolated cases of Grade ≥3 reversible hepatic transaminases accompanied with increased total bilirubin have been observed at firmonertinib dose levels higher than 80 mg daily. In the FURTHER trial, based on data as of July 3, 2025, TRSAEs were observed in eleven out of 116 of the treated patients and 8 out of 116 patients discontinued participation in the trial as a result of TRAEs. In the Furmo-003 trial (a phase 2 trial conducted by Allist in China in EGFRm NSCLC patients with exon 20 insertion mutations on/after platinum-based therapy), based on data as of September 30, 2025, TRSAEs were observed in 11 out of 71 patients treated with firmonertinib, and four out of 71 patients discontinued study treatment due to TRAEs. Overall, the most common TRSAEs (defined as ≥1%), across the FURLONG, FAVOUR, Furmo-003 and FURTHER trials were platelet count decreased, 1.3% (6 out of 455), pneumonitis/ILD, 1.1% (5 out of 455), and aspartate aminotransferase increased, 1.1% (5 out of 455). The discontinuation rate due to TRAEs across the FURLONG, FAVOUR, Furmo-003 and FURTHER trials was 4.6% (21 out of 455). See “Business — Firmonertinib: Our Lead Development Candidate” for additional information. See “Business — Firmonertinib: Our Lead Development Candidate” for additional information.</w:t>
      </w:r>
    </w:p>
    <w:p>
      <w:pPr>
        <w:spacing w:after="0" w:line="193" w:lineRule="exact"/>
        <w:rPr>
          <w:sz w:val="20"/>
          <w:szCs w:val="20"/>
          <w:color w:val="auto"/>
        </w:rPr>
      </w:pPr>
    </w:p>
    <w:p>
      <w:pPr>
        <w:ind w:left="120" w:right="259" w:firstLine="292"/>
        <w:spacing w:after="0" w:line="257" w:lineRule="auto"/>
        <w:rPr>
          <w:sz w:val="20"/>
          <w:szCs w:val="20"/>
          <w:color w:val="auto"/>
        </w:rPr>
      </w:pPr>
      <w:r>
        <w:rPr>
          <w:rFonts w:ascii="Times New Roman" w:cs="Times New Roman" w:eastAsia="Times New Roman" w:hAnsi="Times New Roman"/>
          <w:sz w:val="18"/>
          <w:szCs w:val="18"/>
          <w:color w:val="auto"/>
        </w:rPr>
        <w:t>Moreover, if our current or future product candidates are associated with undesirable side effects in clinical trials or demonstrate characteristics that are unexpected in preclinical studies or clinical trials when used alone or in combination with other approved products or investigational new drugs, we may elect to interrupt, delay, or abandon their development in whole or in part or limit their development to more narrow uses, lower doses, or subpopulations in which the undesirable side effects or other characteristics are less prevalent, less severe or more acceptable from a risk-benefit perspective, which may limit the potential approval and commercial expectations for the product candidate if approved. We may also be required to modify our development and clinical trial plans based on findings in our ongoing clinical trials or based on the findings of our competitors’ ongoing clinical trials of molecules in the same class. Many compounds that showed promise initially have later been found to cause side effects that prevented further development of the compounds.</w:t>
      </w:r>
    </w:p>
    <w:p>
      <w:pPr>
        <w:spacing w:after="0" w:line="200" w:lineRule="exact"/>
        <w:rPr>
          <w:sz w:val="20"/>
          <w:szCs w:val="20"/>
          <w:color w:val="auto"/>
        </w:rPr>
      </w:pPr>
    </w:p>
    <w:p>
      <w:pPr>
        <w:ind w:left="120" w:right="299" w:firstLine="292"/>
        <w:spacing w:after="0" w:line="282" w:lineRule="auto"/>
        <w:rPr>
          <w:sz w:val="20"/>
          <w:szCs w:val="20"/>
          <w:color w:val="auto"/>
        </w:rPr>
      </w:pPr>
      <w:r>
        <w:rPr>
          <w:rFonts w:ascii="Times New Roman" w:cs="Times New Roman" w:eastAsia="Times New Roman" w:hAnsi="Times New Roman"/>
          <w:sz w:val="18"/>
          <w:szCs w:val="18"/>
          <w:color w:val="auto"/>
        </w:rPr>
        <w:t>If our current or future product candidates receive marketing approval, and we or others later identify undesirable side effects caused by such product, a number of potentially significant negative consequences could result, including:</w:t>
      </w:r>
    </w:p>
    <w:p>
      <w:pPr>
        <w:spacing w:after="0" w:line="162" w:lineRule="exact"/>
        <w:rPr>
          <w:sz w:val="20"/>
          <w:szCs w:val="20"/>
          <w:color w:val="auto"/>
        </w:rPr>
      </w:pPr>
    </w:p>
    <w:p>
      <w:pPr>
        <w:ind w:left="740" w:right="419" w:hanging="285"/>
        <w:spacing w:after="0" w:line="282" w:lineRule="auto"/>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6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03" w:lineRule="exact"/>
        <w:rPr>
          <w:rFonts w:ascii="Times New Roman" w:cs="Times New Roman" w:eastAsia="Times New Roman" w:hAnsi="Times New Roman"/>
          <w:sz w:val="16"/>
          <w:szCs w:val="16"/>
          <w:color w:val="auto"/>
        </w:rPr>
      </w:pPr>
    </w:p>
    <w:p>
      <w:pPr>
        <w:ind w:left="740" w:right="919" w:hanging="285"/>
        <w:spacing w:after="0" w:line="297" w:lineRule="auto"/>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41" w:lineRule="exact"/>
        <w:rPr>
          <w:rFonts w:ascii="Times New Roman" w:cs="Times New Roman" w:eastAsia="Times New Roman" w:hAnsi="Times New Roman"/>
          <w:sz w:val="16"/>
          <w:szCs w:val="16"/>
          <w:color w:val="auto"/>
        </w:rPr>
      </w:pPr>
    </w:p>
    <w:p>
      <w:pPr>
        <w:ind w:left="740" w:right="679" w:hanging="285"/>
        <w:spacing w:after="0" w:line="282" w:lineRule="auto"/>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conduct post-marketing studies or surveillance studies;</w:t>
      </w:r>
    </w:p>
    <w:p>
      <w:pPr>
        <w:spacing w:after="0" w:line="53" w:lineRule="exact"/>
        <w:rPr>
          <w:rFonts w:ascii="Times New Roman" w:cs="Times New Roman" w:eastAsia="Times New Roman" w:hAnsi="Times New Roman"/>
          <w:sz w:val="16"/>
          <w:szCs w:val="16"/>
          <w:color w:val="auto"/>
        </w:rPr>
      </w:pPr>
    </w:p>
    <w:p>
      <w:pPr>
        <w:ind w:left="740" w:right="899" w:hanging="285"/>
        <w:spacing w:after="0" w:line="282" w:lineRule="auto"/>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5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0" w:right="459" w:firstLine="292"/>
        <w:spacing w:after="0" w:line="274"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particular product candidate, if approved, and could significantly harm our business, results of operations and prospects.</w:t>
      </w:r>
    </w:p>
    <w:p>
      <w:pPr>
        <w:spacing w:after="0" w:line="165"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investigate firmonertinib or our other current product candidates in additional indications. We may expend our limited resources to pursue, acquire or license a new product candidate or a particular indication for our product candidates and fail to capitalize on such product candidates or indications that may be more profitable or for which there is a greater likelihood of success.</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indications for firmonertinib to treat NSCLC. We may fail to generate additional clinical development opportunities for firmonertinib for a number of reasons, including that firmonertinib may, in indications we are seeking or may seek in the future, on further study, be shown to have harmful side effects, limited to no efficacy, or other characteristics that suggest it is unlikely to receive marketing approval and achieve market acceptance in such additional potential indications. Our resource allocation and other decisions may cause us to fail to identify and capitalize on viable potential product candidates or additional indications for firmonertinib. Our spending on current and future research and development programs for new product candidates or additional indications for existing product candidates may not yield any commercially viable product candidates or indications. If we do not accurately evaluate the commercial potential or target market for a particular indication or product candidate, we may fail to develop such product candidate or indication, we may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we may negotiate less advantageous terms for any such arrangements than is optimal.</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develop our product candidates in combination with other therapies, and safety or supply issues with combination-use products may delay or prevent development and approval of our product candidates.</w:t>
      </w:r>
    </w:p>
    <w:p>
      <w:pPr>
        <w:spacing w:after="0" w:line="159" w:lineRule="exact"/>
        <w:rPr>
          <w:sz w:val="20"/>
          <w:szCs w:val="20"/>
          <w:color w:val="auto"/>
        </w:rPr>
      </w:pPr>
    </w:p>
    <w:p>
      <w:pPr>
        <w:ind w:left="120" w:right="239" w:firstLine="292"/>
        <w:spacing w:after="0" w:line="258" w:lineRule="auto"/>
        <w:rPr>
          <w:sz w:val="20"/>
          <w:szCs w:val="20"/>
          <w:color w:val="auto"/>
        </w:rPr>
      </w:pPr>
      <w:r>
        <w:rPr>
          <w:rFonts w:ascii="Times New Roman" w:cs="Times New Roman" w:eastAsia="Times New Roman" w:hAnsi="Times New Roman"/>
          <w:sz w:val="18"/>
          <w:szCs w:val="18"/>
          <w:color w:val="auto"/>
        </w:rPr>
        <w:t>We may in the future develop our product candidates in combination with one or more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The occurrence of any of these risks could result in our own products, if approved, being removed from the market or being less successful commercially.</w:t>
      </w:r>
    </w:p>
    <w:p>
      <w:pPr>
        <w:spacing w:after="0" w:line="185"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marketing approval. The regulations prohibiting the promotion of products for unapproved uses are complex and subject to substantial interpretation by the FDA and other government agencies. In addition, there are additional risks similar to the ones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described for our products currently in development and clinical trials that result from the fact that such cancer therapies are unapproved, such as the potential for serious adverse effects, delay in their clinical trials and lack of FDA approval.</w:t>
      </w:r>
    </w:p>
    <w:p>
      <w:pPr>
        <w:spacing w:after="0" w:line="140"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w:t>
      </w:r>
    </w:p>
    <w:p>
      <w:pPr>
        <w:spacing w:after="0" w:line="172"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Several of the ongoing clinical trials for our lead product candidate, firmonertinib, and an ongoing trial for ARR-217 are being conducted outside the United States, including in China, and we expect to conduct future clinical trials of firmonertinib and our other product candidates outside the United States, including in China. However, the FDA and foreign regulatory equivalents may not accept data from such trials, or may expect proportionately more data from subjects in the United States or the corresponding foreign jurisdiction, in which case our development plans will be delayed, which could materially harm our business.</w:t>
      </w:r>
    </w:p>
    <w:p>
      <w:pPr>
        <w:spacing w:after="0" w:line="186" w:lineRule="exact"/>
        <w:rPr>
          <w:sz w:val="20"/>
          <w:szCs w:val="20"/>
          <w:color w:val="auto"/>
        </w:rPr>
      </w:pPr>
    </w:p>
    <w:p>
      <w:pPr>
        <w:ind w:left="120" w:right="139" w:firstLine="292"/>
        <w:spacing w:after="0" w:line="256" w:lineRule="auto"/>
        <w:rPr>
          <w:sz w:val="20"/>
          <w:szCs w:val="20"/>
          <w:color w:val="auto"/>
        </w:rPr>
      </w:pPr>
      <w:r>
        <w:rPr>
          <w:rFonts w:ascii="Times New Roman" w:cs="Times New Roman" w:eastAsia="Times New Roman" w:hAnsi="Times New Roman"/>
          <w:sz w:val="18"/>
          <w:szCs w:val="18"/>
          <w:color w:val="auto"/>
        </w:rPr>
        <w:t>Several of the ongoing clinical trials for our lead product candidate, firmonertinib, are being conducted both inside and outside of the United States, including in China. Specifically, we have enrolled patients globally in our FURVENT and FURTHER trials and are enrolling patients globally in our ALPACCA trial. Furthermore, our partner Allist is conducting the FAVOUR trial in China. The initial clinical study of ARR-217 is also being conducted in China.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The data from foreign clinical trials must also be representative of the Unites States patient population. Additionally, the FDA’s clinical trial requirements, including sufficient size of patient populations and statistical powering, must be met. In February 2022, the FDA publicly rebuked an oncology product sponsor for submitting a marketing application with Phase III clinical data solely from China. The FDA’s Oncologic Drug Advisory Committee recently noted that the data from a global study of a hematology drug did not appear to be representative of the U.S. population, pointing to apparent differences in results from Asian and Non-Asian regions and proportionally smaller U.S. sample size, the lack of regional stratification in the study design, and potential imbalances in patient characteristics. The FDA subsequently issued a CRL for the drug’s application for marketing authorization. Members of Congress have also raised national security concerns related to U.S. clinical trial sponsors utilizing study sites in China that may be owned or operated by the Chinese military. It remains to be seen whether the current administration and/or the 119th Congress (2025-26) take steps to restrict or limit the conduct of clinical research activities in China or other jurisdictions, or to otherwise require additional due diligence checks or oversight by sponsors.</w:t>
      </w:r>
    </w:p>
    <w:p>
      <w:pPr>
        <w:spacing w:after="0" w:line="18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Many foreign regulatory authorities have similar approval requirements. There can be no assurance that the FDA or any comparable foreign regulatory authority will accept data from trials conducted outside of the U.S. or the applicable jurisdiction, including any trials conducted in China.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Conducting clinical trials outside the United States, particularly in China, also exposes us to additional risks, including risks associated with:</w:t>
      </w:r>
    </w:p>
    <w:p>
      <w:pPr>
        <w:spacing w:after="0" w:line="162"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infectious disease pandemics or epidemics or any other form of future public health emergency;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civil unrest, war or similar events that may jeopardize our ability to commence, conduct or complete a clinical trial and evaluate resulting data.</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120" w:right="219" w:firstLine="292"/>
        <w:spacing w:after="0" w:line="257"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For example, 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Median DOR had not yet been reached, with 90.9% (n=20/22) of patients with confirmed responses remaining on study. We subsequently announced the final analysis of the FURTHER trial, reporting a 16.0 months mPFS with firmonertinib 240 mg by BICR in first-line patients and a confirmed overall response rate (cORR) 68.2%, DOR 14.6 months by BICR in first-line patients, and confirmed CNS responses with firmonertinib including CRs by BICR. Additionally, we reported that the most frequent treatment-related adverse events include diarrhea, hepatic enzyme elevation, rash, stomatitis, and dry skin.</w:t>
      </w:r>
    </w:p>
    <w:p>
      <w:pPr>
        <w:spacing w:after="0" w:line="19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spacing w:after="0" w:line="16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determine not to disclose may ultimately be deemed significant with respect to future decisions, conclusions, views, activities or otherwise regarding a particular product candidate or our business.</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firmonertinib, our product candidates, and any future product candidates may be harmed, which could harm our business, operating results, prospects or financial condition.</w:t>
      </w:r>
    </w:p>
    <w:p>
      <w:pPr>
        <w:spacing w:after="0" w:line="176" w:lineRule="exact"/>
        <w:rPr>
          <w:sz w:val="20"/>
          <w:szCs w:val="20"/>
          <w:color w:val="auto"/>
        </w:rPr>
      </w:pPr>
    </w:p>
    <w:p>
      <w:pPr>
        <w:jc w:val="both"/>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timely submit for and obtain regulatory approval for our product candidates, our business will be substantially harmed.</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We are not permitted to market our product candidates in the United States until we receive regulatory approval of an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spacing w:after="0" w:line="19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comparable foreign regulatory authorities. The FDA or comparable foreign regulatory authorities, as the case may be, may also require us to conduct additional nonclinical studies or clinical trials for our product candidates either prior to or post-approval, or may object to elements of our clinical development program.</w:t>
      </w:r>
    </w:p>
    <w:p>
      <w:pPr>
        <w:spacing w:after="0" w:line="19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62"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7"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3"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3"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such authorities that a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7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Risk Evaluation and Mitigation Strategy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Obtaining and maintaining marketing approval of our product candidates in one jurisdiction does not guarantee that we will be able to obtain or maintain marketing approval in any other jurisdiction. For example, firmonertinib has been approved by the National Medical Products Administration (NMPA) of China and is currently commercially distributed in China by Allist as a first-line treatment of locally advanced or metastatic NSCLC patients with classical EGFRm as well as pre-treated patients with T790M mutations and more recently in patients who have failed first line therapy in Exon20 insertion mutations. Even if the NMPA or a foreign regulatory authority grants marketing approval of one of our product candidates, it does not mean that the FDA or comparable regulatory authorities in other jurisdictions must also approve the manufacturing, marketing and promotion and reimbursement of the product candidate in such countries, including the United States.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nonclinical studies or clinical trials because clinical trials conducted in one jurisdiction may not be accepted by regulatory authorities in other jurisdictions. In many jurisdictions outside the United States, a product candidate also must be approved for reimbursement before it can be offered for sale in that jurisdiction. In some cases, the price that we intend to charge for our future commercial products is also subject to approval.</w:t>
      </w:r>
    </w:p>
    <w:p>
      <w:pPr>
        <w:spacing w:after="0" w:line="19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Firmonertinib has been granted Breakthrough Therapy Designation for the treatment of first-line patients with locally advanced or metastatic EGFRm NSCLC with exon 20 insertion mutations from the FDA and we may seek Breakthrough Therapy Designation for other product candidates in the future. Even if we apply for Breakthrough Therapy Designation in the future, we might not receive such designation, and even if received, such designation may not lead to a faster development or regulatory review or approval process, and does not increase the likelihood that our product candidates will receive marketing approval.</w:t>
      </w:r>
    </w:p>
    <w:p>
      <w:pPr>
        <w:spacing w:after="0" w:line="18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received Breakthrough Therapy Designation for firmonertinib for the treatment of first-line patients with locally advanced or metastatic EGFRm NSCLC with exon 20 insertion mutations from the FDA in October 2023, and we may seek such designation for other product candidates in the future.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Drugs designated as Breakthrough Therapies are also eligible for accelerated approval.</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FDA has discretion to determine whether the statutory criteria have been met and whether to grant a Breakthrough Therapy Designation to a product candidate. Accordingly, even if we believe, after completing early clinical trials, that one of our product candidates meets the criteria for designation as a Breakthrough Therapy, the FDA may disagree and not make such designation. In any event, the receipt of a Breakthrough Therapy Designation for a product candidate may not result in a faster development process, review or approval compared to product candidates considered for approval under conventional FDA procedures and does not change the standard for approval by the FDA. In addition, even after granting Breakthrough Therapy Designation to a product candidate, the FDA may later decide that such product candidates no longer meet the conditions for qualification and withdraw such designation.</w:t>
      </w:r>
    </w:p>
    <w:p>
      <w:pPr>
        <w:spacing w:after="0" w:line="188" w:lineRule="exact"/>
        <w:rPr>
          <w:sz w:val="20"/>
          <w:szCs w:val="20"/>
          <w:color w:val="auto"/>
        </w:rPr>
      </w:pPr>
    </w:p>
    <w:p>
      <w:pPr>
        <w:ind w:left="60" w:right="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Firmonertinib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p>
      <w:pPr>
        <w:spacing w:after="0" w:line="16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January 2022, the FDA granted Fast Track designation to firmonertinib for the treatment of patients with NSCLC harboring activating EGFR or HER2 kinase domain mutations, including exon 20 insertion mutations. If a drug candidate is intended for the treatment of a serious or life-threatening disease or condition and nonclinical or clinical data demonstrate the potential to address an unmet medical need for this disease or condition, a product sponsor may request a Fast Track designation from the FDA.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NDA/BLA is submitted, the application may be eligible for priority review. An NDA/BLA submitted for a Fast Track designated product candidate may also be eligible for rolling review, where the FDA may consider for review sections of the NDA/BLA on a rolling basis before the complete application is submitted, if the sponsor provides a schedule for the submission of the sections of the NDA/BLA, the FDA agrees to accept sections of the application and determines that the schedule is acceptable, and the sponsor pays any required user fees upon submission of the first section of the application.</w:t>
      </w:r>
    </w:p>
    <w:p>
      <w:pPr>
        <w:spacing w:after="0" w:line="19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If we seek Fast Track designation from the FDA, we may not receive it and even if we receive such designation, it does not ensure that we will receive marketing approval or that approval will be granted in any particular time frame. Many product candidates that have received Fast Track designation have ultimately failed to obtain approval. We also may not experience a faster development or regulatory review or approval process with Fast Track designation compared to conventional FDA procedures. In addition, the FDA may withdraw Fast Track designation if it is no longer supported by data from our clinical development program. Fast Track designation alone also does not guarantee qualification for the FDA’s priority review procedures for marketing applications.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though firmonertinib has been granted an Orphan Drug Designation in the United States for the treatment of NSCLC, there can be no guarantee that we will maintain orphan status for the product candidate, that we will be able to secure orphan status for future candidates should we seek such designation, or that we will receive approval for any product candidate with an Orphan Drug Designation or benefit from a period of orphan exclusivity following a future product approval.</w:t>
      </w:r>
    </w:p>
    <w:p>
      <w:pPr>
        <w:spacing w:after="0" w:line="170" w:lineRule="exact"/>
        <w:rPr>
          <w:sz w:val="20"/>
          <w:szCs w:val="20"/>
          <w:color w:val="auto"/>
        </w:rPr>
      </w:pPr>
    </w:p>
    <w:p>
      <w:pPr>
        <w:ind w:left="60" w:right="59" w:firstLine="405"/>
        <w:spacing w:after="0" w:line="253"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or for which there is no reasonable expectation that the cost of developing and making available in the United States a drug or biologic for a disease or condition will be recovered from sales in the United States for that drug or biologic.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or biologic for the same indication for seven years, except in limited circumstances, such as a showing of clinical superiority to the product with orphan drug exclusivity. Even with orphan drug status, exclusive marketing rights in the United States may be limited if we seek FDA marketing approval for an indication broader than the candidate’s orphan designated indication. Additionally, any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w:t>
      </w:r>
    </w:p>
    <w:p>
      <w:pPr>
        <w:spacing w:after="0" w:line="122" w:lineRule="exact"/>
        <w:rPr>
          <w:sz w:val="20"/>
          <w:szCs w:val="20"/>
          <w:color w:val="auto"/>
        </w:rPr>
      </w:pPr>
    </w:p>
    <w:p>
      <w:pPr>
        <w:ind w:left="60" w:right="79" w:firstLine="450"/>
        <w:spacing w:after="0" w:line="253" w:lineRule="auto"/>
        <w:rPr>
          <w:sz w:val="20"/>
          <w:szCs w:val="20"/>
          <w:color w:val="auto"/>
        </w:rPr>
      </w:pPr>
      <w:r>
        <w:rPr>
          <w:rFonts w:ascii="Times New Roman" w:cs="Times New Roman" w:eastAsia="Times New Roman" w:hAnsi="Times New Roman"/>
          <w:sz w:val="18"/>
          <w:szCs w:val="18"/>
          <w:color w:val="auto"/>
        </w:rPr>
        <w:t>We received Orphan Drug Designation for firmonertinib for the treatment of NSCLC with EGFRm or HER2 mutations or HER4 mutations in February 2024, and we may seek orphan status for future indications or product candidates. We are not guaranteed to maintain or receive Orphan Drug Designation for our current or future product candidates, and if our product candidates that were granted Orphan Drug Designation were to lose their status as an orphan or their eligibility for orphan exclusivity upon approval, our business and results of operations could be materially adversely affected. While orphan status for any of our products, if granted or maintained, would provide market exclusivity in the United States for the time periods specified above, we would not be able to exclude other companies from manufacturing and/or selling products using the same active ingredient for the same indication beyond the exclusivity period applicable to our product on the sole basis of orphan drug status. In addition, orphan exclusivity does not block the approval of a different drug or biologic for the same rare disease or condition, nor does it block the approval of the same drug or biologic for different conditions.</w:t>
      </w:r>
    </w:p>
    <w:p>
      <w:pPr>
        <w:spacing w:after="0" w:line="12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may seek to utilize the FDA’s accelerated approval pathway for certain firmonertinib indications and may pursue this pathway for future therapeutic candidates. There is no assurance that, upon receipt of such future marketing application, if any, the FDA will agree to file it and conduct a substantive review of the data or that FDA will agree that we have met the substantial evidence of effectiveness and safety standard necessary to support marketing approval. If unable to obtain approval under the accelerated approval pathway, we may be required to conduct additional nonclinical studies or clinical trials beyond those that we currently contemplate for certain firmonertinib indications, which could increase the expense of obtaining, and delay the receipt of, necessary marketing approvals. Even if we receive accelerated approval from the FDA for certain firmonertinib indications, or for other future therapeutic candidates for which the accelerated approval pathway may be appropriate,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Under the accelerated approval provisions in the FDC Act and the FDA’s implementing regulations, the FDA may grant accelerated approval to a therapeutic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other clinical benefit, taking into account the severity, rarity, or prevalence of the condition and the availability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mortality, or other clinical benefit.</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FDA may not accept any future application for accelerated approval for firmonertinib in NSCLC patients diagnosed with PACC mutations, may not grant marketing approval on a timely basis, or may not grant approval at all. The FDA or foreign regulatory authorities could require us to conduct further studies prior to considering our application or granting approval of any type. We might not be able to fulfill the FDA’s requirements in a timely manner or at all, which would cause delays, or approval might not be granted because our submission is deemed incomplete by the FDA. A failure to obtain accelerated approval or any other form of expedited development, review, or approval for firmonertinib would result in a longer time period to commercialization of firmonertinib, would increase the cost of development of firmonertinib and could harm our competitive position in the marketplace. Following high-profile voluntary withdrawals of accelerated approval indications by several oncology sponsors as a result of post-approval trials failing to verify their drug products’ clinical benefit for those indications, which resulted in December 2022 amendments by Congress to the FDA’s authorities related to accelerated approval, public scrutiny of the accelerated approval pathway is likely to continue and may lead to further legislative and/or administrative changes in the future.</w:t>
      </w:r>
    </w:p>
    <w:p>
      <w:pPr>
        <w:spacing w:after="0" w:line="190" w:lineRule="exact"/>
        <w:rPr>
          <w:sz w:val="20"/>
          <w:szCs w:val="20"/>
          <w:color w:val="auto"/>
        </w:rPr>
      </w:pPr>
    </w:p>
    <w:p>
      <w:pPr>
        <w:ind w:left="120" w:right="179" w:firstLine="292"/>
        <w:spacing w:after="0" w:line="273" w:lineRule="auto"/>
        <w:rPr>
          <w:sz w:val="20"/>
          <w:szCs w:val="20"/>
          <w:color w:val="auto"/>
        </w:rPr>
      </w:pPr>
      <w:r>
        <w:rPr>
          <w:rFonts w:ascii="Times New Roman" w:cs="Times New Roman" w:eastAsia="Times New Roman" w:hAnsi="Times New Roman"/>
          <w:sz w:val="17"/>
          <w:szCs w:val="17"/>
          <w:color w:val="auto"/>
        </w:rPr>
        <w:t>Moreover, even if we receive accelerated approval from the FDA for certain firmonertinib indications, we will be subject to rigorous post-marketing requirements, including the completion of one or more confirmatory post-approval clinical trials to verify the clinical benefit of the product in that patient population, and submission to the FDA of all promotional materials for review prior to their dissemination. The FDA could also seek to withdraw accelerated approval for multiple reasons, including if we fail to conduct any required post-approval study, a post-approval study does not confirm the predicted clinical benefit, other evidence shows that the product is not safe or effective under the conditions of use, or we disseminate promotional materials that are found by the FDA to be false and misleading. Products that receive accelerated approval may be subject to expedited withdrawal procedures if post-approval studies fail to verify the predicted clinical benefit. In addition, as noted above, Congress recently provided the FDA with new statutory authorities to mitigate potential risks to patients from continued marketing of ineffective drugs previously granted accelerated approval. Under these amendments to the FDC Act, the agency may require a sponsor of a product seeking accelerated approval to have a confirmatory trial underway prior to such approval being granted. If we fail to receive accelerated approval for firmonertinib in this patient population or fail to comply with the post-marketing requirements, our business, results of operations, prospects and the price of our common stock may be materially and adversely affected.</w:t>
      </w:r>
    </w:p>
    <w:p>
      <w:pPr>
        <w:spacing w:after="0" w:line="177" w:lineRule="exact"/>
        <w:rPr>
          <w:sz w:val="20"/>
          <w:szCs w:val="20"/>
          <w:color w:val="auto"/>
        </w:rPr>
      </w:pPr>
    </w:p>
    <w:p>
      <w:pPr>
        <w:jc w:val="both"/>
        <w:ind w:left="6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mass layoffs, or global health concerns could hinder their ability to hire, retain or deploy key leadership and other personnel, or otherwise prevent new or modified products from being developed, reviewed, approved or commercialized in a timely manner or at all, which could negatively impact our business or our ability to access the public markets.</w:t>
      </w:r>
    </w:p>
    <w:p>
      <w:pPr>
        <w:spacing w:after="0" w:line="180" w:lineRule="exact"/>
        <w:rPr>
          <w:sz w:val="20"/>
          <w:szCs w:val="20"/>
          <w:color w:val="auto"/>
        </w:rPr>
      </w:pPr>
    </w:p>
    <w:p>
      <w:pPr>
        <w:ind w:left="120" w:right="159" w:firstLine="292"/>
        <w:spacing w:after="0" w:line="256"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medical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including during the fourth quarter of 2025, the U.S. government has shut down several times and certain regulatory agencies, such as the FDA, have had to furlough critical employees and stop critical activities during that period. Additionally, over the past year the FDA has experienced significant and rapid fluctuations in leadership and scientific review personnel, which may be key contributing factors in multiple reported delays in agency decision making on marketing applications and agency requests for additional data that are inconsistent with prior regulatory feedback. The impact of the current administration’s mass layoffs at the agency, as well as at other governmental offices with which we interact is unclear at this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Separately, during the heights of the COVID-19 pandemic, the FDA postponed most inspections of domestic and foreign manufacturing facilities at various points, and regulatory authorities outside the United States adopted similar policy measures. Future emerging infectious disease outbreaks, epidemics or pandemics may lead to such policy and resource prioritization changes in the future. If a prolonged government shutdown or slowdown occurs, or if global health concerns similar to COVID-19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84"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5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2"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authorizations by the FDA and comparable foreign regulatory authorities, and the timing thereof;</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if any; and</w:t>
      </w:r>
    </w:p>
    <w:p>
      <w:pPr>
        <w:spacing w:after="0" w:line="117"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commercial product manufacturing as well as sales and marketing activities.</w:t>
      </w:r>
    </w:p>
    <w:p>
      <w:pPr>
        <w:spacing w:after="0" w:line="16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and our business, results of operations, financial condition and prospects may be adversely affected.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our exclusive licenses with our partners to provide us with intellectual property rights to develop and commercialize our product candidates. Any termination or loss of significant rights under our agreements with our partners would adversely affect our development or commercialization of our product candidates.</w:t>
      </w:r>
    </w:p>
    <w:p>
      <w:pPr>
        <w:spacing w:after="0" w:line="17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Under the Allist License Agreement we have, among other things, secured an exclusive, royalty-bearing, and sublicensable license under certain intellectual property (including patents and know-how) owned or controlled by Allist to develop and commercialize any product containing firmonertinib or any of its salts or derivatives (the Licensed Compound) as an active ingredient of a product (the Licensed Product), which is led by a joint collaboration committee (the Collaboration Committee), comprising of representatives from both Allist and us. We granted Allist a non-exclusive sublicensable license to certain information, data, results and improvements related to the Licensed Product. Either party has the right to terminate the Allist License Agreement, subject to specified cure periods, for the material breach by the other party or the bankruptcy or insolvency of the other party. If the Allist License Agreement is terminated for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reason, including as a result of our failure to meet our obligations under the Allist License Agreement to make any milestone payments or royalties to Allist, our business and operations would be materially harmed.</w:t>
      </w:r>
    </w:p>
    <w:p>
      <w:pPr>
        <w:spacing w:after="0" w:line="16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obligated to pay Allist milestone payments up to an aggregate of $765 million upon the achievement of certain development, regulatory and sales milestone events. In addition, we are obligated to pay Allist tiered royalties based on net sales of Licensed Products. In addition, upon termination of the Allist License Agreement by either Allist or us, (i) if the termination is for any reason other than by us for the material breach by Allist, then we may at our discretion continue to distribute and sell Licensed Products for a reasonably sufficient wind-down period up to 24 months from the termination, in accordance with the Allist License Agreement, and are obligated to continue to make all applicable payments to Allist for the Licensed Products we sell, and (ii) if the termination is by us for the material breach by Allist, then we would have the right to continue under the Allist License Agreement in lieu of the termination but with our milestone and royalty payment obligations substantially reduced. If these payments become due, we may not have sufficient funds available to meet our obligations and our development efforts may be harmed.</w:t>
      </w:r>
    </w:p>
    <w:p>
      <w:pPr>
        <w:spacing w:after="0" w:line="19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Furthermore, we entered into the Allist Collaboration Agreement with Allist to govern the conduct of Global Study. See “Business —  Licenses, Partnerships and Collaborations — Allist Agreements.” Pursuant to the Allist Collaboration Agreement, if either party or both parties wish to jointly conduct a Global Study, one or both parties, as the case may be, will prepare and submit the proposed strategy, internal process timeline, along with other required documents for such proposed Global Study to the Collaboration Committee for its review and approval before the protocol filing with any regulatory authorities. If the Collaboration Committee cannot come to a mutual agreement on the proposed strategy or any other particular matter, this could delay our ability to develop or commercialize firmonertinib, which could have a material adverse effect on our business and operations. Additionally, if we do not receive all of the necessary products, information, reports and data from Allist to which we are entitled under the Allist Collaboration Agreement in a timely manner, our business could be materially harmed.</w:t>
      </w:r>
    </w:p>
    <w:p>
      <w:pPr>
        <w:spacing w:after="0" w:line="19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Reported data or other clinical development announcements by third parties, including Allist, may adversely affect our clinical development plan.</w:t>
      </w:r>
    </w:p>
    <w:p>
      <w:pPr>
        <w:spacing w:after="0" w:line="159" w:lineRule="exact"/>
        <w:rPr>
          <w:sz w:val="20"/>
          <w:szCs w:val="20"/>
          <w:color w:val="auto"/>
        </w:rPr>
      </w:pPr>
    </w:p>
    <w:p>
      <w:pPr>
        <w:ind w:left="120" w:right="239" w:firstLine="292"/>
        <w:spacing w:after="0" w:line="258" w:lineRule="auto"/>
        <w:rPr>
          <w:sz w:val="20"/>
          <w:szCs w:val="20"/>
          <w:color w:val="auto"/>
        </w:rPr>
      </w:pPr>
      <w:r>
        <w:rPr>
          <w:rFonts w:ascii="Times New Roman" w:cs="Times New Roman" w:eastAsia="Times New Roman" w:hAnsi="Times New Roman"/>
          <w:sz w:val="18"/>
          <w:szCs w:val="18"/>
          <w:color w:val="auto"/>
        </w:rPr>
        <w:t>Allist is currently conducting clinical studies in China with firmonertinib, including a Phase 1b trial and a phase 2 trial in EGFRm NSCLC patients with exon 20 insertion mutations. Collaborators of Allist are also conducting additional clinical studies of firmonertinib in a variety of cancers. Allist is also commercializing firmonertinib in China. If announcements by Allist or other third parties with whom we collaborate, or by third parties with whom Allist collaborates, now or in the future, are unfavorable with respect to their clinical trials, or with respect to post-approval monitoring, our clinical development plans may be adversely affected. Further, even if announcements by such third parties are favorable with respect to their clinical trials, our planned clinical trials for firmonertinib, and any future clinical trials we may conduct, differ from their clinical trials and investors should not place undue reliance upon any of such third parties’ reported data or other clinical development announcements.</w:t>
      </w:r>
    </w:p>
    <w:p>
      <w:pPr>
        <w:spacing w:after="0" w:line="194"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our product candidates, and any future product candidates may be delayed or subject to increased costs, each of which may have an adverse effect on our business and prospects.</w:t>
      </w:r>
    </w:p>
    <w:p>
      <w:pPr>
        <w:spacing w:after="0" w:line="183"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and nonclinical studies. Specifically, we rely on, and intend to continue to rely on, medical institutions, clinical investigators, CROs, such as Fortrea, Inc., Icon Clinical Research Limited, and Syneos Health, LLC, and consultants to conduct nonclinical studies and clinical trials, in each case in accordance with our study protocols and applicable regulatory requirements. These CROs, investigators and other third parties play a significant role in the conduct and timing of these studies or trials and the subsequent collection and analysis of data. Though we expect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and GCP requirements, as applicable, which are regulations and guidelines enforced by the FDA and comparable foreign regulatory authorities related to the conduct of nonclinical studies and clinical trials, respectively. Regulatory authorities enforce GCPs through periodic inspections of trial sponsors, principal investigators and trial sites. If we or any of our CROs or trial sites fail to comply with applicable GLP or GCP or other requirements, the collected nonclinical data or the clinical data generated in our clinical trials may be deemed unreliable, and the FDA or comparable foreign regulatory authorities may require us to perform additional nonclinical studies or clinical trials before approving our marketing applications, if ever. Furthermore, our clinical trials must be conducted with materials manufactured in accordance with cGMP regulations. Failure to comply with these regulations may require us to repeat clinical trials, which would delay the regulatory approval process.</w:t>
      </w:r>
    </w:p>
    <w:p>
      <w:pPr>
        <w:spacing w:after="0" w:line="19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receiving regulatory approval for, or commercializing, firmonertinib, our other product candidates, and any future product candidates.</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84" w:lineRule="exact"/>
        <w:rPr>
          <w:sz w:val="20"/>
          <w:szCs w:val="20"/>
          <w:color w:val="auto"/>
        </w:rPr>
      </w:pPr>
    </w:p>
    <w:p>
      <w:pPr>
        <w:ind w:left="120" w:right="339" w:firstLine="29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Chinese third parties for the manufacture of firmonertinib, ARR-217, and ARR-002 for clinical development, expect to rely on such manufacturers for potential future commercial supply of firmonertinib, ARR-217, and ARR-002, and expect to continue to rely on third parties for the foreseeable future. This reliance on third parties increases the risk that we will not have sufficient quantities for clinical development of firmonertinib, ARR-217, or ARR-002, or for commercialization of firmonertinib in such quantities at an acceptable cost, which could delay, prevent or impair our development or potential commercialization efforts.</w:t>
      </w:r>
    </w:p>
    <w:p>
      <w:pPr>
        <w:spacing w:after="0" w:line="182" w:lineRule="exact"/>
        <w:rPr>
          <w:sz w:val="20"/>
          <w:szCs w:val="20"/>
          <w:color w:val="auto"/>
        </w:rPr>
      </w:pPr>
    </w:p>
    <w:p>
      <w:pPr>
        <w:ind w:left="120" w:right="159" w:firstLine="292"/>
        <w:spacing w:after="0" w:line="257"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on Chinese third parties, and expect to continue to rely, on such third parties for the manufacture of firmonertinib, ARR-217, and ARR-002, and related raw materials for clinical development, as well as for commercial manufacture of firmonertinib, should firmonertinib receive marketing approval. The facilities used by third-party manufacturers to manufacture our product candidates must be approved by the FDA and any comparable foreign regulatory authority pursuant to inspections that will be conducted after we submit an NDA/BLA to the FDA or make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regulatory authority, they will not be able to secure and/or maintain regulatory approval for their manufacturing facilities.</w:t>
      </w:r>
    </w:p>
    <w:p>
      <w:pPr>
        <w:spacing w:after="0" w:line="250" w:lineRule="exact"/>
        <w:rPr>
          <w:sz w:val="20"/>
          <w:szCs w:val="20"/>
          <w:color w:val="auto"/>
        </w:rPr>
      </w:pPr>
    </w:p>
    <w:p>
      <w:pPr>
        <w:ind w:left="120" w:right="199" w:firstLine="292"/>
        <w:spacing w:after="0" w:line="258" w:lineRule="auto"/>
        <w:rPr>
          <w:sz w:val="20"/>
          <w:szCs w:val="20"/>
          <w:color w:val="auto"/>
        </w:rPr>
      </w:pPr>
      <w:r>
        <w:rPr>
          <w:rFonts w:ascii="Times New Roman" w:cs="Times New Roman" w:eastAsia="Times New Roman" w:hAnsi="Times New Roman"/>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our current product candidates or if it withdraws any such approval in the future, we may need to find alternative manufacturing facilities, which would significantly impact our ability to develop, obtain regulatory approval for or market our current product candidates if approved. Our failure, or the failure of our third-party manufacturers, to comply with applicable regulations also could result in sanctions being imposed on us, including clinical holds, fines, injunctions, civil penalties, delays, suspension or withdrawal of approvals, seizures or recalls of our current product candidates or any future products, operating restrictions and criminal prosecutions, any of which could significantly and adversely affect supplies of our products and our financial position.</w:t>
      </w:r>
    </w:p>
    <w:p>
      <w:pPr>
        <w:spacing w:after="0" w:line="184" w:lineRule="exact"/>
        <w:rPr>
          <w:sz w:val="20"/>
          <w:szCs w:val="20"/>
          <w:color w:val="auto"/>
        </w:rPr>
      </w:pPr>
    </w:p>
    <w:p>
      <w:pPr>
        <w:jc w:val="both"/>
        <w:ind w:left="120" w:right="359" w:firstLine="292"/>
        <w:spacing w:after="0" w:line="266"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189" w:lineRule="exact"/>
        <w:rPr>
          <w:sz w:val="20"/>
          <w:szCs w:val="20"/>
          <w:color w:val="auto"/>
        </w:rPr>
      </w:pPr>
    </w:p>
    <w:p>
      <w:pPr>
        <w:ind w:left="740" w:right="439" w:hanging="285"/>
        <w:spacing w:after="0" w:line="282" w:lineRule="auto"/>
        <w:tabs>
          <w:tab w:leader="none" w:pos="7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inability to initiate or complete clinical trials of our current product candidates, or any other future product candidates in a timely manner;</w:t>
      </w:r>
    </w:p>
    <w:p>
      <w:pPr>
        <w:spacing w:after="0" w:line="53" w:lineRule="exact"/>
        <w:rPr>
          <w:rFonts w:ascii="Times New Roman" w:cs="Times New Roman" w:eastAsia="Times New Roman" w:hAnsi="Times New Roman"/>
          <w:sz w:val="16"/>
          <w:szCs w:val="16"/>
          <w:color w:val="auto"/>
        </w:rPr>
      </w:pPr>
    </w:p>
    <w:p>
      <w:pPr>
        <w:ind w:left="740" w:right="279" w:hanging="285"/>
        <w:spacing w:after="0" w:line="282" w:lineRule="auto"/>
        <w:tabs>
          <w:tab w:leader="none" w:pos="7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delay in submitting regulatory applications, or receiving marketing approvals for our current product candidates or any future product candidates;</w:t>
      </w:r>
    </w:p>
    <w:p>
      <w:pPr>
        <w:spacing w:after="0" w:line="53" w:lineRule="exact"/>
        <w:rPr>
          <w:rFonts w:ascii="Times New Roman" w:cs="Times New Roman" w:eastAsia="Times New Roman" w:hAnsi="Times New Roman"/>
          <w:sz w:val="16"/>
          <w:szCs w:val="16"/>
          <w:color w:val="auto"/>
        </w:rPr>
      </w:pPr>
    </w:p>
    <w:p>
      <w:pPr>
        <w:ind w:left="740" w:right="1439" w:hanging="285"/>
        <w:spacing w:after="0" w:line="297" w:lineRule="auto"/>
        <w:tabs>
          <w:tab w:leader="none" w:pos="7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subjecting third-party manufacturing facilities or our potential future manufacturing facilities to additional inspections by regulatory authorities;</w:t>
      </w:r>
    </w:p>
    <w:p>
      <w:pPr>
        <w:spacing w:after="0" w:line="41"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requirements to cease development or to recall batches of our current or future product candidates; and</w:t>
      </w:r>
    </w:p>
    <w:p>
      <w:pPr>
        <w:spacing w:after="0" w:line="103" w:lineRule="exact"/>
        <w:rPr>
          <w:rFonts w:ascii="Times New Roman" w:cs="Times New Roman" w:eastAsia="Times New Roman" w:hAnsi="Times New Roman"/>
          <w:sz w:val="16"/>
          <w:szCs w:val="16"/>
          <w:color w:val="auto"/>
        </w:rPr>
      </w:pPr>
    </w:p>
    <w:p>
      <w:pPr>
        <w:ind w:left="740" w:right="619" w:hanging="285"/>
        <w:spacing w:after="0" w:line="282" w:lineRule="auto"/>
        <w:tabs>
          <w:tab w:leader="none" w:pos="7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the event of approval to market and commercialize our current or future product candidates, an inability to meet commercial demands for our current or future product candidates.</w:t>
      </w:r>
    </w:p>
    <w:p>
      <w:pPr>
        <w:spacing w:after="0" w:line="200" w:lineRule="exact"/>
        <w:rPr>
          <w:sz w:val="20"/>
          <w:szCs w:val="20"/>
          <w:color w:val="auto"/>
        </w:rPr>
      </w:pPr>
    </w:p>
    <w:p>
      <w:pPr>
        <w:spacing w:after="0" w:line="205" w:lineRule="exact"/>
        <w:rPr>
          <w:sz w:val="20"/>
          <w:szCs w:val="20"/>
          <w:color w:val="auto"/>
        </w:rPr>
      </w:pPr>
    </w:p>
    <w:p>
      <w:pPr>
        <w:ind w:left="120" w:right="199" w:firstLine="292"/>
        <w:spacing w:after="0" w:line="262"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our product candidates or such quantities at an acceptable cost. Even if we are able to establish agreements with third-party manufacturers, reliance on third-party manufacturers entails additional risks, including:</w:t>
      </w:r>
    </w:p>
    <w:p>
      <w:pPr>
        <w:spacing w:after="0" w:line="180" w:lineRule="exact"/>
        <w:rPr>
          <w:sz w:val="20"/>
          <w:szCs w:val="20"/>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breach of the manufacturing agreement by the third party;</w:t>
      </w:r>
    </w:p>
    <w:p>
      <w:pPr>
        <w:spacing w:after="0" w:line="10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manufacture our product candidates according to our specifications;</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17"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misappropriation of our proprietary information, including any potential trade secrets and know-how; and</w:t>
      </w:r>
    </w:p>
    <w:p>
      <w:pPr>
        <w:spacing w:after="0" w:line="103" w:lineRule="exact"/>
        <w:rPr>
          <w:rFonts w:ascii="Times New Roman" w:cs="Times New Roman" w:eastAsia="Times New Roman" w:hAnsi="Times New Roman"/>
          <w:sz w:val="16"/>
          <w:szCs w:val="16"/>
          <w:color w:val="auto"/>
        </w:rPr>
      </w:pPr>
    </w:p>
    <w:p>
      <w:pPr>
        <w:ind w:left="740" w:hanging="285"/>
        <w:spacing w:after="0"/>
        <w:tabs>
          <w:tab w:leader="none" w:pos="7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00" w:lineRule="exact"/>
        <w:rPr>
          <w:sz w:val="20"/>
          <w:szCs w:val="20"/>
          <w:color w:val="auto"/>
        </w:rPr>
      </w:pPr>
    </w:p>
    <w:p>
      <w:pPr>
        <w:spacing w:after="0" w:line="255" w:lineRule="exact"/>
        <w:rPr>
          <w:sz w:val="20"/>
          <w:szCs w:val="20"/>
          <w:color w:val="auto"/>
        </w:rPr>
      </w:pPr>
    </w:p>
    <w:p>
      <w:pPr>
        <w:ind w:left="120" w:right="559" w:firstLine="292"/>
        <w:spacing w:after="0" w:line="286"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or jeopardize our ability to commence or continue commercialization of our current product candidates or any future product candidates, and any related remedial measures may be costly or time consuming to implement. We do not currently have arrangements in place for redundant supply or a second source for all required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219"/>
        <w:spacing w:after="0" w:line="266" w:lineRule="auto"/>
        <w:rPr>
          <w:sz w:val="20"/>
          <w:szCs w:val="20"/>
          <w:color w:val="auto"/>
        </w:rPr>
      </w:pPr>
      <w:r>
        <w:rPr>
          <w:rFonts w:ascii="Times New Roman" w:cs="Times New Roman" w:eastAsia="Times New Roman" w:hAnsi="Times New Roman"/>
          <w:sz w:val="18"/>
          <w:szCs w:val="18"/>
          <w:color w:val="auto"/>
        </w:rPr>
        <w:t>raw materials used in the manufacture of our product candidates. 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p>
    <w:p>
      <w:pPr>
        <w:spacing w:after="0" w:line="176" w:lineRule="exact"/>
        <w:rPr>
          <w:sz w:val="20"/>
          <w:szCs w:val="20"/>
          <w:color w:val="auto"/>
        </w:rPr>
      </w:pPr>
    </w:p>
    <w:p>
      <w:pPr>
        <w:ind w:left="120" w:right="199" w:firstLine="292"/>
        <w:spacing w:after="0" w:line="274"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our product candidates and any future product candidates may adversely affect our future profit margins and our ability to commercialize any products that receive marketing approval on a timely and competitive basis.</w:t>
      </w:r>
    </w:p>
    <w:p>
      <w:pPr>
        <w:spacing w:after="0" w:line="169" w:lineRule="exact"/>
        <w:rPr>
          <w:sz w:val="20"/>
          <w:szCs w:val="20"/>
          <w:color w:val="auto"/>
        </w:rPr>
      </w:pPr>
    </w:p>
    <w:p>
      <w:pPr>
        <w:ind w:left="120" w:right="79" w:firstLine="292"/>
        <w:spacing w:after="0" w:line="266" w:lineRule="auto"/>
        <w:rPr>
          <w:sz w:val="20"/>
          <w:szCs w:val="20"/>
          <w:color w:val="auto"/>
        </w:rPr>
      </w:pPr>
      <w:r>
        <w:rPr>
          <w:rFonts w:ascii="Times New Roman" w:cs="Times New Roman" w:eastAsia="Times New Roman" w:hAnsi="Times New Roman"/>
          <w:sz w:val="18"/>
          <w:szCs w:val="18"/>
          <w:color w:val="auto"/>
        </w:rPr>
        <w:t>A portion of our product development and manufacturing for our current product candidates takes place in China through third-party manufacturers. A significant disruption in the operation of those manufacturers, a trade war or political unrest in China, or a change in the regulatory framework in the United States or China, could materially adversely affect our business, financial condition and results of operations.</w:t>
      </w:r>
    </w:p>
    <w:p>
      <w:pPr>
        <w:spacing w:after="0" w:line="176" w:lineRule="exact"/>
        <w:rPr>
          <w:sz w:val="20"/>
          <w:szCs w:val="20"/>
          <w:color w:val="auto"/>
        </w:rPr>
      </w:pPr>
    </w:p>
    <w:p>
      <w:pPr>
        <w:ind w:left="120" w:right="179" w:firstLine="292"/>
        <w:spacing w:after="0" w:line="257" w:lineRule="auto"/>
        <w:rPr>
          <w:sz w:val="20"/>
          <w:szCs w:val="20"/>
          <w:color w:val="auto"/>
        </w:rPr>
      </w:pPr>
      <w:r>
        <w:rPr>
          <w:rFonts w:ascii="Times New Roman" w:cs="Times New Roman" w:eastAsia="Times New Roman" w:hAnsi="Times New Roman"/>
          <w:sz w:val="18"/>
          <w:szCs w:val="18"/>
          <w:color w:val="auto"/>
        </w:rPr>
        <w:t>Currently, we rely on and have agreements with two third-party contract manufacturers, Raybow and WuXi STA, to supply the drug substance for firmonertinib for use in ongoing and planned clinical trials. We also rely on and have an agreement with WuXi STA to manufacture the clinical trial supplies of firmonertinib drug product and supplies for initial commercial launch in the United States, if approved. Both third-party contract manufacturers are located in China, and we expect to continue to use such third-party manufacturers for such firmonertinib drug substance and drug product supplies. We expect to rely on manufacturers in China for ARR-217 drug substance and drug product for use in clinical studies and also expect to rely on WuXi XDC for the manufacture of ARR-002 for initial clinical studies. Any disruption in production or inability of our manufacturers in China to produce adequate quantities to meet our needs, whether as a result of a natural disaster, infectious disease outbreak, or other causes could impair our ability to operate our business on a day-to-day basis and to continue our development of our product candidates, and commercialization of firmonertinib, if approved. Furthermore, since these manufacturers are located in China, we are exposed to the possibility of product supply disruption and increased costs in the event of changes in the policies of the U.S. or Chinese governments, political unrest or unstable economic conditions in China.</w:t>
      </w:r>
    </w:p>
    <w:p>
      <w:pPr>
        <w:spacing w:after="0" w:line="183" w:lineRule="exact"/>
        <w:rPr>
          <w:sz w:val="20"/>
          <w:szCs w:val="20"/>
          <w:color w:val="auto"/>
        </w:rPr>
      </w:pPr>
    </w:p>
    <w:p>
      <w:pPr>
        <w:ind w:left="120" w:right="259" w:firstLine="324"/>
        <w:spacing w:after="0" w:line="257" w:lineRule="auto"/>
        <w:rPr>
          <w:sz w:val="20"/>
          <w:szCs w:val="20"/>
          <w:color w:val="auto"/>
        </w:rPr>
      </w:pPr>
      <w:r>
        <w:rPr>
          <w:rFonts w:ascii="Times New Roman" w:cs="Times New Roman" w:eastAsia="Times New Roman" w:hAnsi="Times New Roman"/>
          <w:sz w:val="18"/>
          <w:szCs w:val="18"/>
          <w:color w:val="auto"/>
        </w:rPr>
        <w:t>The National Defense Authorization Act for Fiscal Year 2026 includes a section titled, “Prohibition on Contracting with Certain Biotechnology Providers,” also known as the BIOSECURE Act, aimed at discouraging federal contracting with certain biotechnology companies for biotechnology equipment or services in China and other countries of concern. The statute prohibits federal executive agencies from procuring any biotechnology equipment or service from a biotechnology company of concern (BCC) or contracting with any such company or any entity that procures or uses equipment or services from a BCC. Any company on the Department of Defense’s Chinese Military Companies List (1260H list) is considered a BCC under the new law and the White House Office of Management and</w:t>
      </w:r>
    </w:p>
    <w:p>
      <w:pPr>
        <w:spacing w:after="0" w:line="6" w:lineRule="exact"/>
        <w:rPr>
          <w:sz w:val="20"/>
          <w:szCs w:val="20"/>
          <w:color w:val="auto"/>
        </w:rPr>
      </w:pPr>
    </w:p>
    <w:p>
      <w:pPr>
        <w:ind w:left="120" w:right="299"/>
        <w:spacing w:after="0" w:line="256" w:lineRule="auto"/>
        <w:rPr>
          <w:sz w:val="20"/>
          <w:szCs w:val="20"/>
          <w:color w:val="auto"/>
        </w:rPr>
      </w:pPr>
      <w:r>
        <w:rPr>
          <w:rFonts w:ascii="Times New Roman" w:cs="Times New Roman" w:eastAsia="Times New Roman" w:hAnsi="Times New Roman"/>
          <w:sz w:val="18"/>
          <w:szCs w:val="18"/>
          <w:color w:val="auto"/>
        </w:rPr>
        <w:t>Budget is empowered to designate companies as BCCs based on consultations with Cabinet Secretaries and other key leaders from the executive branch. Such prohibitions may limit our ability to obtain federal government grants for research involving our products, if approved, or product candidates manufactured in China or to enter contracts to sell any such products, if approved, to the federal government. If we are required to change manufacturers for any reason, we will be required to verify that the new manufacturer maintains facilities and procedures that comply with quality standards and with all applicable regulations and guidelines. For example, in the event that we need to switch our third-party manufacturer of firmonertinib or ARR-002 from WuXi STA or related entities, we anticipate that the complexity of the manufacturing process may impact the amount of time it may take to secure a replacement manufacturer. The delays associated with the verification of a new manufacturer, once we are able to identify an alternative source, could negatively affect our ability to develop product candidates in a timely manner or within budget, which could materially adversely affect our business, financial condition and results of operations.</w:t>
      </w:r>
    </w:p>
    <w:p>
      <w:pPr>
        <w:spacing w:after="0" w:line="18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Changes in United States trade policy, including recently announced or potential future tariffs, could have a material adverse impact on our business, financial condition, and results of operations. The imposition of new tariffs or increases in existing tariffs on goods imported from or expected to be imported from countries where we or our suppliers operate could result in higher costs for materials or components essential to our operations. For example, in April 2025, the United States imposed broad tariffs on imports from virtually all countries, with particularly high tariffs on imports from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China. Since this announcement, most tariffs for countries other than China have been suspended temporarily. In response to tariffs, some countries have implemented retaliatory tariffs on U.S. goods, while others seek to negotiate agreements regarding U.S.-imposed tariffs. Historically, tariffs have led to increased trade and political tensions and, to date, the outcome of the negotiations between the United States and the various countries is not yet clear.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88"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in the future may seek to enter into collaborations, license agreements and other similar arrangements and may not be successful in doing so, and even if we are, we may relinquish valuable rights and may not realize the benefits of such relationships, and our collaborations would be subject to other risks attendant to third party relationships, including inability to prevent or control actions taken or not taken by such third parties which may adversely impact us.</w:t>
      </w:r>
    </w:p>
    <w:p>
      <w:pPr>
        <w:spacing w:after="0" w:line="183" w:lineRule="exact"/>
        <w:rPr>
          <w:sz w:val="20"/>
          <w:szCs w:val="20"/>
          <w:color w:val="auto"/>
        </w:rPr>
      </w:pPr>
    </w:p>
    <w:p>
      <w:pPr>
        <w:ind w:left="120" w:right="239" w:firstLine="292"/>
        <w:spacing w:after="0" w:line="255"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For example, we are collaborating with Allist with respect to certain aspects of firmonertinib and are collaborating with Lepu Biopharma with respect to ARR-217. In the future, we may seek to enter into collaborations, joint ventures, license agreements and other similar arrangements for the development or commercialization of our current product candidates, and any future product candidates, due to capital costs required to develop or commercialize the product candidate or manufacturing constraints. For example, certain of the cancer disease areas that we believe our product candidates address require large, costly and later-stage clinical trials, which a collaboration partner may be better positioned to finance and/or conduct. In addition, a component of our strategy is to maximize the commercial value of our current and future product candidates, which may also strategically align with partnering commercial rights with partners that have large and established sales organizations. To the extent that we decide to enter into collaborations, joint ventures, license agreements and other similar arrangements, we may not be successful in our efforts to establish or maintain such collaborations because our research and development pipeline may be insufficient, any future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or product candidates,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w:t>
      </w:r>
    </w:p>
    <w:p>
      <w:pPr>
        <w:spacing w:after="0" w:line="21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76" w:lineRule="exact"/>
        <w:rPr>
          <w:sz w:val="20"/>
          <w:szCs w:val="20"/>
          <w:color w:val="auto"/>
        </w:rPr>
      </w:pPr>
    </w:p>
    <w:p>
      <w:pPr>
        <w:ind w:left="120" w:right="459" w:firstLine="292"/>
        <w:spacing w:after="0" w:line="282" w:lineRule="auto"/>
        <w:rPr>
          <w:sz w:val="20"/>
          <w:szCs w:val="20"/>
          <w:color w:val="auto"/>
        </w:rPr>
      </w:pPr>
      <w:r>
        <w:rPr>
          <w:rFonts w:ascii="Times New Roman" w:cs="Times New Roman" w:eastAsia="Times New Roman" w:hAnsi="Times New Roman"/>
          <w:sz w:val="18"/>
          <w:szCs w:val="18"/>
          <w:color w:val="auto"/>
        </w:rPr>
        <w:t>Collaborations involving our current or future product candidates would pose significant risks to us, including the following:</w:t>
      </w:r>
    </w:p>
    <w:p>
      <w:pPr>
        <w:spacing w:after="0" w:line="162" w:lineRule="exact"/>
        <w:rPr>
          <w:sz w:val="20"/>
          <w:szCs w:val="20"/>
          <w:color w:val="auto"/>
        </w:rPr>
      </w:pPr>
    </w:p>
    <w:p>
      <w:pPr>
        <w:ind w:left="720" w:right="4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at all;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any product candidate that achieves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3"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7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invest resources and attention into such collaboration, which could distract from other business objectives;</w:t>
      </w:r>
    </w:p>
    <w:p>
      <w:pPr>
        <w:spacing w:after="0" w:line="53"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w:t>
      </w:r>
    </w:p>
    <w:p>
      <w:pPr>
        <w:spacing w:after="0" w:line="53"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product development or commercialization program could be delayed, diminished or terminated; and</w:t>
      </w:r>
    </w:p>
    <w:p>
      <w:pPr>
        <w:spacing w:after="0" w:line="53"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the applicable product candidates.</w:t>
      </w:r>
    </w:p>
    <w:p>
      <w:pPr>
        <w:spacing w:after="0" w:line="180" w:lineRule="exact"/>
        <w:rPr>
          <w:sz w:val="20"/>
          <w:szCs w:val="20"/>
          <w:color w:val="auto"/>
        </w:rPr>
      </w:pPr>
    </w:p>
    <w:p>
      <w:pPr>
        <w:ind w:left="120" w:right="459" w:firstLine="292"/>
        <w:spacing w:after="0" w:line="297" w:lineRule="auto"/>
        <w:rPr>
          <w:sz w:val="20"/>
          <w:szCs w:val="20"/>
          <w:color w:val="auto"/>
        </w:rPr>
      </w:pPr>
      <w:r>
        <w:rPr>
          <w:rFonts w:ascii="Times New Roman" w:cs="Times New Roman" w:eastAsia="Times New Roman" w:hAnsi="Times New Roman"/>
          <w:sz w:val="18"/>
          <w:szCs w:val="18"/>
          <w:color w:val="auto"/>
        </w:rPr>
        <w:t>Any termination of collaborations we currently depend on or may enter into in the future, or any delay in entering into collaborations related to our current or future product candidates, could delay the development and</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219"/>
        <w:spacing w:after="0" w:line="297" w:lineRule="auto"/>
        <w:rPr>
          <w:sz w:val="20"/>
          <w:szCs w:val="20"/>
          <w:color w:val="auto"/>
        </w:rPr>
      </w:pPr>
      <w:r>
        <w:rPr>
          <w:rFonts w:ascii="Times New Roman" w:cs="Times New Roman" w:eastAsia="Times New Roman" w:hAnsi="Times New Roman"/>
          <w:sz w:val="18"/>
          <w:szCs w:val="18"/>
          <w:color w:val="auto"/>
        </w:rPr>
        <w:t>commercialization of our product candidates and reduce their competitiveness if they reach the market, which could have a material adverse effect on our business, financial condition, results of operations and prospects.</w:t>
      </w:r>
    </w:p>
    <w:p>
      <w:pPr>
        <w:spacing w:after="0" w:line="14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Commercialization of Firmonertinib, Our Other Product Candidates, and any Future Product Candidates</w:t>
      </w:r>
    </w:p>
    <w:p>
      <w:pPr>
        <w:spacing w:after="0" w:line="155"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regulatory obligations and continued regulatory review, which may result in significant additional expense. Additionally, our current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p>
      <w:pPr>
        <w:spacing w:after="0" w:line="184" w:lineRule="exact"/>
        <w:rPr>
          <w:sz w:val="20"/>
          <w:szCs w:val="20"/>
          <w:color w:val="auto"/>
        </w:rPr>
      </w:pPr>
    </w:p>
    <w:p>
      <w:pPr>
        <w:ind w:left="120" w:right="219" w:firstLine="292"/>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may receive for our other current or any future product candidates will require the submission of various post-marketing reports to regulatory authorities, will subject us to surveillance requirements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REMS as a condition of approval of our current or any future product candidates, which could include requirements for a medication guide, physician training and communication plans or additional elements to ensure safe use, such as restricted distribution methods, patient registries and other risk minimization tools. In addition, if the FDA or a comparable foreign regulatory authority approves our current or future product candidates, the manufacturing processes, labeling, packaging, distribution, adverse event reporting, storage, advertising, promotion, import, export and recordkeeping for such products will be subject to extensive and ongoing regulatory requirements. These requirements include submissions of safety and other post-marketing information and reports, facility registration, and continued compliance with cGMPs for product manufacturing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In addition, should accelerated approval be granted to any of our product candidates, we will be required to complete confirmatory clinical trials to verify the drug’s clinical benefit(s) and to make certain mandatory submissions to the FDA that are not applicable to drug products with “full” or traditional FDA marketing approvals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those not subject to accelerated approval requirements).</w:t>
      </w:r>
    </w:p>
    <w:p>
      <w:pPr>
        <w:spacing w:after="0" w:line="19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Failure to comply with regulatory requirements or later discovery of previously unknown problems with our products, including adverse events of unanticipated severity or frequency, or with our third-party manufacturers or manufacturing processes, may result in a regulatory agency imposing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87" w:lineRule="exact"/>
        <w:rPr>
          <w:sz w:val="20"/>
          <w:szCs w:val="20"/>
          <w:color w:val="auto"/>
        </w:rPr>
      </w:pPr>
    </w:p>
    <w:p>
      <w:pPr>
        <w:ind w:left="720" w:right="43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or adverse publicity;</w:t>
      </w:r>
    </w:p>
    <w:p>
      <w:pPr>
        <w:spacing w:after="0" w:line="117"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259" w:firstLine="292"/>
        <w:spacing w:after="0" w:line="274"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current or future product candidates and to generate revenue, could require us to expend significant time and resources in response and could generate negative publicity.</w:t>
      </w:r>
    </w:p>
    <w:p>
      <w:pPr>
        <w:spacing w:after="0" w:line="16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or changes.</w:t>
      </w:r>
    </w:p>
    <w:p>
      <w:pPr>
        <w:spacing w:after="0" w:line="184"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marketing, labeling, advertising, and promotional claims that may be made about prescription drug products, such as our current or future product candidates, if approved. These regulations include standards and restrictions for direct-to-consumer advertising, industry-sponsored scientific and educational activities, promotional activities involving the internet and off-label promotion. In particular, a product may not be promoted for uses that are not approved by the FDA or such other regulatory agencies as reflected in the product’s approved labeling. However, companies may share truthful and not misleading information that is not inconsistent with the labeling, and the FDA has recently published guidance for industry outlining modernized recommendations for how drug manufacturers can share scientifically sound and clinically relevant information on unapproved uses with health care providers so long as such presentations are not promotional.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or advertise any future commercial products will be narrowly limited to those indications that are specifically approved by the FDA.</w:t>
      </w:r>
    </w:p>
    <w:p>
      <w:pPr>
        <w:spacing w:after="0" w:line="19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are found to have promoted off-label uses for an FDA-approved drug product, or to have promoted an investigational drug before it has been granted some form of marketing approval,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other current or future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spacing w:after="0" w:line="180" w:lineRule="exact"/>
        <w:rPr>
          <w:sz w:val="20"/>
          <w:szCs w:val="20"/>
          <w:color w:val="auto"/>
        </w:rPr>
      </w:pPr>
    </w:p>
    <w:p>
      <w:pPr>
        <w:ind w:left="120" w:right="179" w:firstLine="292"/>
        <w:spacing w:after="0" w:line="260"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are working with a diagnostics company to develop a companion diagnostic for firmonertinib to identify patients with EGFR exon 20 insertion mutations and we may be required to pursue a similar approach for EGFR PACC mutations. We may similarly work with diagnostics companies for our other current and any future product candidates. The process of obtaining or creating such diagnostic is time consuming and costly.</w:t>
      </w:r>
    </w:p>
    <w:p>
      <w:pPr>
        <w:spacing w:after="0" w:line="18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the FDA has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76" w:lineRule="exact"/>
        <w:rPr>
          <w:sz w:val="20"/>
          <w:szCs w:val="20"/>
          <w:color w:val="auto"/>
        </w:rPr>
      </w:pPr>
    </w:p>
    <w:p>
      <w:pPr>
        <w:ind w:left="120" w:right="159" w:firstLine="292"/>
        <w:spacing w:after="0" w:line="257"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clearance of a companion diagnostic for any of our product candidates, whether before or after the product candidate obtains marketing approval, we and/or third-party collaborators may encounter difficulties in developing and obtaining approval or clearance for these companion diagnostics. Any delay or failure by us or third-party collaborators to develop or obtain regulatory approval or clearance of a companion diagnostic could delay or prevent approval or continued marketing of the relevant product. For example, our Phase 3 clinical trial of firmonertinib in NSCLC EGFR exon 20 insertion mutations may generate insufficient data to enable the approval by the FDA of the companion diagnostic that we are working with a diagnostics company to develop. If our collaborator is unable to develop and receive marketing authorization for such diagnostic, the approval of firmonertinib could be delayed or prevented and our business would be significantly harmed.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93" w:lineRule="exact"/>
        <w:rPr>
          <w:sz w:val="20"/>
          <w:szCs w:val="20"/>
          <w:color w:val="auto"/>
        </w:rPr>
      </w:pPr>
    </w:p>
    <w:p>
      <w:pPr>
        <w:ind w:left="60" w:right="19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or future product candidates will depend upon the degree of market acceptance of such product candidates by healthcare providers, product recipients, healthcare payors and others in the medical community. If our current or future product candidates fail to achieve the broad degree of adoption by the medical community necessary for commercial success, our operating results and financial condition will be adversely affected, which may delay, prevent or limit our ability to generate revenue and continue our business.</w:t>
      </w:r>
    </w:p>
    <w:p>
      <w:pPr>
        <w:spacing w:after="0" w:line="179" w:lineRule="exact"/>
        <w:rPr>
          <w:sz w:val="20"/>
          <w:szCs w:val="20"/>
          <w:color w:val="auto"/>
        </w:rPr>
      </w:pPr>
    </w:p>
    <w:p>
      <w:pPr>
        <w:ind w:left="120" w:right="99" w:firstLine="292"/>
        <w:spacing w:after="0" w:line="262" w:lineRule="auto"/>
        <w:rPr>
          <w:sz w:val="20"/>
          <w:szCs w:val="20"/>
          <w:color w:val="auto"/>
        </w:rPr>
      </w:pPr>
      <w:r>
        <w:rPr>
          <w:rFonts w:ascii="Times New Roman" w:cs="Times New Roman" w:eastAsia="Times New Roman" w:hAnsi="Times New Roman"/>
          <w:sz w:val="18"/>
          <w:szCs w:val="18"/>
          <w:color w:val="auto"/>
        </w:rPr>
        <w:t>Even if our current or future product candidates receive regulatory approval, they may not be commercially successful and may not gain market acceptance among healthcare providers, individuals within our target population, healthcare payors or the medical community. The commercial success of our current or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spacing w:after="0" w:line="180"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compliant, timely and secure product distribution networks;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potential future collaborators’ sales and marketing strategies;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If our current or future product candidates are approved for marketing but do not achieve an adequate level of acceptance by physicians, hospitals, healthcare payors or patients, we may not generate sufficient revenue from those products and may not become or remain profitable. Our efforts to educate the medical community and third-party payors regarding the benefits of our products may require significant resources and may never be successful.</w:t>
      </w:r>
    </w:p>
    <w:p>
      <w:pPr>
        <w:spacing w:after="0" w:line="176"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current or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w:t>
      </w:r>
    </w:p>
    <w:p>
      <w:pPr>
        <w:spacing w:after="0" w:line="27" w:lineRule="exact"/>
        <w:rPr>
          <w:sz w:val="20"/>
          <w:szCs w:val="20"/>
          <w:color w:val="auto"/>
        </w:rPr>
      </w:pPr>
    </w:p>
    <w:p>
      <w:pPr>
        <w:ind w:left="120" w:right="239"/>
        <w:spacing w:after="0" w:line="257" w:lineRule="auto"/>
        <w:rPr>
          <w:sz w:val="20"/>
          <w:szCs w:val="20"/>
          <w:color w:val="auto"/>
        </w:rPr>
      </w:pPr>
      <w:r>
        <w:rPr>
          <w:rFonts w:ascii="Times New Roman" w:cs="Times New Roman" w:eastAsia="Times New Roman" w:hAnsi="Times New Roman"/>
          <w:sz w:val="18"/>
          <w:szCs w:val="18"/>
          <w:color w:val="auto"/>
        </w:rPr>
        <w:t>Medicare and Medicaid, private health insurers and other third-party payors are essential for most patients to be able to afford prescription medications such as our current product candidates, and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64"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or at an acceptable level, for any product that we may develop, and any reimbursement that may become available may be decreased or eliminated in the future.</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Even if we are successful in demonstrating improved efficacy or improved convenience of administration with our future products, pricing of existing drugs may limit the amount we will be able to charge for our products. Increasingly, other third-party payors are requiring that drug companies provide them with predetermined discounts from list prices and are challenging the prices charged for medical products.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future products and may not be able to obtain a satisfactory financial return on products that we may develop.</w:t>
      </w:r>
    </w:p>
    <w:p>
      <w:pPr>
        <w:spacing w:after="0" w:line="194" w:lineRule="exact"/>
        <w:rPr>
          <w:sz w:val="20"/>
          <w:szCs w:val="20"/>
          <w:color w:val="auto"/>
        </w:rPr>
      </w:pPr>
    </w:p>
    <w:p>
      <w:pPr>
        <w:ind w:left="120" w:right="119" w:firstLine="324"/>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drugs before they will reimburse healthcare providers who use such therapies. It is difficult to predict at this time what third-party payors will decide with respect to the coverage and reimbursement for our current product candidates and any future product candidates, if approved.</w:t>
      </w:r>
    </w:p>
    <w:p>
      <w:pPr>
        <w:spacing w:after="0" w:line="187" w:lineRule="exact"/>
        <w:rPr>
          <w:sz w:val="20"/>
          <w:szCs w:val="20"/>
          <w:color w:val="auto"/>
        </w:rPr>
      </w:pPr>
    </w:p>
    <w:p>
      <w:pPr>
        <w:ind w:left="120" w:right="219" w:firstLine="292"/>
        <w:spacing w:after="0" w:line="274"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339"/>
        <w:spacing w:after="0" w:line="262" w:lineRule="auto"/>
        <w:rPr>
          <w:sz w:val="20"/>
          <w:szCs w:val="20"/>
          <w:color w:val="auto"/>
        </w:rPr>
      </w:pPr>
      <w:r>
        <w:rPr>
          <w:rFonts w:ascii="Times New Roman" w:cs="Times New Roman" w:eastAsia="Times New Roman" w:hAnsi="Times New Roman"/>
          <w:sz w:val="18"/>
          <w:szCs w:val="18"/>
          <w:color w:val="auto"/>
        </w:rPr>
        <w:t>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w:t>
      </w:r>
    </w:p>
    <w:p>
      <w:pPr>
        <w:spacing w:after="0" w:line="193" w:lineRule="exact"/>
        <w:rPr>
          <w:sz w:val="20"/>
          <w:szCs w:val="20"/>
          <w:color w:val="auto"/>
        </w:rPr>
      </w:pPr>
    </w:p>
    <w:p>
      <w:pPr>
        <w:ind w:left="120" w:right="259" w:firstLine="324"/>
        <w:spacing w:after="0" w:line="282" w:lineRule="auto"/>
        <w:rPr>
          <w:sz w:val="20"/>
          <w:szCs w:val="20"/>
          <w:color w:val="auto"/>
        </w:rPr>
      </w:pPr>
      <w:r>
        <w:rPr>
          <w:rFonts w:ascii="Times New Roman" w:cs="Times New Roman" w:eastAsia="Times New Roman" w:hAnsi="Times New Roman"/>
          <w:sz w:val="18"/>
          <w:szCs w:val="18"/>
          <w:color w:val="auto"/>
        </w:rPr>
        <w:t>rules and regulations regarding reimbursement change frequently and, in some cases, at short notice, and we believe that changes in these rules and regulations are likely.</w:t>
      </w:r>
    </w:p>
    <w:p>
      <w:pPr>
        <w:spacing w:after="0" w:line="162" w:lineRule="exact"/>
        <w:rPr>
          <w:sz w:val="20"/>
          <w:szCs w:val="20"/>
          <w:color w:val="auto"/>
        </w:rPr>
      </w:pPr>
    </w:p>
    <w:p>
      <w:pPr>
        <w:ind w:left="120" w:right="259" w:firstLine="292"/>
        <w:spacing w:after="0" w:line="258" w:lineRule="auto"/>
        <w:rPr>
          <w:sz w:val="20"/>
          <w:szCs w:val="20"/>
          <w:color w:val="auto"/>
        </w:rPr>
      </w:pPr>
      <w:r>
        <w:rPr>
          <w:rFonts w:ascii="Times New Roman" w:cs="Times New Roman" w:eastAsia="Times New Roman" w:hAnsi="Times New Roman"/>
          <w:sz w:val="18"/>
          <w:szCs w:val="18"/>
          <w:color w:val="auto"/>
        </w:rPr>
        <w:t>Additionally, the IRA authorized the CMS to negotiate drug prices annually for a select number of single source Medicare Part D drugs without generic competition starting in payment year 2026, and to negotiate drug prices for a select number of Medicare Part B drugs starting for payment year 2028. If a drug product is selected by CMS for negotiation, it is expected that the revenue generated from such drug will decrease. CMS implemented these new statutory requirements, and has announced lists of Medicare Part D drugs subject to the pricing provisions of the IRA, but their impact on the biopharmaceutical industry in the United States remains uncertain, in part due to several pending federal lawsuits challenging the constitutionality of the program. The outcome of such ongoing lawsuits, as well as potential legislative changes enacted by Congress or programmatic changes implemented at CMS by the Trump Administration, may impact the IRA drug price negotiation program in the future. We cannot be sure that coverage and reimbursement will be available for any product that we commercialize in the future and, if reimbursement is available, what the level of reimbursement will be.</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Outside of the United States, international biopharmaceutical sales are generally subject to extensive governmental price controls and other market regulations, and we believe the increasing emphasis on cost-containment initiatives in Europe and other countries has and will continue to put pressure on the pricing and usage of our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w:t>
      </w:r>
    </w:p>
    <w:p>
      <w:pPr>
        <w:spacing w:after="0" w:line="18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if approved,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spacing w:after="0" w:line="183" w:lineRule="exact"/>
        <w:rPr>
          <w:sz w:val="20"/>
          <w:szCs w:val="20"/>
          <w:color w:val="auto"/>
        </w:rPr>
      </w:pPr>
    </w:p>
    <w:p>
      <w:pPr>
        <w:ind w:left="120" w:right="159" w:firstLine="292"/>
        <w:spacing w:after="0" w:line="257" w:lineRule="auto"/>
        <w:rPr>
          <w:sz w:val="20"/>
          <w:szCs w:val="20"/>
          <w:color w:val="auto"/>
        </w:rPr>
      </w:pPr>
      <w:r>
        <w:rPr>
          <w:rFonts w:ascii="Times New Roman" w:cs="Times New Roman" w:eastAsia="Times New Roman" w:hAnsi="Times New Roman"/>
          <w:sz w:val="18"/>
          <w:szCs w:val="18"/>
          <w:color w:val="auto"/>
        </w:rPr>
        <w:t>Recent federal policy initiatives, including the Trump Administration’s “Most Favored Nation” (MFN) drug pricing framework, could materially impact the pricing and commercialization of pharmaceutical products in the United States. The MFN policy seeks to align U.S. drug prices with the lowest prices paid in certain foreign markets, which could result in lower realized prices for innovative therapies and increased pricing pressure at launch. If implemented or expanded, such policies may limit our ability to establish or maintain premium pricing for our products, adversely affect revenue projections, and alter launch sequencing or commercialization strategies. In addition, MFN-based pricing may influence global pricing dynamics, as lower prices established outside the United States could be referenced in U.S. reimbursement determinations, potentially reducing overall global revenue. Ongoing uncertainty regarding the scope, enforcement, and legal durability of MFN-related policies, as well as potential compliance and reporting obligations, may further impact pricing flexibility, market access, and the commercial viability of current and future product candidates. In conjunction with the White House’s outreach to individual pharmaceutical companies to seek MFN pricing agreements, the CMS Innovation Center has proposed several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pricing demonstration models—referred to as GLOBE, GUARD, and GENEROUS—that are intended to</w:t>
      </w:r>
    </w:p>
    <w:p>
      <w:pPr>
        <w:spacing w:after="0" w:line="27" w:lineRule="exact"/>
        <w:rPr>
          <w:sz w:val="20"/>
          <w:szCs w:val="20"/>
          <w:color w:val="auto"/>
        </w:rPr>
      </w:pPr>
    </w:p>
    <w:p>
      <w:pPr>
        <w:ind w:left="120" w:right="179"/>
        <w:spacing w:after="0" w:line="259" w:lineRule="auto"/>
        <w:rPr>
          <w:sz w:val="20"/>
          <w:szCs w:val="20"/>
          <w:color w:val="auto"/>
        </w:rPr>
      </w:pPr>
      <w:r>
        <w:rPr>
          <w:rFonts w:ascii="Times New Roman" w:cs="Times New Roman" w:eastAsia="Times New Roman" w:hAnsi="Times New Roman"/>
          <w:sz w:val="18"/>
          <w:szCs w:val="18"/>
          <w:color w:val="auto"/>
        </w:rPr>
        <w:t>evaluate whether international reference pricing mechanisms and alternative rebate structures can reduce federal drug spending. The outcomes of these upcoming models may materially affect future U.S. drug pricing, reimbursement levels, and market access for pharmaceutical products, including our product candidates, should they be approved for marketing.</w:t>
      </w:r>
    </w:p>
    <w:p>
      <w:pPr>
        <w:spacing w:after="0" w:line="191"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commercialize technologies or product candidates more rapidly than we do, or their technologies or product candidates are more effective, safer, or less expensive than our current and any future product candidates we develop, our business and our ability to develop and successfully commercialize products will be adversely affected.</w:t>
      </w:r>
    </w:p>
    <w:p>
      <w:pPr>
        <w:spacing w:after="0" w:line="18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firmonertinib. Firmonertinib, our other product candidates,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and other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97" w:lineRule="exact"/>
        <w:rPr>
          <w:sz w:val="20"/>
          <w:szCs w:val="20"/>
          <w:color w:val="auto"/>
        </w:rPr>
      </w:pPr>
    </w:p>
    <w:p>
      <w:pPr>
        <w:ind w:left="120" w:right="299" w:firstLine="292"/>
        <w:spacing w:after="0" w:line="256" w:lineRule="auto"/>
        <w:rPr>
          <w:sz w:val="20"/>
          <w:szCs w:val="20"/>
          <w:color w:val="auto"/>
        </w:rPr>
      </w:pPr>
      <w:r>
        <w:rPr>
          <w:rFonts w:ascii="Times New Roman" w:cs="Times New Roman" w:eastAsia="Times New Roman" w:hAnsi="Times New Roman"/>
          <w:sz w:val="18"/>
          <w:szCs w:val="18"/>
          <w:color w:val="auto"/>
        </w:rPr>
        <w:t>We believe that our current and future competition for resources and eventually for customers comes from companies that are commercializing or developing candidates targeting EGFRm-positive NSCLC, including, but not limited to, AstraZeneca, Johnson &amp; Johnson, Blossom Hill Therapeutics, Dizal Pharmaceutical, Oric Pharmaceuticals, Black Diamond Therapeutics, Inc., Cullinan Therapeutics, Inc., Taiho Pharmaceutical Co., Ltd., Boehringer Ingelheim, and Bayer AG. In March 2024 and October 2024, chemotherapy in combination with the anti-EGFR anti-mesenchymal epithelial transition factor receptor bispecific antibody amivantamab was approved in the United States and Europe, respectively, for first line EGFRm NSCLC patients with exon 20 insertion mutations.. In January 2025, Taiho Therapeutics and Cullinan Therapeutics announced that their study of the oral EGFR inhibitor zipalertinib met the primary endpoint in a phase 2b clinical trial of patents in second or later line NSCLC patients with EGFR exon 20 insertion mutations. In July 2025, Dizal Pharmaceutical announced the FDA approval of sunvozertinib in second or later line NSCLC patients with EGFR exon 20 insertion mutations.</w:t>
      </w:r>
    </w:p>
    <w:p>
      <w:pPr>
        <w:spacing w:after="0" w:line="19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firmonertinib or any other current or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firmonertinib or any other current or future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 See “Business — Competition.”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commercial organization and have no experience as a company in commercializing products, and we may need to invest significant resources to develop these capabilities. If we are unable to establish commercialization capabilities or enter into agreements with third parties to market and sell our future products, we may not be able to generate product revenue.</w:t>
      </w:r>
    </w:p>
    <w:p>
      <w:pPr>
        <w:spacing w:after="0" w:line="176" w:lineRule="exact"/>
        <w:rPr>
          <w:sz w:val="20"/>
          <w:szCs w:val="20"/>
          <w:color w:val="auto"/>
        </w:rPr>
      </w:pPr>
    </w:p>
    <w:p>
      <w:pPr>
        <w:ind w:left="120" w:right="159" w:firstLine="292"/>
        <w:spacing w:after="0" w:line="255" w:lineRule="auto"/>
        <w:rPr>
          <w:sz w:val="20"/>
          <w:szCs w:val="20"/>
          <w:color w:val="auto"/>
        </w:rPr>
      </w:pPr>
      <w:r>
        <w:rPr>
          <w:rFonts w:ascii="Times New Roman" w:cs="Times New Roman" w:eastAsia="Times New Roman" w:hAnsi="Times New Roman"/>
          <w:sz w:val="18"/>
          <w:szCs w:val="18"/>
          <w:color w:val="auto"/>
        </w:rPr>
        <w:t>We have limited commercialization capabilities, nor have we commercialized a product. If our current or future product candidates ultimately receive regulatory approval, we must build a commercial organization with technical expertise and supporting distribution capabilities to commercialize each such product in major markets, which will be expensive and time consuming, or collaborate with third parties that have established commercialization systems, either to augment our own commercial organization or in lieu of our own commercial organization. We have no prior experience as a company with the commercializing biopharmaceutical products and there are significant risks involved in the building and managing of a commercial organization, including our ability to hire, retain and incentivize qualified individuals, generate sufficient sales leads, provide adequate training to our personnel, monitor compliance on an ongoing basis, and effectively manage a geographically dispersed commercial team. Any failure or delay in the development of our internal commercialization capabilities would adversely impact the commercialization of any future approved products. We compete with many companies that currently have extensive, experienced and well-funded teams to recruit, hire, train and retain commercial personnel, and will have to compete with those companies to recruit, hire, train and retain any of our own commercial personnel. If we are unable to expand our commercial team, we may be unable to compete successfully against these more established companies. We may not be able to enter into collaborations or hire consultants or external service providers to assist us in commercial functions on acceptable financial terms, or at all. In addition, our product revenue and our profitability, if any, may be lower if we rely on third parties for these functions than if we were to commercialize any products that we develop ourselves. We likely will have little control over such third parties, and any of them may fail to devote the necessary resources and attention to commercialize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11"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current or future product candidates are smaller than we believe they are, our revenue may be adversely affected, and our business may suffer.</w:t>
      </w:r>
    </w:p>
    <w:p>
      <w:pPr>
        <w:spacing w:after="0" w:line="159" w:lineRule="exact"/>
        <w:rPr>
          <w:sz w:val="20"/>
          <w:szCs w:val="20"/>
          <w:color w:val="auto"/>
        </w:rPr>
      </w:pPr>
    </w:p>
    <w:p>
      <w:pPr>
        <w:ind w:left="120" w:right="199" w:firstLine="292"/>
        <w:spacing w:after="0" w:line="256" w:lineRule="auto"/>
        <w:rPr>
          <w:sz w:val="20"/>
          <w:szCs w:val="20"/>
          <w:color w:val="auto"/>
        </w:rPr>
      </w:pPr>
      <w:r>
        <w:rPr>
          <w:rFonts w:ascii="Times New Roman" w:cs="Times New Roman" w:eastAsia="Times New Roman" w:hAnsi="Times New Roman"/>
          <w:sz w:val="18"/>
          <w:szCs w:val="18"/>
          <w:color w:val="auto"/>
        </w:rPr>
        <w:t>The precise incidence and prevalence for the various mutations of NSCLC we aim to address with firmonertinib or any other current or future product candidates are unknown. Similarly, the precise incidence and prevalence for the gastrointestinal cancers we aim to address with ARR-217 or any other current or future product candidates are unknown. Our projections of both the number of people who have such cancers or other diseases we target, as well as the subset of people with these diseases who have the potential to benefit from treatment with our product candidates, are based on a number of internal and third-party estimates. These estimates have been derived from a variety of sources, including scientific literature, surveys of clinics, patient foundations or market research, and may prove to be incorrect. Further, new trials may change the estimated incidence or prevalence of these indications.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The total addressable market across all of the potential indications for our current product candidates, and any future product candidates will ultimately depend upon, among other things, the diagnosis criteria included in the final label for each such product candidate which receives marketing approval for these indications, the availability of alternative treatments and the safety, convenience, cost and efficacy of such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firmonertinib, our other product candidates, and any future product candidates in foreign markets. We are not permitted to market or promote any product candidate before we receive regulatory approval from applicable regulatory authorities in foreign markets, and we may never receive such regulatory approvals for firmonertinib or any other current or future product candidates. To obtain separate regulatory approval in many other countries we must comply with numerous and varying regulatory requirements regarding safety and efficacy and governing, among other things, clinical trials, commercial sales, pricing and distribution of firmonertinib, our other product candidates and any future product candidates. Approval procedures may be more onerous than those in the United States and may require that we conduct additional nonclinical studies or clinical trials. If we obtain regulatory approval of product candidates and ultimately commercialize our products in foreign markets, we would be subject to additional risks and uncertainties, including:</w:t>
      </w:r>
    </w:p>
    <w:p>
      <w:pPr>
        <w:spacing w:after="0" w:line="194"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with respect to manufacturing, packaging or distribution of products;</w:t>
      </w:r>
    </w:p>
    <w:p>
      <w:pPr>
        <w:spacing w:after="0" w:line="117"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53"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identify, acquire, develop or commercialize new potential product candidates.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Part of our business strategy is to expand our product candidate pipeline by identifying and validating new product candidates, which we may develop ourselves, in-license or otherwise acquire from others. In addition, in the event that our existing product candidates do not receive regulatory approval or are not successfully commercialized, then the success of our business will depend on our ability to expand our product pipeline through internal development, in-licensing or other acquisitions. We may be unable to identify relevant product candidates. If we do identify such product candidates, we may be unable to reach acceptable terms with any third party from which we desire to in-license or acquire them. Any product candidates we identify, acquire, in-license, develop, or manufacture may not be safe or effective for their targeted diseases, and may not receive marketing authorization in a timely manner, or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6" w:lineRule="exact"/>
        <w:rPr>
          <w:sz w:val="20"/>
          <w:szCs w:val="20"/>
          <w:color w:val="auto"/>
        </w:rPr>
      </w:pPr>
    </w:p>
    <w:p>
      <w:pPr>
        <w:ind w:left="720" w:right="41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firmonertinib or any other current or future product candidates, which may change from time to time;</w:t>
      </w:r>
    </w:p>
    <w:p>
      <w:pPr>
        <w:spacing w:after="0" w:line="67"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firmonertinib or other current or any future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firmonertinib or any other current or future product candidates, if approved,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720" w:right="8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9"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are a clinical-stage company, and, as of December 31, 2025, had 77 full-time employees. We are highly dependent on the research and development, clinical and business development expertise of our executive officers, as well as the other principal members of our management, scientific and clinical team. Although we have entered into offer letters with our executive officers, each of them may terminate his or her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organization, and we may encounter difficulties in managing our growth and expanding our operations successfully, which could disrupt our operations.</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we had 77 full-time employees. As we continue development and pursue the potential commercialization of firmonertinib, our other product candidates and any future product candidates, as well as continue to function as a public company, we will need to expand our financial, accounting, development, regulatory, manufacturing, information technology, marketing and sales capabilities or contract with third parties to provide these capabilities for us. We may have difficulty identifying, hiring and integrating new personnel. The expansion of our operations may lead to significant costs and may divert the attention of our management and business development resources away from day-to-day activities and devote a substantial amount of time to managing internal or external growth. As our operations expand, we expect that we will need to manage additional relationships with various strategic partners, suppliers and other third parties and we may not be successful in doing so. Our future financial performance and our ability to develop and commercialize firmonertinib, our other product candidates and any future product candidates and to compete effectively will depend, in part, on our ability to manage any future growth effectively.</w:t>
      </w:r>
    </w:p>
    <w:p>
      <w:pPr>
        <w:spacing w:after="0" w:line="188"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83" w:lineRule="exact"/>
        <w:rPr>
          <w:sz w:val="20"/>
          <w:szCs w:val="20"/>
          <w:color w:val="auto"/>
        </w:rPr>
      </w:pPr>
    </w:p>
    <w:p>
      <w:pPr>
        <w:ind w:left="720" w:right="199" w:hanging="319"/>
        <w:spacing w:after="0" w:line="255"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61" w:lineRule="auto"/>
        <w:rPr>
          <w:sz w:val="20"/>
          <w:szCs w:val="20"/>
          <w:color w:val="auto"/>
        </w:rPr>
      </w:pPr>
      <w:r>
        <w:rPr>
          <w:rFonts w:ascii="Times New Roman" w:cs="Times New Roman" w:eastAsia="Times New Roman" w:hAnsi="Times New Roman"/>
          <w:sz w:val="18"/>
          <w:szCs w:val="18"/>
          <w:color w:val="auto"/>
        </w:rPr>
        <w:t>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2" w:lineRule="exact"/>
        <w:rPr>
          <w:sz w:val="20"/>
          <w:szCs w:val="20"/>
          <w:color w:val="auto"/>
        </w:rPr>
      </w:pPr>
    </w:p>
    <w:p>
      <w:pPr>
        <w:ind w:left="720" w:right="139" w:hanging="319"/>
        <w:spacing w:after="0" w:line="274" w:lineRule="auto"/>
        <w:tabs>
          <w:tab w:leader="none" w:pos="7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Times New Roman" w:cs="Times New Roman" w:eastAsia="Times New Roman" w:hAnsi="Times New Roman"/>
          <w:sz w:val="17"/>
          <w:szCs w:val="17"/>
          <w:color w:val="auto"/>
        </w:rPr>
      </w:pPr>
    </w:p>
    <w:p>
      <w:pPr>
        <w:ind w:left="720" w:right="119" w:hanging="319"/>
        <w:spacing w:after="0" w:line="255"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80" w:lineRule="exact"/>
        <w:rPr>
          <w:rFonts w:ascii="Times New Roman" w:cs="Times New Roman" w:eastAsia="Times New Roman" w:hAnsi="Times New Roman"/>
          <w:sz w:val="18"/>
          <w:szCs w:val="18"/>
          <w:color w:val="auto"/>
        </w:rPr>
      </w:pPr>
    </w:p>
    <w:p>
      <w:pPr>
        <w:jc w:val="both"/>
        <w:ind w:left="720" w:right="27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or local laws that require biotechnology companies to comply with the biopharmaceutical industry’s voluntary compliance guidelines and the relevant compliance guidance promulgated by the federal government to report information related to payments and other transfers of value to physicians and other healthcare providers or marketing expenditures; to report information on the pricing of certain drug products; and the registration of pharmaceutical sales representatives doing business within the jurisdiction, among other potentially applicable state and local laws and regulations.</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193"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firmonertinib, our other product candidates, and any future product candidates and may affect the prices we may set.</w:t>
      </w:r>
    </w:p>
    <w:p>
      <w:pPr>
        <w:spacing w:after="0" w:line="175"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For example, in March 2010,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8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March 11, 2021, the American Rescue Plan Act of 2021 was signed into law, which eliminated the statutory cap on the Medicaid drug rebate, set at 100% of a drug’s average manufacturing price, beginning January 1, 2024.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Most recently, the IRA introduced a number of significant drug pricing reforms, including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The program being implemented by HHS is currently the subject of several federal lawsuits, and its ultimate form remains uncertain.</w:t>
      </w:r>
    </w:p>
    <w:p>
      <w:pPr>
        <w:spacing w:after="0" w:line="19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Separately, the Trump Administration announced the creation of a government website called TrumpRx, which will allow consumers to purchase certain drugs at reduced prices as negotiated between the drug manufacturers and the administration. As of January 2026, the Trump Administration had secured deals with 16 major drug manufacturers to offer certain drugs at most-favored-nation prices.</w:t>
      </w:r>
    </w:p>
    <w:p>
      <w:pPr>
        <w:spacing w:after="0" w:line="180"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had led to further and more aggressive efforts by states in this area. The FTC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as PBM reform continues to be a bipartisan priority. In February 2026, President Trump signed into law several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(DOL) also issued a proposed rule in January 2026 that would mandate specific PBM fee disclosures to self-insured plan fiduciaries under ERISA. If finalized as proposed, the DOL rule would also allow plan fiduciaries to audit those PBM disclosures to confirm accuracy. Additional proposals and legislative changes aimed at PBMs and their business practices are likely to continue to be introduced and considered in Congress and by executive agencies. Significant efforts to change the PBM industry as it currently exists in the U.S. may affect the entire pharmaceutical supply chain and the business of other stakeholders, including innovative drug product developers like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if enacted and applicable to any of our future commercial products,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firmonertinib, our other product candidates, and any future product candidates, if approved, or put pressure on our product pricing, which could negatively affect our business, results of operations, financial condition and prospects.</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firmonertinib, our other product candidates and any future product candidates, if approved.</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any products we may develop.</w:t>
      </w:r>
    </w:p>
    <w:p>
      <w:pPr>
        <w:spacing w:after="0" w:line="15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trials of firmonertinib, our other product candidates, and any future product candidates and will face an even greater risk if we commercialize our product candidates, especially if our products are prescribed for off-label uses, even though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72" w:lineRule="exact"/>
        <w:rPr>
          <w:sz w:val="20"/>
          <w:szCs w:val="20"/>
          <w:color w:val="auto"/>
        </w:rPr>
      </w:pPr>
    </w:p>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158"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future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any injured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firmonertinib or any other current or future product candidates;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currently hold approximately $10.0 million in product liability insurance coverage in the aggregate. We may need to increase our insurance coverage as we expand our clinical trials or if we commence commercialization of firmonertinib or any other current or future product candidates. Insurance coverage is increasingly expensive. Our inability to obtain and retain sufficient product liability insurance at an acceptable cost to protect against potential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product liability claims could prevent or inhibit the commercialization of firmonertinib or any other current or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We do not carry insurance for all categories of risk that our business may encounter. Some of the policies we currently maintain include property, general liability, employment benefits liability, workers’ compensation, products liability, malicious invasion of our electronic systems,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169"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U.S. and foreign laws, regulations, and rules, as well as contractual obligations, and policies related to data privacy and data protection. Our, or those of collaborators or other third parties on which we rely,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and process personal data and other sensitive information, including proprietary and confidential business data, trade secrets, employee data, intellectual property, data we collect about trial participants in connection with clinical trials, and other sensitive third-party data. Our data processing activities may subject us to numerous privacy and data protection obligations, such as various laws, regulations, guidance, industry standards, external and internal privacy and security policies, contractual requirements, and other obligations relating to privacy and data protection.</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or amend current laws, rules or regulations, enact new laws, rules or regulations or issue revised rules or guidance regarding privacy and data protection. In the United States, federal, state, and local governments have enacted numerous privacy and data protection laws, including data breach notification laws, personal data privacy laws, consumer protection laws, e.g., Section 5 of the Federal Trade Commission Act, and other similar laws, e.g., wiretapping laws. HIPAA, as amended by the Health Information Technology for Economic and Clinical Health Act of 2009 and their respective implementing regulations (collectively, HIPAA), imposes certain privacy and security requirements for individually identifiable health information on certain entities, namely certain healthcare providers, health plans, and healthcare clearinghouses (covered entities) and their respective “business associates” who directly or as a subcontractor provide services involving the creation, use, maintenance or disclosure of individually identifiable health information on covered entities’ behalf. As a clinical trial sponsor, we are not directly subject to HIPAA, but we do have relationships with providers and other entities subject to the law and thus must structure those relationships in a manner consistent with HIPAA requirements. If any of the physicians or other health care providers or entities with whom we expect to do business are found to be not in compliance with HIPAA or other applicable privacy laws, they may be subject to criminal, civil or administrative sanctions, including exclusions from government funded health care programs. If regulatory authorities challenge our activities, or those of a collaborator or other third party on which we rely, under HIPAA or other privacy laws applicable to the privacy and security of health information, any such challenge could have a material adverse effect on our reputation, business, results of operations and financial condition. Any investigation of or enforcement against us or the third parties with whom we contract, including a research collaborator, regardless of the outcome, would be costly and time consuming, and may negatively affect our ability to conduct clinical trials,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Other federal and state laws establish additional requirements for protecting the privacy and security of health information that is not protected by HIPAA. For instance, Washington state recently passed the “My Health My Data” Act, which came into force in 2024 and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recently enacted a consumer health data privacy bill, SB 370, which also took effect in 2024, and regulates “consumer health data.” SB 370 shares many similarities with Washington’s “My Health My Data” Act, and Connecticut recently amended its comprehensive privacy law to include heighted regulation of “consumer health data.” Additional states may adopt health-specific privacy laws that could impact our business activities and our collection and handling of health-related data.</w:t>
      </w:r>
    </w:p>
    <w:p>
      <w:pPr>
        <w:spacing w:after="0" w:line="19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More broadly, various U.S. states now regulate the processing of personal data. For example, California was the first of an ever-increasing number of states to enact comprehensive state privacy legislation with the California Consumer Privacy Act (CCPA), which went into effect in January of 2020. The CCPA established a privacy framework for covered businesses by creating an expanded definition of personal data, establishing data privacy rights for California residents, requiring covered businesses to provide disclosures to California residents, and creating a statutory damages framework with the potential for severe damages for violations of the CCPA and for businesses that fail to implement reasonable security procedures and practices to prevent data breaches, as well as a private right of action for certain data breaches. Additionally, in 2020 California voters passed the California Privacy Rights Act of 2020 (CPRA), which went into effect on January 1, 2023. The CPRA significantly amends and expands the CCPA, such as granting additional rights to California residents, including the right to correct personal data and additional opt-out rights. Among other things, the CPRA also establishes a regulatory agency, the California Privacy Protection Agency, which enacts new regulations under the CCPA and has expanded enforcement authority. In 2023, comprehensive privacy laws in Virginia, Colorado, Connecticut, and Utah all took effect, and laws in Montana, Oregon, and Texas took effect during 2024. Laws in a number of other U.S. states took effect, or are set to take effect, in 2025, in 2026, and beyond. Additional U.S. states have proposals under consideration, all of which are likely to increase our regulatory compliance costs and risks, exposure to regulatory enforcement action, and other liabilities. While these state privacy laws, such as the CCPA, contain exemptions for certain types of personal data, such as personal data processed in the context of clinical trials, these laws may further complicate compliance efforts, and increase legal risk and compliance costs for us and the third parties upon whom we rely. The scope and enforcement of these laws is uncertain and evolving. In addition to government activity, privacy advocacy groups and technology and other industries are considering various new, additional or different self-regulatory standards that may place additional burdens on us.</w:t>
      </w:r>
    </w:p>
    <w:p>
      <w:pPr>
        <w:spacing w:after="0" w:line="188" w:lineRule="exact"/>
        <w:rPr>
          <w:sz w:val="20"/>
          <w:szCs w:val="20"/>
          <w:color w:val="auto"/>
        </w:rPr>
      </w:pPr>
    </w:p>
    <w:p>
      <w:pPr>
        <w:ind w:left="100" w:right="259" w:firstLine="284"/>
        <w:spacing w:after="0" w:line="253"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data as well. In the ordinary course of business, we transfer personal data from Europe and other jurisdictions to the United States or other countries and may be subject to the General Data Protection Regulation (GDPR) and UK GDPR, as well as other foreign data protection laws. Europe and other jurisdictions have enacted laws requiring data to be localized or limiting the transfer of personal data to other countries and impose other restrictions on processing sensitive personal data, including genetic information and testing information. In particular, the EEA and</w:t>
      </w:r>
    </w:p>
    <w:p>
      <w:pPr>
        <w:spacing w:after="0" w:line="5" w:lineRule="exact"/>
        <w:rPr>
          <w:sz w:val="20"/>
          <w:szCs w:val="20"/>
          <w:color w:val="auto"/>
        </w:rPr>
      </w:pPr>
    </w:p>
    <w:p>
      <w:pPr>
        <w:ind w:left="100" w:right="199"/>
        <w:spacing w:after="0" w:line="251" w:lineRule="auto"/>
        <w:rPr>
          <w:sz w:val="20"/>
          <w:szCs w:val="20"/>
          <w:color w:val="auto"/>
        </w:rPr>
      </w:pPr>
      <w:r>
        <w:rPr>
          <w:rFonts w:ascii="Times New Roman" w:cs="Times New Roman" w:eastAsia="Times New Roman" w:hAnsi="Times New Roman"/>
          <w:sz w:val="18"/>
          <w:szCs w:val="18"/>
          <w:color w:val="auto"/>
        </w:rPr>
        <w:t>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July 2023, the European Commission adopted an adequacy decision for a new mechanism for transferring personal data from the European Union to the United States, the EU-U.S. Data Privacy Framework, which provides EU individuals with several new rights, including the right to obtain access to their data, or obtain correction or deletion of incorrect or unlawfully handled data. In addition, the EU-U.S. Data Privacy Framework offers additional redress avenues for violations, including free of charge independent dispute resolution mechanisms and an arbitration panel. The United Kingdom followed the European Commission in October of 2023 and adopted its “extension” to the EU-U.S. Data Privacy Framework. The European Commission and the United Kingdom will continually review developments in the United States along with their adequacy decisions. Adequacy decisions can be adapted or even withdrawn in the event of developments affecting the level of protection in the applicable jurisdiction. Future actions of EU and UK data protection authorities are difficult to predict, and the GDPR permits EU states to frame national legislation that may derogate from the GDPR.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2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effective October of 2025, the DOJ has implemented what is known as the Bulk Transfer</w:t>
      </w:r>
    </w:p>
    <w:p>
      <w:pPr>
        <w:ind w:left="60" w:right="219"/>
        <w:spacing w:after="0" w:line="251" w:lineRule="auto"/>
        <w:rPr>
          <w:sz w:val="20"/>
          <w:szCs w:val="20"/>
          <w:color w:val="auto"/>
        </w:rPr>
      </w:pPr>
      <w:r>
        <w:rPr>
          <w:rFonts w:ascii="Times New Roman" w:cs="Times New Roman" w:eastAsia="Times New Roman" w:hAnsi="Times New Roman"/>
          <w:sz w:val="18"/>
          <w:szCs w:val="18"/>
          <w:color w:val="auto"/>
        </w:rPr>
        <w:t>Rule restricting transfers of bulk sensitive personal data (like health, genomic, or financial info) and U.S. government-related data to “countries of concern” (e.g., China, Russia) or related entities, focusing on national security by preventing adversary access, absent an exception that permits such transfers. It requires U.S. companies to implement data security programs, audit compliance, and maintain records, with significant penalties for violations, aiming to safeguard sensitive U.S. data from foreign adversaries. In the ordinary course of business, as part of our clinical development programs, we transfer health and other data to China and we could face significant adverse consequences, including the interruption or degradation of our operations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if we are unable to comply with the requirements of the Bulk Transfer Rule.</w:t>
      </w:r>
    </w:p>
    <w:p>
      <w:pPr>
        <w:spacing w:after="0" w:line="17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to privacy and data protection laws in the United States, European Union, and United Kingdom, various other jurisdictions in which we operate have established legal frameworks relating to privacy, data protection, and information security matters to which we may also be subject. For example, we are also subject to laws in China. Under the Cybersecurity Law of the People’s Republic of China (China’s Cybersecurity Law), any collection, use, transfer and storage of personal information of a Chinese citizen through a network by the network operator should be based on the three principles of legitimacy, justification and necessity and requires the consent of the data subject. The rules, purposes, methods and ranges of such collection should also be disclosed to the data subject. China’s data localization requirements are becoming increasingly common in sector-specific regulations, and laws including data localization requirements exist in many of the other jurisdictions in which we operate. For example, China’s Cybersecurity Law requires operators of critical information infrastructure (CIIOs) to store personal information and important data collected and generated from the critical information infrastructure within China. Non-compliance with China’s Cybersecurity Law can result in fines for the relevant entity as well as for the personnel directly responsible. On September 14, 2022, the Cyberspace Administration of China (CAC), China’s top cybersecurity regulator, released new amendments to China’s Cybersecurity Law for public consultation and if the amendments are passed, the amended law will increase the penalties for violations of cybersecurity obligations under the Cybersecurity Law to up to RMB 50 million, in line with those under the Data Security Law and PIPL.</w:t>
      </w:r>
    </w:p>
    <w:p>
      <w:pPr>
        <w:spacing w:after="0" w:line="19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Building on this, China’s Data Security Law (Data Security Law) became effective on September 1, 2021. The primary purpose of the Data Security Law is to regulate data activities, safeguard data security, promote data development and usage, protect individuals and entities’ legitimate rights and interests, and safeguard state sovereignty, state security and development interests. The Data Security Law applies extraterritorially, and to a broad range of activities that involve “data” (not only personal or sensitive data). Under the Data Security Law, entities and individuals carrying out data activities must abide by various data security obligations. For example, the Data Security Law proposes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appropriate level of protective measures is required to be taken for each respective class of data. The Data Security Law also echoes the data localization requirement in the Cybersecurity Law and requires important data to be stored locally in China. Such important data may only be transferred outside of China subject to compliance with certain data transfer restrictions, such as passing a security assessment organized by the relevant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76" w:lineRule="auto"/>
        <w:rPr>
          <w:sz w:val="20"/>
          <w:szCs w:val="20"/>
          <w:color w:val="auto"/>
        </w:rPr>
      </w:pPr>
      <w:r>
        <w:rPr>
          <w:rFonts w:ascii="Times New Roman" w:cs="Times New Roman" w:eastAsia="Times New Roman" w:hAnsi="Times New Roman"/>
          <w:sz w:val="17"/>
          <w:szCs w:val="17"/>
          <w:color w:val="auto"/>
        </w:rPr>
        <w:t>The Cybersecurity Review Measures, which took effect on February 15, 2022 in China, clarify when entities must apply for a mandatory cybersecurity review from the Chinese government authorities. These circumstances include</w:t>
      </w:r>
    </w:p>
    <w:p>
      <w:pPr>
        <w:spacing w:after="0" w:line="1" w:lineRule="exact"/>
        <w:rPr>
          <w:sz w:val="20"/>
          <w:szCs w:val="20"/>
          <w:color w:val="auto"/>
        </w:rPr>
      </w:pPr>
    </w:p>
    <w:p>
      <w:pPr>
        <w:jc w:val="both"/>
        <w:ind w:left="60" w:right="179" w:hanging="10"/>
        <w:spacing w:after="0" w:line="250" w:lineRule="auto"/>
        <w:tabs>
          <w:tab w:leader="none" w:pos="2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CIIOs purchase network products that may affect national security, (ii) when a network platform operator’s data processing activities may affect national security, or (iii) when a network platform operator holds personal information of more than one million individuals and plans on listing publicly outside China. Network platform operators are not defined under the Cybersecurity Review Measures but are understood to be broadly interpreted to include all Internet</w:t>
      </w:r>
    </w:p>
    <w:p>
      <w:pPr>
        <w:spacing w:after="0" w:line="1" w:lineRule="exact"/>
        <w:rPr>
          <w:rFonts w:ascii="Times New Roman" w:cs="Times New Roman" w:eastAsia="Times New Roman" w:hAnsi="Times New Roman"/>
          <w:sz w:val="18"/>
          <w:szCs w:val="18"/>
          <w:color w:val="auto"/>
        </w:rPr>
      </w:pPr>
    </w:p>
    <w:p>
      <w:pPr>
        <w:ind w:left="60" w:right="1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operators or service providers, thus providing for a broad application. A mandatory cybersecurity review is likely to prolong the timeline of any contemplated listing timeline outside China and increase the regulatory compliance burden on entities that are subject to this requirement. At this time, the Company does not act as a network platform operator and does not hold the personal information of more than one million individuals in China, and as such, we do not believe the Company would be subject to the Cybersecurity Review Measures. However, the relevant Chinese authorities have great discretion, and it is generally uncertain as to how they may interpret and enforce the Cybersecurity Review Measures in practice.</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Additionally, on August 20, 2021, China announced the Personal Information Protection Law (PIPL), which took effect on November 1, 2021. The PIPL is intended to clarify the scope of application, the definitions of personal information and sensitive personal information, the legality of personal information processing and the basic requirements of notice and consent, among other things. The PIPL also sets out data localization requirements for CIIOs and personal information processors who process personal information above a certain threshold prescribed by the relevant authorities. The PIPL also includes a list 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w:t>
      </w:r>
    </w:p>
    <w:p>
      <w:pPr>
        <w:spacing w:after="0" w:line="19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July 7, 2022, the CAC issued Security Assessment Measures for Outbound Data Transfers, which became effective on September 1, 2022. The Security Assessment Measures for Outbound Data Transfers clarifies the security assessment requirement under the PIPL and requires a data processor to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one million individuals’ personal information; (iii) where a data processor has cumulatively provided personal information of over 100,000 individuals or sensitive personal information of over 10,000 individuals in total abroad since January 1st of the previous year. Additionally, on November 18, 2022, the CAC and the State Administration of Market Regulation issued the Implementation Rules for Personal Information Protection Certification which apply with immediate effect and which provide important guidance on obtaining a personal information certification for lawful cross-border transfer of personal information under the PIPL.</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Notably, the PIPL, similar to both the GDPR and certain U.S. privacy laws, applies extraterritorially.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to China’s Cybersecurity Law, the Data Security Law and the PIPL, the government agencies of China promulgated several regulations or released a number of draft regulations for public comments which are designed to provide further implemental guidance in accordance with the laws mentioned above. We cannot predict what impact the new laws and regulations or the increased costs of compliance, if any, will have on our operations in China, in particular the Data Security Law or PIPL, or the increased costs of compliance, if any, will have on our operations in China due to their recent enactment and the limited guidance available on their scope and applicability, particularly on PIPL.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also publicly post privacy policies and notices that describe our practices concerning our collection, use, disclosure and other processing of personal data. Although we endeavor to comply with our public-facing privacy policies and notices, we may at times fail to do so or be perceived to have failed to do so, and we may be subject us to enforcement actions if our privacy policies and notices are found to be deceptive, unfair or misrepresentative of our actual practices, which could result in, regulatory inquiries and investigations or adverse publicity and could cause our customers and collaborators to lose trust in us, any of which could adversely affect our business, financial condition, results of operations and prospects.</w:t>
      </w:r>
    </w:p>
    <w:p>
      <w:pPr>
        <w:spacing w:after="0" w:line="18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the Company may find that it is violating the laws or regulations of another jurisdiction. Despite the Company’s efforts, the Company may not have fully complied in the past and may not in the future. Evolving legal, contractual, and other privacy and data protection obligations, could impose significant limitations, require changes to our business, or restrict our collection, use, storage or processing of personal data, which may increase our compliance expenses and make our business more costly or less efficient to conduct. In addition, any such changes could impact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which, in turn, could adversely affect our business, financial condition, results of operations and prospects. Complying with these numerous, complex and often evolving requirements is expensive and difficult, and suspected and actual failure to comply, whether by us, our service providers, CROs, business partners or other third parties, or any inadvertent or unauthorized access to or use or disclosure of data that we store or handle as part of operating our business, could adversely affect our business, financial condition, results of operations and prospects, including but not limited to: loss of customers; interruptions or stoppages in our business operations (including clinical trials); inability to process personal data or to operate in certain jurisdictions; limit our ability to develop or commercialize our products; expenditure of time and resources;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We may also be contractually required to indemnify and hold harmless third parties.</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79"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clinical sites, or other contractors or consultants upon which we rely, are or were compromised, become unavailable or suffer cybersecurity incidents,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p>
      <w:pPr>
        <w:spacing w:after="0" w:line="183"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cybersecurity incidents.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information technology systems and those of our CROs,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 Finally, developments in artificial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intelligence (AI) and machine learning provide threat actors with the capability to use more sophisticated means to attack our systems and may exacerbate cybersecurity risk. There can be no assurance that we will be successful in preventing cybersecurity incidents or successfully mitigating their effects.</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payments to the threat actors, but we may be unwilling or unable to do so, including, for example, if applicable laws or regulations prohibit such payments.</w:t>
      </w:r>
    </w:p>
    <w:p>
      <w:pPr>
        <w:spacing w:after="0" w:line="18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Some threat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9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vulnerabilities or risks that were not found during due diligence of such acquired or integrated entities, and it may be difficult to integrate companies into our information technology environment and security program.</w:t>
      </w:r>
    </w:p>
    <w:p>
      <w:pPr>
        <w:spacing w:after="0" w:line="183"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183"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w:t>
      </w:r>
    </w:p>
    <w:p>
      <w:pPr>
        <w:spacing w:after="0" w:line="2" w:lineRule="exact"/>
        <w:rPr>
          <w:sz w:val="20"/>
          <w:szCs w:val="20"/>
          <w:color w:val="auto"/>
        </w:rPr>
      </w:pPr>
    </w:p>
    <w:p>
      <w:pPr>
        <w:ind w:left="60" w:right="459"/>
        <w:spacing w:after="0" w:line="260" w:lineRule="auto"/>
        <w:rPr>
          <w:sz w:val="20"/>
          <w:szCs w:val="20"/>
          <w:color w:val="auto"/>
        </w:rPr>
      </w:pPr>
      <w:r>
        <w:rPr>
          <w:rFonts w:ascii="Times New Roman" w:cs="Times New Roman" w:eastAsia="Times New Roman" w:hAnsi="Times New Roman"/>
          <w:sz w:val="18"/>
          <w:szCs w:val="18"/>
          <w:color w:val="auto"/>
        </w:rPr>
        <w:t>A cybersecurity incident or other interruption could disrupt our ability, and that of third parties upon whom we rely, to provide our products and services and conduct clinical trials.</w:t>
      </w:r>
    </w:p>
    <w:p>
      <w:pPr>
        <w:spacing w:after="0" w:line="18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cybersecurity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regulatory authorities and other individuals of cybersecurity incidents, and take other remedial measures.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18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timelines and plans are subject to risks arising from epidemic or pandemic diseases.</w:t>
      </w:r>
    </w:p>
    <w:p>
      <w:pPr>
        <w:spacing w:after="0" w:line="15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adversely affected by public health threats, including epidemics and pandemics, that disrupt our commercial operations, supply chains, clinical trials, and other essential activities.COVID-19, which is no longer considered a public health emergency both globally and in the United States, presented substantial public health and economic challenges and affected our employees, patients, physicians and other healthcare providers, communities and business operations, as well as the U.S. and global economies and financial markets. During the COVID-19 pandemic, international and U.S. governmental authorities in impacted regions took multiple and diverse actions in an effort to slow the spread of COVID-19 and variants of the virus, including issuing varying forms of “stay-at-home” orders. Such measures taken by the governmental authorities to respond to any future epidemic or pandemic disease outbreaks could disrupt the supply chain and the manufacture or shipment of drug substances and finished drug products for firmonertinib and our other product candidates for use in our clinical trials and research and nonclinical studies and, delay, limit or prevent our employees and CROs from continuing research and development activities, impede our clinical trial initiation and recruitment and the ability of patients to continue in clinical trials, including due to measures taken that may limit social interaction or prevent reopening of high-transmission settings, impede testing, monitoring, data collection and analysis and other related activities, any of which could delay our nonclinical studies and clinical trials and increase our development costs, and have a material adverse effect on our business, financial condition and results of operations. Any future epidemic or pandemic disease outbreak could also potentially further affect the business of the FDA, the European Medicines Agency (EMA) or other comparable regulatory authorities, which could result in delays in meetings related to our planned clinical trials. Any future epidemic disease outbreak may have an adverse impact on global economic conditions which could have an adverse effect on our business and financial condition, including impairing our ability to raise capital when needed.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9"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9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spacing w:after="0" w:line="185"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 and insider trading, which could harm our business, financial condition and results of operations.</w:t>
      </w:r>
    </w:p>
    <w:p>
      <w:pPr>
        <w:spacing w:after="0" w:line="17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foreign regulatory authority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w:t>
      </w:r>
    </w:p>
    <w:p>
      <w:pPr>
        <w:spacing w:after="0" w:line="2" w:lineRule="exact"/>
        <w:rPr>
          <w:sz w:val="20"/>
          <w:szCs w:val="20"/>
          <w:color w:val="auto"/>
        </w:rPr>
      </w:pPr>
    </w:p>
    <w:p>
      <w:pPr>
        <w:ind w:left="60" w:right="159" w:hanging="10"/>
        <w:spacing w:after="0" w:line="251"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prohibit insider trading. Activities subject to these laws also involve the improper use or misrepresentation of information obtained in the course of clinical trials, the creation of fraudulent data in our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our initial public offering completed in January 2024 or other ownership changes.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until such unused losses expire, if at all. At December 31, 2025, we had gross net operating loss (NOL) carryforwards of $138.5 million for federal income tax purposes and $121.7 million for state income tax purposes. Our federal NOL carryforwards will not expire but may generally only be used to offset 80% of taxable income, which may require us to pay federal income taxes in future years despite generating federal NOL carryforwards in prior years. We also had research and development tax credit carryforwards of $9.1 million that will begin to expire in 2041.</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our NOL carryforwards and other tax attributes are subject to review and possible adjustment by the Internal Revenue Service (IRS) and state tax authorities. Furthermore, in general, under Section 382 of the U.S. Internal Revenue Code of 1986, as amended (the Code), our federal and state NOL carryforwards and research and development tax credit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determined the amount of the cumulative change in our ownership resulting from our initial public offering completed in January 2024 or other transactions, or any resulting limitations on our ability to utilize our NOL carryforwards and other tax attributes. However, we believe that our ability to utilize our NOL carryforwards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other tax attributes to offset future taxable income or tax liabilities may be limited as a result of ownership changes including changes related to our initial public offering completed in January 2024. If we earn taxable income, such limitations could result in increased future income tax liability to us and our future cash flows could be adversely affected. We have recorded a full valuation allowance related to our NOL and credit carryforwards and other deferred tax assets due to the uncertainty of the ultimate realization of the future benefits of those assets.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IRA introduced, among other changes, a 15% corporate minimum tax on certain United States corporations and a 1% excise tax on certain stock redemptions by United States corporations. The U.S. government may enact further significant changes to the taxation of business entities. The likelihood of these changes being enacted or implemented is unclear. We are currently unable to predict the ultimate impact of the IRA or any such further changes on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affect our business and results of operations.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While inflation in the United States has been relatively low in recent years, from 2021 to 2023, the economy in the United States encountered a material level of inflation. Inflation and fluctuations in inflation rates have had in the past, and may in the future have, negative effects on economies and financial markets, particularly in emerging economies. For example, increases in inflation raise our costs for commodities, labor, materials and services and other costs required to grow and operate our business, and failure to secure these on reasonable terms may adversely impact our financial condition. Governmental efforts to curb inflation often have negative effects on the level of economic activity. There can be no assurance that inflation will not become a serious problem in the future and have an adverse impact on the Company's returns. The geopolitical developments such as the Russia-Ukraine and Middle East conflicts and global supply chain disruptions continue to increase uncertainty in the outlook of near-term and long-term economic activity, as well as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90"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light of the presidential transition in 2025, global trade disputes may be magnified, including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our financial condition, results of operations or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firmonertinib, our other product candidates or future product candidates or technology, or if the scope of our intellectual property rights is not sufficiently broad, our competitors or other third parties could develop and commercialize products similar or identical to ours, and our ability to successfully commercialize firmonertinib or any other current or future product candidates may be adversely affected.</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maintain, enforce, and defend patent rights, trademarks and our proprietary know-how of sufficient scope in the United States and other countries with respect to our product candidates and other proprietary technologies we may develop. If we are unable to obtain, maintain or enforce our intellectual property rights of sufficient scope, our business, financial condition, results of operations and prospects could be materially harmed.</w:t>
      </w:r>
    </w:p>
    <w:p>
      <w:pPr>
        <w:spacing w:after="0" w:line="183" w:lineRule="exact"/>
        <w:rPr>
          <w:sz w:val="20"/>
          <w:szCs w:val="20"/>
          <w:color w:val="auto"/>
        </w:rPr>
      </w:pPr>
    </w:p>
    <w:p>
      <w:pPr>
        <w:ind w:left="120" w:right="319" w:firstLine="292"/>
        <w:spacing w:after="0" w:line="263" w:lineRule="auto"/>
        <w:rPr>
          <w:sz w:val="20"/>
          <w:szCs w:val="20"/>
          <w:color w:val="auto"/>
        </w:rPr>
      </w:pPr>
      <w:r>
        <w:rPr>
          <w:rFonts w:ascii="Times New Roman" w:cs="Times New Roman" w:eastAsia="Times New Roman" w:hAnsi="Times New Roman"/>
          <w:sz w:val="18"/>
          <w:szCs w:val="18"/>
          <w:color w:val="auto"/>
        </w:rPr>
        <w:t>We rely on in-licensed patent rights for our current product candidates. Changes in either the patent laws or their interpretation in the United States and other jurisdictions may diminish our or our licensor’s ability to protect our intellectual property, obtain, maintain and enforce our intellectual property rights and, more generally, could affect the value of our intellectual property or narrow the scope of our protection. We cannot predict whether the patents we have in-licensed will provide sufficient protection against competitors or other third parties, or if these patents are challenged by our competitors, will be found to be invalid, unenforceable, or not infringed. We also cannot predict</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539"/>
        <w:spacing w:after="0" w:line="297" w:lineRule="auto"/>
        <w:rPr>
          <w:sz w:val="20"/>
          <w:szCs w:val="20"/>
          <w:color w:val="auto"/>
        </w:rPr>
      </w:pPr>
      <w:r>
        <w:rPr>
          <w:rFonts w:ascii="Times New Roman" w:cs="Times New Roman" w:eastAsia="Times New Roman" w:hAnsi="Times New Roman"/>
          <w:sz w:val="18"/>
          <w:szCs w:val="18"/>
          <w:color w:val="auto"/>
        </w:rPr>
        <w:t>whether patent application our licensor is currently pursuing or patent application we may in the future pursue or in-license will issue as patents in any particular jurisdiction.</w:t>
      </w:r>
    </w:p>
    <w:p>
      <w:pPr>
        <w:spacing w:after="0" w:line="149" w:lineRule="exact"/>
        <w:rPr>
          <w:sz w:val="20"/>
          <w:szCs w:val="20"/>
          <w:color w:val="auto"/>
        </w:rPr>
      </w:pPr>
    </w:p>
    <w:p>
      <w:pPr>
        <w:ind w:left="120" w:right="159" w:firstLine="292"/>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or our licensors may not be able to file, prosecute, maintain, enforce, or license all necessary or desirable patent applications or reissue applications at a reasonable cost or in a timely manner or in all jurisdictions. It is also possible that we will fail to identify patentable aspects of our research and development output in time to obtain patent protection before public disclosures are made.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or our licensors’ ability to seek patent protection. Consequently, we may not be able to prevent any third party from using any of our technology that is in the public domain to compete with our current product candidates, and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w:t>
      </w:r>
    </w:p>
    <w:p>
      <w:pPr>
        <w:spacing w:after="0" w:line="18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pharmaceutical product candidates often provide a strong form of intellectual property protection for those types of products, as such patents provide protection without regard to any method of use. We cannot be certain that the claims covering compositions of matter in any of our issued or reissued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license or may license or own covering our firmonertinib or any other current or future product candidates could be narrowed or found invalid or unenforceable if challenged in court or before administrative bodies in the United States or other countries, including the United States Patent and Trademark Office (USPTO). Also, patent terms, including any extensions or adjustments that may or may not be available to us, may be inadequate to protect our competitive position on our product candidates for an adequate amount of time, and we may be subject to claims challenging the inventorship, validity, or enforceability of our patents and/or other intellectual property. Changes in United States patent law, or laws in other countries, could diminish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value of patents in general, thereby impairing our ability to protect our product candidates.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narrowed before the corresponding patent is granted. Even if our owned or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Our competitors or other third parties may avail themselves of safe harbors under the Drug Price Competition and Patent Term Restoration Act of 1984 (Hatch-Waxman Amendments) to conduct research and clinical trials. Consequently, we do not know whether firmonertinib or any of our other current or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current and future product candidates, patents protecting the product candidates might expire before or shortly after such product candidates are commercialized. As a result, our patents may not provide us with sufficient rights to exclude others from commercializing products similar or identical to ours.</w:t>
      </w:r>
    </w:p>
    <w:p>
      <w:pPr>
        <w:spacing w:after="0" w:line="19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in-licensed patents or patents we may own in the future. Such submissions may also be made prior to a patent’s issuance, precluding the granting of a patent based on one of our owned or licensed pending patent applications. A third party may also claim that our patent rights are invalid or unenforceable in litigation. The outcome following legal assertions of invalidity and unenforceability is unpredictable. In addition, we may become involved in opposition, derivation, revocation, reexamination, reissue, post-grant and inter partes review or interference proceedings and other similar proceedings in foreign jurisdictions challenging the validity, priority or other features of patentability of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our products without infringing third-party patent rights. Such proceedings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6" w:lineRule="exact"/>
        <w:rPr>
          <w:sz w:val="20"/>
          <w:szCs w:val="20"/>
          <w:color w:val="auto"/>
        </w:rPr>
      </w:pPr>
    </w:p>
    <w:p>
      <w:pPr>
        <w:ind w:left="60" w:right="99" w:firstLine="324"/>
        <w:spacing w:after="0" w:line="273" w:lineRule="auto"/>
        <w:rPr>
          <w:sz w:val="20"/>
          <w:szCs w:val="20"/>
          <w:color w:val="auto"/>
        </w:rPr>
      </w:pPr>
      <w:r>
        <w:rPr>
          <w:rFonts w:ascii="Times New Roman" w:cs="Times New Roman" w:eastAsia="Times New Roman" w:hAnsi="Times New Roman"/>
          <w:sz w:val="17"/>
          <w:szCs w:val="17"/>
          <w:color w:val="auto"/>
        </w:rPr>
        <w:t>Moreover, some of our patent rights are, and may in the future be, co-owned with third parties, including Allist. In the United States, each co-owner has the freedom to license and exploit the technology. If we are unable to obtain an exclusive license to any such third-party co-owners’ interest in such patent rights, such co-owners may be able to license their rights to other third parties without our consent,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167" w:lineRule="exact"/>
        <w:rPr>
          <w:sz w:val="20"/>
          <w:szCs w:val="20"/>
          <w:color w:val="auto"/>
        </w:rPr>
      </w:pPr>
    </w:p>
    <w:p>
      <w:pPr>
        <w:jc w:val="both"/>
        <w:ind w:left="6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5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are a party to the Allist License Agreement, the Amended and Restated Aarvik Collaboration Agreement and the Lepu Biopharma Agreement (collectively, License Agreements) under which we are granted rights to intellectual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property that are critical to our product candidates and our business and we may enter into additional license agreements in the future with other third parties. The License Agreements impose, and we expect that any future license agreements where we in-license intellectual property, will impose on us, various development, regulatory and/or commercial diligence obligations, payment of milestones and/or royalties and other obligations. We may need to devote substantial time and attention to ensuring that we are compliant with our obligations under such agreements, which may divert management’s time and attention away from our research and development programs or other day-to-day activities. If we fail to comply with our obligations under these agreements, or we are subject to bankruptcy-related proceedings, the licensor may have the right to terminate the license, in which event we would not be able to develop or market products covered by the license, or we may be subject to litigation for breach of these agreements.</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or our licensors fail to adequately prosecute, maintain and protect our licensed intellectual property, our ability to commercialize our current or any future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187"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any future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62"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our current product candidates or any future product candidates. As a result, any termination of or disputes over our intellectual property licenses could result in the loss of our ability to develop and commercialize our current product candidates or any future product candidates, or we could lose other significant rights, any of which could have a material adverse effect on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covering or relating to our current product candidates and any future product candidates in all countries throughout the world is expensive, and the laws of foreign countries may not protect our intellectual property rights to the same extent as the laws of the United States.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or our licensors’ inventions in all countries outside the United States, or from selling or importing products made using our intellectual property in and into the United States or other jurisdictions. Competitors may use our or our licensors’ intellectual property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6"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are dependent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or any patents and applications we may own in the future. In certain circumstances, we rely on our licensors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w:t>
      </w:r>
    </w:p>
    <w:p>
      <w:pPr>
        <w:spacing w:after="0" w:line="183"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Since March 2013, a third party that files a patent application in the USPTO, but before us or our licensors could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current product candidates or any of our product candidates and other proprietary technologies we may develop or (ii) invent any of the inventions claimed in our patents or patent applications.</w:t>
      </w:r>
    </w:p>
    <w:p>
      <w:pPr>
        <w:spacing w:after="0" w:line="19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affected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increased the uncertainties and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addition, 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spacing w:after="0" w:line="18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current product candidates or our future product candidates could be found invalid or unenforceable if challenged in court or before administrative bodies in the United States or abroad.</w:t>
      </w:r>
    </w:p>
    <w:p>
      <w:pPr>
        <w:spacing w:after="0" w:line="15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and commercialization of our current product candidates or future product candidates. Any of the foregoing could have a material adverse effect on our business, financial condition, results of operations and prospects.</w:t>
      </w:r>
    </w:p>
    <w:p>
      <w:pPr>
        <w:spacing w:after="0" w:line="18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If we or our licensors initiate legal proceedings against a third party to enforce a patent covering our current product candidates or any of our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in such a way that they no longer cover our product candidates or prevent third parties from competing with our product candidates. The outcome following legal assertions of invalidity and unenforceability is unpredictable. With respect to the validity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current product candidates and any future product candidates. Such a loss of patent protection would have a material adverse impact on our business, financial condition, results of operations and prospects.</w:t>
      </w:r>
    </w:p>
    <w:p>
      <w:pPr>
        <w:spacing w:after="0" w:line="17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will not be challenged and rendered invalid and/or unenforceable.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pending in-licensed patent applications in our portfolio; however, we cannot predict:</w:t>
      </w:r>
    </w:p>
    <w:p>
      <w:pPr>
        <w:spacing w:after="0" w:line="225"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53" w:lineRule="exact"/>
        <w:rPr>
          <w:rFonts w:ascii="Times New Roman" w:cs="Times New Roman" w:eastAsia="Times New Roman" w:hAnsi="Times New Roman"/>
          <w:sz w:val="18"/>
          <w:szCs w:val="18"/>
          <w:color w:val="auto"/>
        </w:rPr>
      </w:pPr>
    </w:p>
    <w:p>
      <w:pPr>
        <w:jc w:val="both"/>
        <w:ind w:left="720" w:right="179" w:hanging="319"/>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current product candidates or any of our future product candidates or uses thereof in the United States or in other foreign countries.</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claims in our pending patent applications directed to our current product candidates and any of our future product candidates and/or technologies may not be considered patentable by the USPTO or by patent offices in foreign countries. Any such patent applications may not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the claims in any of our issued patents may not be considered valid by courts in the United States or foreign countries.</w:t>
      </w:r>
    </w:p>
    <w:p>
      <w:pPr>
        <w:spacing w:after="0" w:line="19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product candidates for an adequate amount of time.</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 If we do not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sufficient patent life to protect our products, our business, financial condition, results of operations, and prospects will be adversely affected.</w:t>
      </w:r>
    </w:p>
    <w:p>
      <w:pPr>
        <w:spacing w:after="0" w:line="15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and equivalent extensions outside of the United States for our product candidates, our business may be materially harmed.</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current product candidates or future product candidate we may develop, one or more of our in-licensed issued U.S. patents or issued U.S. patents we may own in the future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in-license from a third-party,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3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or our licensors have identified each and every third-party patent and pending patent application in the United States and abroad that is relevant to or necessary for the commercialization of our current and future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product candidates could have been filed by others without our knowledge. Additionally, pending patent applications that have been published can, subject to certain limitations, be later amended in a manner that could cover product candidates or the use of our product candidates.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products and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7"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product candidates.</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plan to commercialize our current product candidates. As the biotechnology and pharmaceutical industries expand and more patents are issued, and as we gain greater visibility and market exposure as a public company, the risk increases that our current product candidates or any future product candidates, and commercializing activities may give rise to claims of infringement of the patent rights of others. We cannot assure you that our current product candidates or any future product candidates will not infringe existing or future patents owned by third parties. We may not be aware of patents that have already been issued for which a third party, such as a competitor in the fields in which we are developing our current product candidates or our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current product candidates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7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8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 and other intellectual property rights, which could be expensive, time-consuming and unsuccessful.</w:t>
      </w:r>
    </w:p>
    <w:p>
      <w:pPr>
        <w:spacing w:after="0" w:line="159"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Third parties, such as a competitor, may infringe our patent rights. In an infringement proceeding, a court may decide that a patent owned by us or licensed to us is invalid or unenforceable or may refuse to stop the other party from using the invention at issue on the grounds that the patent does not cover the technology in question. In addition, our or our licensors’ patent rights may become involved in inventorship, priority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72"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current product candidates or any future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1"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7"/>
          <w:szCs w:val="17"/>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73"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technology for our development pipeline through acquisitions and in-licenses.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our current product candidates or any future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which means that our competitors may also receive access to the same technologies licensed to us. In that event, we may be required to expend significant time and resources to develop or license replacement technology.</w:t>
      </w:r>
    </w:p>
    <w:p>
      <w:pPr>
        <w:spacing w:after="0" w:line="16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current product candidates or any future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licensed from third parties may be subject to retained rights.</w:t>
      </w:r>
    </w:p>
    <w:p>
      <w:pPr>
        <w:spacing w:after="0" w:line="229" w:lineRule="exact"/>
        <w:rPr>
          <w:sz w:val="20"/>
          <w:szCs w:val="20"/>
          <w:color w:val="auto"/>
        </w:rPr>
      </w:pPr>
    </w:p>
    <w:p>
      <w:pPr>
        <w:ind w:left="120" w:right="299" w:firstLine="292"/>
        <w:spacing w:after="0" w:line="259" w:lineRule="auto"/>
        <w:rPr>
          <w:sz w:val="20"/>
          <w:szCs w:val="20"/>
          <w:color w:val="auto"/>
        </w:rPr>
      </w:pPr>
      <w:r>
        <w:rPr>
          <w:rFonts w:ascii="Times New Roman" w:cs="Times New Roman" w:eastAsia="Times New Roman" w:hAnsi="Times New Roman"/>
          <w:sz w:val="18"/>
          <w:szCs w:val="18"/>
          <w:color w:val="auto"/>
        </w:rPr>
        <w:t>Our current or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pursuant to the Allist License Agreement, Allist retains its rights for any and all purposes in certain retained territories regarding its patent rights, improvements and know-how related to any product containing firmonertinib or any of its derivatives as an active ingredient, including to research, develop, make, have made, use, sell, have sold, offer for sale, import, export and license products and processes in such retained territory. Similar provisions are contained in the other license agreements. It is difficult to monitor whether our licensors will limit their use of the technology to these uses, and we could incur substantial expenses to enforce our rights to our licensed technology in the event of misuse.</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For example,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any potential university partners in projects in which there is a risk that government funds may be commingled, we cannot be sure that any such co-developed intellectual property will be free from government rights. If, in the future, we co-own or license in technology which is critical to our business that is developed in whole or in part with government funds subject to certain government rights, our ability to enforce or otherwise exploit patents covering such technology may be adversely affected.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720" w:right="37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product candidates or any future product candidates or utilize similar technology but that are not covered by the claims of the patents that we license or may own;</w:t>
      </w:r>
    </w:p>
    <w:p>
      <w:pPr>
        <w:spacing w:after="0" w:line="6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our or our licensors’ current or future patent applications;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or our licensors’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licensors’ current or future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from our or our licensors’ current or future patent applications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use in the future on a non-exclusive basis;</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15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bring against us, to determine the ownership of what we regard as our intellectual property. Such claims could have a material adverse effect on our business, financial condition, results of operations and prospects.</w:t>
      </w:r>
    </w:p>
    <w:p>
      <w:pPr>
        <w:spacing w:after="0" w:line="158"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reliance on third parties requires us to share potential trade secrets, which increases the possibility that a competitor or other third party will discover them or that potential trade secrets will be misappropriated or disclosed.</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Because we currently rely on, or expect to rely on, third parties to manufacture our current product candidates and to perform quality testing, we must, at times, share our proprietary technology and confidential information, including potential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including any potential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despite our efforts to protect any potential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19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potential trade secrets, our business and competitive position would be harmed.</w:t>
      </w:r>
    </w:p>
    <w:p>
      <w:pPr>
        <w:spacing w:after="0" w:line="159"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In addition to seeking patent protection for our product candidates and proprietary technologies, we may also rely on trade secret protection and confidentiality agreements to protect our unpatented know-how, technology, and other proprietary information and to maintain our competitive position. We seek to protect any potential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We cannot guarantee that we have entered into applicable agreements with each party that may have or have had access to any potential trade secrets or proprietary technology and processes. Despite these efforts, any of these parties may breach the agreements and disclose our proprietary information, including any potential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any potential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potential trade secrets were to be lawfully obtained or independently developed by a competitor or other third party, we would have no right to prevent them from using that technology or information to compete with us.</w:t>
      </w:r>
    </w:p>
    <w:p>
      <w:pPr>
        <w:spacing w:after="0" w:line="200" w:lineRule="exact"/>
        <w:rPr>
          <w:sz w:val="20"/>
          <w:szCs w:val="20"/>
          <w:color w:val="auto"/>
        </w:rPr>
      </w:pPr>
    </w:p>
    <w:p>
      <w:pPr>
        <w:spacing w:after="0" w:line="20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Furthermore, others may independently discover any potential trade secrets and proprietary information. If any of our potential trade secrets were to be lawfully obtained or independently developed by a competitor or other third party, we would have no right to prevent them, or those to whom they communicate it, from using that technology or information to compete with us. If any of our potential trade secrets were to be disclosed or misappropriated or if any such information were to be independently developed by a competitor or other third party, our competitive position would be materially and adversely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any potential trade secrets. For example, we may have disputes arise from conflicting obligations of our employees, consultants or others who are involved in developing our product candidate. Litigation may be necessary to defend against these and other claims challenging ownership of any potential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we may in the future fail to satisfy the continued listing requirements of Nasdaq and our stock may be delisted, and you may not be able to resell your common stock at your purchase price or at all.</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common stock only recently began trading on the Nasdaq Global Market, and we can provide no assurance that we will be able to develop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8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5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including limited trading volume. The market price for our common stock may be influenced by those factors discussed in this “Risk Factors” section and others, including:</w:t>
      </w:r>
    </w:p>
    <w:p>
      <w:pPr>
        <w:spacing w:after="0" w:line="176" w:lineRule="exact"/>
        <w:rPr>
          <w:sz w:val="20"/>
          <w:szCs w:val="20"/>
          <w:color w:val="auto"/>
        </w:rPr>
      </w:pPr>
    </w:p>
    <w:p>
      <w:pPr>
        <w:ind w:left="720" w:right="3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future clinical trials;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product candidates or any future product candidates or additional indications thereof, or limitations to specific label indications or patient populations for its use, or changes or delays in the regulatory review process;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 particularly in China;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identify, develop, acquire or 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by our competitors;</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physician and market adoption of any of our current and future product candidates;</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 including our inability to obtain adequate product supply, at acceptable prices or at all;</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720" w:right="139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 or obtaining funding on unattractive terms;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our control;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news releases by our partners, other companies in our industry, and especially direct competitors, including about adverse developments related to safety, effectiveness, accuracy and usability of their products, reputational concerns, reimbursement coverage, regulatory compliance, and product recalls;</w:t>
      </w:r>
    </w:p>
    <w:p>
      <w:pPr>
        <w:spacing w:after="0" w:line="67"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progression of geopolitical events, including in relation to the conflicts in the Middle East and between Russia and Ukraine;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or key personnel;</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common stock and may otherwise negatively affect the liquidity of the trading market for our common stock.</w:t>
      </w:r>
    </w:p>
    <w:p>
      <w:pPr>
        <w:spacing w:after="0" w:line="15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3" w:lineRule="exact"/>
        <w:rPr>
          <w:sz w:val="20"/>
          <w:szCs w:val="20"/>
          <w:color w:val="auto"/>
        </w:rPr>
      </w:pPr>
    </w:p>
    <w:p>
      <w:pPr>
        <w:ind w:left="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 and may prevent new investors from influencing significant corporate decisions.</w:t>
      </w:r>
    </w:p>
    <w:p>
      <w:pPr>
        <w:spacing w:after="0" w:line="17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As of February 27, 2026, our executive officers, directors and greater than 5% stockholders, in the aggregate, own a substantial portion of our outstanding common stock. As a result, such persons, acting together, have the ability to significantly influence all matters submitted to our board of directors or stockholders for approval, including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appointment of our management, the election and removal of directors and approval of any significant transactions, as well as our management and business affairs, which may prevent new investors from influencing some or all of the foregoing.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7"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 Investors seeking cash dividends should not purchase our common stock. See “Dividend Policy” under Item 5 of Part II of this Annual Report for additional information.</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possibility of sales, of a substantial number of shares of our common stock by our existing stockholders in the public market could cause our stock price to fall.</w:t>
      </w:r>
    </w:p>
    <w:p>
      <w:pPr>
        <w:spacing w:after="0" w:line="15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2025, we had 4,328,880 shares of common stock that are subject to outstanding options under our employee benefit plans. All of the shares of common stock issuable upon the exercise of stock options and the shares reserved for future issuance under our employee benefit plans have been registered on a registration statement on Form S-8 under the Securities Act. Accordingly, these shares can be freely sold in the public market upon issuance, subject to volume limitations under Rule 144 for our executive officers and directors and applicable vesting requirements. If these additional shares of common stock are sold, or if it is perceived that they will be sold, in the public market, the trading price of our common stock could decline.</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and the reduced disclosure and governance requirements applicable to emerging growth companies and smaller reporting companies may make our common stock less attractive to investors.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closing of our initial public offering completed in January 2024. However, if certain events occur prior to the end of such five-year period, including if we become a “large accelerated filer”, as defined under the Exchange Act,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2" w:lineRule="exact"/>
        <w:rPr>
          <w:sz w:val="20"/>
          <w:szCs w:val="20"/>
          <w:color w:val="auto"/>
        </w:rPr>
      </w:pPr>
    </w:p>
    <w:p>
      <w:pPr>
        <w:ind w:left="720" w:right="139" w:hanging="319"/>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connection with registered securities offerings;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w:t>
      </w:r>
    </w:p>
    <w:p>
      <w:pPr>
        <w:spacing w:after="0" w:line="5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PCAOB regarding mandatory audit firm rotation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Annual Report. In particular, in this Annual Report,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w:t>
      </w:r>
    </w:p>
    <w:p>
      <w:pPr>
        <w:spacing w:after="0" w:line="186"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merger, acquisition, or other change in control of our company or changes in our board of directors that our stockholders might consider favorable, including transactions in which you might otherwise receive a premium for your shares. Some of these provisions include:</w:t>
      </w:r>
    </w:p>
    <w:p>
      <w:pPr>
        <w:spacing w:after="0" w:line="180" w:lineRule="exact"/>
        <w:rPr>
          <w:sz w:val="20"/>
          <w:szCs w:val="20"/>
          <w:color w:val="auto"/>
        </w:rPr>
      </w:pPr>
    </w:p>
    <w:p>
      <w:pPr>
        <w:ind w:left="720" w:right="9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75%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75%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in control transaction or changes in our board of directors could cause the market price of our common stock to decline.</w:t>
      </w:r>
    </w:p>
    <w:p>
      <w:pPr>
        <w:spacing w:after="0" w:line="18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379" w:firstLine="324"/>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an alternative forum, the Court of Chancery of the State of Delaware will be the sole and exclusive forum for any state law claims for</w:t>
      </w:r>
    </w:p>
    <w:p>
      <w:pPr>
        <w:spacing w:after="0" w:line="1" w:lineRule="exact"/>
        <w:rPr>
          <w:sz w:val="20"/>
          <w:szCs w:val="20"/>
          <w:color w:val="auto"/>
        </w:rPr>
      </w:pPr>
    </w:p>
    <w:p>
      <w:pPr>
        <w:ind w:left="60" w:right="299" w:hanging="10"/>
        <w:spacing w:after="0" w:line="265" w:lineRule="auto"/>
        <w:tabs>
          <w:tab w:leader="none" w:pos="27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our behalf, (ii) any action or proceeding asserting a claim of breach of fiduciary duty owed by any of our current or former directors, officers, employees or agents to us or our stockholders,</w:t>
      </w:r>
    </w:p>
    <w:p>
      <w:pPr>
        <w:ind w:left="60" w:right="239" w:hanging="10"/>
        <w:spacing w:after="0" w:line="265" w:lineRule="auto"/>
        <w:tabs>
          <w:tab w:leader="none" w:pos="37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arising pursuant to any provision of the General Corporation Law of the State of Delaware or our certificate of incorporation or bylaws (in each case, as they may be amended from time to time),</w:t>
      </w:r>
    </w:p>
    <w:p>
      <w:pPr>
        <w:ind w:left="60" w:right="79" w:hanging="10"/>
        <w:spacing w:after="0" w:line="250" w:lineRule="auto"/>
        <w:tabs>
          <w:tab w:leader="none" w:pos="3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bylaws, (v) any action or proceeding as to which the Delaware General Corporation Law confers jurisdiction to the Court of Chancery of the State of Delaware, or (vi) any action asserting a claim against us or any of our directors, officers or employees that is governed by the internal affairs doctrine; provided, however, that this exclusive forum provision does not apply to any action arising under the Exchange Act. Our amended and restated certificate of incorporation further provides that, unless we consent in writing to an alternative forum, the United States District Court for the Eastern District of Pennsylvania will be the exclusive forum for resolving any complaint asserting a cause of action arising under the Securities Act. We have chosen the United States District Court for the Eastern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 We recognize that the forum selection clause in our amended and restated certificate of incorporation may impose additional litigation costs on stockholders in pursuing any such claims, particularly if the stockholders do not reside in or near the State of Delaware or the State of Pennsylvania, as applicable. Additionally, the forum selection clause in our amended and restated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Eastern District of Pennsylvania may also reach different judgments or results than would other courts, including courts where a stockholder considering an action may be located or would otherwise choose to bring the action, and such judgments may be more or less favorable to us than our stockholders.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0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We also acknowledge that Section 22 of the Securities Act creates concurrent jurisdiction for federal and state courts over all suits brought to enforce any duty or liability created by the Securities Act or the rules and regulations thereunder and that there is uncertainty as to whether a court would enforce an exclusive forum provision for actions arising under the Securities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0"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the establishment and maintenance of effective disclosure and financial reporting controls and changes in corporate governance practices. Further, in July 2010, the Dodd-Frank Wall Street Reform and Consumer Protection Act (Dodd-Frank Act) was enacted. There are significant corporate governance and executive compensation related provisions in the Dodd-Frank Act concerning areas such as “say on pay” and proxy access. Emerging growth companies are permitted to implement many of these requirements over a longer period, which may be up to five years from the pricing of our initial public offering in January 2024.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could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7"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accurately report our financial results, which may cause investors to lose confidence in our reported financial information and may lead to a decline in the market price of our stock.</w:t>
      </w:r>
    </w:p>
    <w:p>
      <w:pPr>
        <w:spacing w:after="0" w:line="16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on the effectiveness of our internal control over financial reporting.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The identification of material weaknesses could result in an adverse reaction in the financial markets due to a loss of confidence in the reliability of our financial statements.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7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Although we determined that our internal controls over financing reporting were effective as of December 31, 2025,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7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If we fail to maintain effective disclosure controls and procedures or internal control over financial reporting or remediate any future material weaknesses, you may not be able to rely on the integrity of our financial results, which could result in inaccurate or late reporting of our financial results, as well as delays or the inability to meet our reporting obligations or to comply with the rules and regulations of the Securities and Exchange Commission. Any of these events could result in delisting actions by the Nasdaq Stock Market, investigation and sanctions by regulatory authorities, and stockholder investigations and lawsuits, in addition to adversely affecting our business and the trading price of our common stock.</w:t>
      </w:r>
    </w:p>
    <w:p>
      <w:pPr>
        <w:spacing w:after="0" w:line="15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If we fail to comply with these laws, we could face civil or criminal liability and other serious consequences for violations, which could harm our business.</w:t>
      </w:r>
    </w:p>
    <w:p>
      <w:pPr>
        <w:spacing w:after="0" w:line="167" w:lineRule="exact"/>
        <w:rPr>
          <w:sz w:val="20"/>
          <w:szCs w:val="20"/>
          <w:color w:val="auto"/>
        </w:rPr>
      </w:pPr>
    </w:p>
    <w:p>
      <w:pPr>
        <w:ind w:left="120" w:right="219" w:firstLine="292"/>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In February 2025, President Trump issued an executive order directing the DOJ to pause enforcement of the FCPA and to issue new enforcement guidelines that take into consideration U.S. national security and the competitiveness of U.S. companies abroad. On June 10, 2025, the DOJ issued a memorandum with guidelines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219"/>
        <w:spacing w:after="0" w:line="297" w:lineRule="auto"/>
        <w:rPr>
          <w:sz w:val="20"/>
          <w:szCs w:val="20"/>
          <w:color w:val="auto"/>
        </w:rPr>
      </w:pPr>
      <w:r>
        <w:rPr>
          <w:rFonts w:ascii="Times New Roman" w:cs="Times New Roman" w:eastAsia="Times New Roman" w:hAnsi="Times New Roman"/>
          <w:sz w:val="18"/>
          <w:szCs w:val="18"/>
          <w:color w:val="auto"/>
        </w:rPr>
        <w:t>for enforcing the FCPA. It is unclear how this presidential directive and the DOJ guidelines may affect the biopharmaceutical industry as a whole or our business in particular.</w:t>
      </w:r>
    </w:p>
    <w:p>
      <w:pPr>
        <w:spacing w:after="0" w:line="14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70"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3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Our third-party manufacturers or suppliers use, and potential future collaborators will use, biological materials, potent chemical agents and may use hazardous materials, including chemicals and biological agents and compounds that could be dangerous to human health and safety of the environment.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our third-party manufacturers and suppliers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our third-party manufacturers’ and suppliers’ storage or disposal of biologic, hazardous or radioactive materials.</w:t>
      </w:r>
    </w:p>
    <w:p>
      <w:pPr>
        <w:spacing w:after="0" w:line="18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our third-party manufacturers and suppliers may need to incur substantial costs in order to comply with current or future environmental, health and safety laws and regulations, which have tended to become more stringent over time,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our third-party manufacturers and suppliers, which could in turn materially adversely affect our business, financial condition, results of operations and prospects. To the extent we develop our own manufacturing operations in the future, we may similarly incur substantial costs to ensure compliance with these laws, and all the foregoing risks will further apply to us, as well.</w:t>
      </w:r>
    </w:p>
    <w:p>
      <w:pPr>
        <w:spacing w:after="0" w:line="174"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32"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on, or expect to rely on, third-party manufacturers or suppliers to produce our current product candidates and its components and on CROs and clinical sites to conduct our clinical trials, and do not have a redundant source of supply for all components of our product candidate. Our ability to obtain clinical or, if approved, commercial, supplies of our current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political instability and geopolitical events could adversely affect our business, financial condition, stock price, and results of operations.</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U.S. and foreign jurisdictions, including as a result of an economic downturn and geopolitical events, such as the potential for significant changes in the U.S. federal policies or regulatory environment that affect the geopolitical landscape, changes in or the disruptions of U.S. governmental agencies, whether from a prolonged U.S. federal government shutdown or reduced resources, disruptions in capital markets, changes in international trade relationships and military conflicts. The global credit and financial markets have also generally experienced extreme volatility and disruptions (including as a result of actual or perceived changes in interest rates, inflation, international tariffs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financial markets and the global economy may also be adversely affected by the current or anticipated impact of military conflicts, such as the ongoing conflicts between Russia and Ukraine, Israel and Iran, and Israel and Hamas, terrorism,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Additionally, changes to policy implemented by the U.S. Congress, the current U.S. administration or any new U.S. administration have impacted and may in the future impact, among other things, the U.S. and global economy, international trade relations, unemployment, immigration, healthcare, taxation, the U.S. regulatory environment, inflation and other areas. For example, in 2018 and 2019, increased tariffs were implemented on goods imported into the U.S., particularly from China, Canada, and Mexico. Additionally, in early 2025, the U.S. imposed significant tariffs on imports from other countries, including a baseline tariff of 10% on imports into the U.S. and higher tariffs on multiple designated countries (including the EU Member States, China, Canada, and Mexico), such as "reciprocal" tariffs at varying rates. Such tariffs have prompted retaliatory measures from several countries, which may further escalate.</w:t>
      </w:r>
    </w:p>
    <w:p>
      <w:pPr>
        <w:spacing w:after="0" w:line="18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April 9, 2025, the U.S. announced that the imposition of most "reciprocal" tariffs would be paused for 90 days pending negotiations with the relevant countries. On September 25, 2025, the current U.S. administration announced a 100% tariff on brand-name or patented drugs unless pharmaceutical companies expand their manufacturing operations in the U.S., and may impose more restrictions on goods. While pharmaceutical products are currently excluded from the baseline and "reciprocal" tariffs imposed by the U.S., such tariffs still apply to the raw materials and other products necessary for the manufacture and formulation of our product candidates. In addition, the current U.S. administration has expressed an intent to impose tariffs on pharmaceutical imports, with the stated policy objective of reshoring pharmaceutical manufacturing to the U.S.</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Furthermore, any disruptions to our supply chain as a result of unfavorable global economic conditions, including due to geopolitical conflicts,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7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145" w:lineRule="exact"/>
        <w:rPr>
          <w:sz w:val="20"/>
          <w:szCs w:val="20"/>
          <w:color w:val="auto"/>
        </w:rPr>
      </w:pPr>
    </w:p>
    <w:p>
      <w:pPr>
        <w:ind w:left="60" w:right="399" w:firstLine="324"/>
        <w:spacing w:after="0" w:line="312" w:lineRule="auto"/>
        <w:rPr>
          <w:sz w:val="20"/>
          <w:szCs w:val="20"/>
          <w:color w:val="auto"/>
        </w:rPr>
      </w:pPr>
      <w:r>
        <w:rPr>
          <w:rFonts w:ascii="Times New Roman" w:cs="Times New Roman" w:eastAsia="Times New Roman" w:hAnsi="Times New Roman"/>
          <w:sz w:val="17"/>
          <w:szCs w:val="17"/>
          <w:color w:val="auto"/>
        </w:rPr>
        <w:t>New income, sales, use or other tax laws, statutes, rules, regulations or ordinances could be enacted at any time, or interpreted, changed, modified or applied adversely to us, any of which could adversely affect our business operations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and financial performance. We urge our investors to consult with their legal and tax advisors with respect to any changes in tax law and the potential tax consequences of investing in our common stock.</w:t>
      </w:r>
    </w:p>
    <w:p>
      <w:pPr>
        <w:spacing w:after="0" w:line="144"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that may not be fully covered by insurance, and a diversion of our management’s attention and resources, which could harm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led by the audit committee, is actively involved in oversight of our Enterprise Risk Management or ERM activities, and cybersecurity represents an important element of our overall approach to risk management. Our cybersecurity policies, standards, processes and practices are based on recognized frameworks established by the National Institute of Standards and Technology, or NIST, and other applicable industry standards.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ERM process. We employ a range of tools and services, including regular network and endpoint monitoring, audits, vulnerability assessments, penetration testing and threat modeling to inform our risk identification and assessment. As discussed in more detail under “Cybersecurity Governance” below, our audit committee provides oversight of our cybersecurity risk management and strategy processes, which are led by our Chief Operating Officer.</w:t>
      </w:r>
    </w:p>
    <w:p>
      <w:pPr>
        <w:spacing w:after="0" w:line="192"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NIST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undertake the following activities: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to our processes that are designed to comply with such laws;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regular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contractors with access to our email systems to enhance awareness and responsiveness to possible threats;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NIST incident handling framework to help us identify, protect, detect, respond and recover when there is an actual or potential cybersecurity incident;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business continuity policy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80"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176"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6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Item 1A, “Risk Factors”, which disclosures are incorporated by reference herein.</w:t>
      </w:r>
    </w:p>
    <w:p>
      <w:pPr>
        <w:spacing w:after="0" w:line="180" w:lineRule="exact"/>
        <w:rPr>
          <w:sz w:val="20"/>
          <w:szCs w:val="20"/>
          <w:color w:val="auto"/>
        </w:rPr>
      </w:pPr>
    </w:p>
    <w:p>
      <w:pPr>
        <w:jc w:val="both"/>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operations, and capital structure. The audit committee of our board of directors is responsible for the oversight of risks from cybersecurity threats.</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Periodically, our audit committee, and annually, our board of directors receives an update from management of our cybersecurity threat risk management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our audit committee generally receives information that includes a cybersecurity summary and other information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Our audit committee and board of directors also receive prompt and timely information regarding any cybersecurity incident that meets establishing reporting thresholds, as well as ongoing updates regarding any such incident until it has been addressed.</w:t>
      </w:r>
    </w:p>
    <w:p>
      <w:pPr>
        <w:spacing w:after="0" w:line="19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Members of our audit committee and board of directors are also encouraged to regularly engage in conversations with management on cybersecurity-related news events and discuss any updates to our cybersecurity risk management and strategy programs. Material cybersecurity threat risks are also considered during separate board meeting discussions of important matters like ERM, operational budgeting, business continuity planning, mergers and acquisitions, brand management, and other relevant matters.</w:t>
      </w:r>
    </w:p>
    <w:p>
      <w:pPr>
        <w:spacing w:after="0" w:line="18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Operating Officer in consultation with our Chief Financial Officer and General Counsel. Such individuals and their respective teams have collectively over a dozen years of prior work experience in various roles involving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of our board of directors quarterly, and our board of directors annually about cybersecurity threat risks, among other cybersecurity related matters.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currently lease office space in and around the San Francisco Peninsula and Washington, D.C./Maryland area.</w:t>
      </w:r>
    </w:p>
    <w:p>
      <w:pPr>
        <w:spacing w:after="0" w:line="22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lease office space at 1350 Bayshore Highway, Burlingame, CA 94041, containing approximately 7,906 square feet of office space pursuant to a lease agreement that expires in August 2027. This lease replaced a lease at the same address which expired in January 2026.</w:t>
      </w:r>
    </w:p>
    <w:p>
      <w:pPr>
        <w:spacing w:after="0" w:line="176"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also lease office space at 9841 Washingtonian Boulevard, Gaithersburg, MD 20878, pursuant to a lease agreement that expires in February 2027. This lease replaced a lease at the same address which expired in February 2026. The initial lease term for this lease was less than twelve months.</w:t>
      </w:r>
    </w:p>
    <w:p>
      <w:pPr>
        <w:spacing w:after="0" w:line="17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We believe these facilities will be adequate for the foreseeable future and that suitable additional or substitute space will be available as and when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“AVBP” since January 26,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to that date there was no public trading market for our common stock.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As of February 27, 2026, there were approximately 5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60" w:right="219" w:firstLine="324"/>
        <w:spacing w:after="0" w:line="277"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Issuances of Securities</w:t>
      </w:r>
    </w:p>
    <w:p>
      <w:pPr>
        <w:spacing w:after="0" w:line="11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multiple closings held between December 2022 and March 2023, we issued and sold an aggregate of 147,619,034 shares of Series B convertible preferred stock at a purchase price of $1.05 per share for aggregate gross cash consideration of $155.0 million.</w:t>
      </w:r>
    </w:p>
    <w:p>
      <w:pPr>
        <w:spacing w:after="0" w:line="6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No underwriters were involved in the foregoing issuances of securities. These securities described in this section (a)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 Grants of Stock Options</w:t>
      </w:r>
    </w:p>
    <w:p>
      <w:pPr>
        <w:spacing w:after="0" w:line="117" w:lineRule="exact"/>
        <w:rPr>
          <w:sz w:val="20"/>
          <w:szCs w:val="20"/>
          <w:color w:val="auto"/>
        </w:rPr>
      </w:pPr>
    </w:p>
    <w:p>
      <w:pPr>
        <w:jc w:val="both"/>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During 2024, we granted to certain of our directors, employees and consultants (in connection with services provided to us by such persons) options to purchase 1,137,307 shares of our common stock with a weighted average exercise price of $11.10 under our 2021 Employee, Director and Consultant Equity Incentive Plan, as amended (2021 Plan).</w:t>
      </w:r>
    </w:p>
    <w:p>
      <w:pPr>
        <w:spacing w:after="0" w:line="50"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stock options and the common stock issuable upon the exercise of such options as described in this section (b) were issued pursuant to written compensatory plans or arrangements with our employees and directors, in reliance on the exemption from the registration requirements of the Securities Act provided by Rule 701 promulgated under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 On February 2, 2024 and March 3, 2025, we filed registration statements on Form S-8 under the Securities Act to register all of the shares of our common stock subject to outstanding options and all shares of our common stock otherwise issuable pursuant to our equity compensation plans.</w:t>
      </w:r>
    </w:p>
    <w:p>
      <w:pPr>
        <w:spacing w:after="0" w:line="79"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All of the foregoing securities are deemed restricted securities for purposes of the Securities Act. All certificates representing the issued shares of capital stock described in this Item 5 include appropriate legends setting forth that the securities had not been registered and the applicable restrictions on transfer.</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the underwriting discounts and commissions. None of the expenses associated with our initial public offering were paid to directors, officers, persons owning 10% or more of any class of equity securities, or to our affiliates.</w:t>
      </w:r>
    </w:p>
    <w:p>
      <w:pPr>
        <w:spacing w:after="0" w:line="18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on January 26,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elsewhere in this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product candidate, firmonertinib, and advance a pipeline of novel therapeutics, such as next-generation antibody drug conjugates, including ARR-217 (MRG007) through approval and commercialization in patients suffering from cancer, with an initial focus on solid tumors. Firmonertinib is currently being evaluated in multiple clinical trials across a range of EGFRm in NSCLC. We are conducting a pivotal Phase 3 clinical trial of firmonertinib in treatment naive, or first-line, patients with locally advanced or metastatic EGFRm NSCLC with exon 20 insertion mutations and a pivotal Phase 3 clinical trial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79"/>
        <w:spacing w:after="0" w:line="266" w:lineRule="auto"/>
        <w:rPr>
          <w:sz w:val="20"/>
          <w:szCs w:val="20"/>
          <w:color w:val="auto"/>
        </w:rPr>
      </w:pPr>
      <w:r>
        <w:rPr>
          <w:rFonts w:ascii="Times New Roman" w:cs="Times New Roman" w:eastAsia="Times New Roman" w:hAnsi="Times New Roman"/>
          <w:sz w:val="18"/>
          <w:szCs w:val="18"/>
          <w:color w:val="auto"/>
        </w:rPr>
        <w:t>firmonertinib in first-line patients with locally advanced or metastatic EGFRm NSCLC with PACC mutations. We are also conducting a Phase 1 clinical trial of ARR-217 in patients with unresectable locally advanced or metastatic solid tumors.</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received Breakthrough Therapy Designation for firmonertinib for first line EGFRm NSCLC with exon 20 insertion from the FDA in October 2023, and Orphan Drug Designation for treatment of NSCLC with EGFRm or HER2 mutations or HER4 mutations in February 2024. A product candidate can receive BTD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although BTD may not result in a faster development process, review or approval and does not increase the likelihood that the product candidate will ultimately receive FDA approval for any indication.</w:t>
      </w:r>
    </w:p>
    <w:p>
      <w:pPr>
        <w:spacing w:after="0" w:line="18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2021, we licensed from Allist the right to develop and commercialize firmonertinib worldwide, with the exception of greater China, which includes mainland China, Hong Kong, Macau and Taiwan. Firmonertinib is an investigational, novel, EGFR mutant-selective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with EGFR exon 20 insertion mutations treated with firmonertinib in the ongoing Phase 1b clinical trial, the FAVOUR trial, conducted by Allist in China, and preclinical activity in PACC mutations, each a subtype of uncommon mutation. In a subsequent interim data readout from the FAVOUR trial of firmonertinib in first-line patients with locally advanced or metastatic EGFRm NSCLC with exon 20 insertion mutations who were administered a 240 mg once-daily dose of firmonertinib, 79% of patients (n=22 out of 28 patients) were observed to experience a reduction in tumor size of at least 30%. In a final analysis from the Phase 1B FURTHER trial of firmonertinib, which included a cohort of EGFRm NSCLC with PACC mutations, we observed 16.0 months mPFS with firmonertinib 240 mg in first-line, cORR 68.2% (n=15 out of 22 1L patients at 240 mg) and DOR 14.6 months, and confirmed CNS responses with firmonertinib including CRs.</w:t>
      </w:r>
    </w:p>
    <w:p>
      <w:pPr>
        <w:spacing w:after="0" w:line="19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who were administered a 240 mg once-daily dose of firmonertinib were observed to experience a reduction in tumor size of at least 30% from the baseline in a patient without evidence of progression as measured by RECIST 1.1 criteria. This measurement of reduction is the threshold in this trial for a partial response and for inclusion in determination of the ORR, which is the primary endpoint of this trial. In the same interim data readout, those 79% of patients were observed to experience a 15.2 month median DOR. Interim results may not be indicative of final results; however, we believe these interim clinical results underscore firmonertinib’s potential in patients whose tumors contain an uncommon EGFRm.</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entered into the Allist License Agreement, pursuant to which, we have, among other things, secured 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exclusive, royalty bearing and sublicensable license under certain intellectual property, including patents and know-how,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owned or controlled by Allist to develop and commercialize any product containing firmonertinib or any of its salts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derivatives as an active ingredient of a product, which is led by a joint collaboration committee, comprising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representatives from both Allist and us. Under the Allist License Agreement, we are obligated to pay Allist milestone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up to an aggregate of $765.0 million upon the achievement of certain development, regulatory and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milestone events as set forth in the Allist License Agreement. During the year ended December 31, 2025, we incurred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 million in clinical milestones to Allist. We are also obligated under the Allist License Agreement to pay Allist tiered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royalties based on net sales of Licensed Products (as defined in the Allist License Agreement). See “Business — Licenses,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Partnerships and Collaborations — Allist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the Lepu Biopharma Agreement, pursuant to which, we have, among other things, secured an exclusive, royalty bearing and sublicensable license under certain intellectual property, including patents and know-how, owned or controlled by Lepu Biopharma to develop and commercialize any product containing ARR-217 or the antibody component of ARR-217. Further, we are obligated to pay Lepu Biopharma milestone payments up to an aggregate of approximately $1.17 billion upon the achievement of certain development, regulatory and sales milestone events as set forth in the Lepu Biopharma Agreement, as defined herein. We are also obligated under the Lepu Biopharma Agreement to pay Lepu Biopharma tiered royalties based on net sales of Licensed Products, as defined herein. See “Business — Licenses, Partnerships and Collaborations — Lepu Biopharma Agreement”.</w:t>
      </w:r>
    </w:p>
    <w:p>
      <w:pPr>
        <w:spacing w:after="0" w:line="192"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ARR-217, and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through our initial public offering of common stock in January 2024, our “at-the-market” offering, and our underwritten public offering of common stock and pre-funded warrants to purchase common stock in July 2025.</w:t>
      </w:r>
    </w:p>
    <w:p>
      <w:pPr>
        <w:spacing w:after="0" w:line="19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$166.3 million and $80.5 million for the years ended December 31, 2025 and 2024, respectively. As of December 31, 2025, we had an accumulated deficit of $404.6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future commercialization efforts or grant rights to develop and market product candidates that we would otherwise prefer to develop and market ourselves.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A significant majority of our direct research and development costs have been related to firmonertinib. We deploy our personnel resources across all of our research and development activities.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interest earned on our cash, cash equivalents and short-term investments and the accretion of premiums and amortization of discounts on marketable securities.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2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early-stage programs. We do not track internal research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development costs by product candidate. The following table summarizes our research and development expenses for the years ended December 31, 2025 and 2024:</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8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Firmonertinib</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Early-stage programs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44,530</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$153.4 million and $79.0 million for the years ended December 31, 2025 and 2024, respectively. The increase of $74.3 million was primarily due to an increase of $44.5 million in preclinical discovery work, and a $13.1 million increase due to higher personnel-related costs due to increased headcount. Cost increases related to early-stage programs were largely due to a $40.0 million one-time up front payment pursuant to our collaboration with Lepu. Costs related to firmonertinib increased $16.7 million as a result of increased costs related to our FURVENT Phase 3 clinical trial of $14.6 million, $4.4 million for general firmonertinib costs, and $0.1 million for our FAVOUR trial, offset by a decrease of $2.4 million in costs related to our FURTHER Phase 1 clinical trial.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$24.2 million and $15.3 million for the years ended December 31, 2025 and 2024, respectively. The increase of $8.9 million was due primarily to increases of $7.3 million in personnel-related expenses, $1.8 million in professional services and infrastructure costs, offset by $0.2 million in general corporate expenses.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was $11.2 million and $13.8 million for the years ended December 31, 2025 and 2024, respectively. The decrease is due to lower rates of return on lower invested balances year-over-year.</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funded our operations primarily through the private placement of convertible preferred stock our initial public offering of common stock, our “at-the-market” offering, and our underwritten public offering of common stock and pre-funded warrants to purchase common stock in July 2025. We have raised gross proceeds of $305.0 million from the issuance of convertible preferred stock since our inception through December 31, 2025. Additionally, in the first quarter of 2024, we completed our initial public offering of 11,180,555 shares of our common stock at a price to the public of $18.00 per share, including the exercise in full by the underwriters of their option to purchase 1,458,333 additional shares of our common stock. Including the option exercise, our aggregate net proceeds from the offering were $183.2 million, net of underwriting discounts, commissions and offering costs. As of December 31, 2025, we had cash and cash equivalents, and short and long-term investments of $312.8 million in the aggregate.</w:t>
      </w:r>
    </w:p>
    <w:p>
      <w:pPr>
        <w:spacing w:after="0" w:line="16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On February 3, 2025, we filed an automatic shelf registration statement on Form S-3ASR (File No. 333-284661) with the SEC. The shelf registration statement consists of (i) a base prospectus pursuant to which we may offer and sell, from time to time, shares of our common stock, shares of our preferred stock, various series of debt securities, warrants, rights, and/or units to purchase any of such securities in one or more registered offerings, and (ii) a prospectus supplement pursuant to which we may offer and sell, from time to time, up to $250 million of shares of common stock in “at-the-market” offerings. During the year ended December 31, 2025, we sold 5,560,266 shares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69" w:lineRule="auto"/>
        <w:rPr>
          <w:sz w:val="20"/>
          <w:szCs w:val="20"/>
          <w:color w:val="auto"/>
        </w:rPr>
      </w:pPr>
      <w:r>
        <w:rPr>
          <w:rFonts w:ascii="Times New Roman" w:cs="Times New Roman" w:eastAsia="Times New Roman" w:hAnsi="Times New Roman"/>
          <w:sz w:val="17"/>
          <w:szCs w:val="17"/>
          <w:color w:val="auto"/>
        </w:rPr>
        <w:t>pursuant to our Open Market Sale Agreement</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7"/>
          <w:szCs w:val="17"/>
          <w:color w:val="auto"/>
        </w:rPr>
        <w:t xml:space="preserve"> with Jefferies LLC (ATM Program) for total proceeds of $122.2 million, net of commissions and other expenses. As of December 31, 2025, we have approximately $123.3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17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In May 2025, we entered into a $75 million loan and security agreement with Silicon Valley Bank (Loan Agreement), a division of First Citizens Bank &amp; Trust Company. The credit facility provides the right, but not the obligation, to draw up to $75 million of capital, of which $40 million will be available if certain conditions and milestones are met. In March 2026, we entered into an amendment of the Loan Agreement in which such conditions and milestones were amended. No amounts have been drawn on this facility as of the date of this report.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3, 2025, we closed an underwritten public offering (the July 2025 Offering) in which we issued and sold an aggregate of 3,059,615 shares of our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proceeds to us, net of underwriting discounts, commissions, and other expenses, were $80.5 million.</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6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short and long-term investments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203,063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$160.6 million for the year ended December 31, 2025 reflecting our net loss of $166.3 million, $3.0 million of amortization and accretion of discounts and premiums, and a $3.8 million net change in our operating assets and liabilities attributable to the timing in which we pay our vendors for research and development activities. These were offset by $12.5 million in stock-based compensation.</w:t>
      </w:r>
    </w:p>
    <w:p>
      <w:pPr>
        <w:spacing w:after="0" w:line="153"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$70.2 million for the year ended December 31, 2024 reflecting our net loss of $80.5 million that was offset by $3.2 million in stock-based compensation and a $7.1 million net change in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operating assets and liabilities attributable to the timing in which we pay our vendors for research and development activities.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included $272.9 million of purchases of short and long-term investments, offset by $201.7 million of maturities of short-term investments.</w:t>
      </w:r>
    </w:p>
    <w:p>
      <w:pPr>
        <w:spacing w:after="0" w:line="13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included $194.2 million of purchases of short and long-term investments, offset by $1.7 million of maturities of investments.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$203.1 million for the year ended December 31, 2025, due to $80.5 million of net proceeds from our July 2025 offering and $122.2 million in net proceeds from the issuance of shares under the “at-the-market” program. There were also $0.5 million of proceeds from the exercise of stock options.</w:t>
      </w:r>
    </w:p>
    <w:p>
      <w:pPr>
        <w:spacing w:after="0" w:line="14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$186.6 million for the year ended December 31, 2024, due to $186.0 million of net proceeds from our initial public offering in January 2024, in addition to $0.6 million in proceeds from the exercise of stock options.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60" w:right="59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2025 and the effects that such obligations are expected to have on our liquidity and cash flows in future periods: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6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3"/>
          </w:tcPr>
          <w:p>
            <w:pPr>
              <w:jc w:val="center"/>
              <w:ind w:left="79"/>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72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8"/>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to our accompanying financial statements appearing elsewhere in this Annual Report, we believe the following accounting policies to be most critical to the preparation of our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Accruals</w:t>
      </w:r>
    </w:p>
    <w:p>
      <w:pPr>
        <w:spacing w:after="0" w:line="21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lead product candidate. We expense research and development costs as incurred.</w:t>
      </w:r>
    </w:p>
    <w:p>
      <w:pPr>
        <w:spacing w:after="0" w:line="135"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accrue expenses for pre-clinical and clinical studies and activities performed by third parties based upon estimates of the proportion of work completed over the term of the individual trial and patient enrollment rates in accordance with agreements with third parties. We determine the estimates by reviewing contracts, vendor agreements and purchase orders, and through discussions with our internal clinical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7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manufacturing and distribution of clinical and pre-clinical supplies that will be used in future research and development activities, are deferred and recognized as expense in the period that the related goods are consumed or services are performed.</w:t>
      </w:r>
    </w:p>
    <w:p>
      <w:pPr>
        <w:spacing w:after="0" w:line="17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Milestone payments within our licensing and collaboration arrangements will be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we will accrue royalty expense and sublicense non-royalty payments, as applicable, for the amount we are obligated to pay, with adjustments as sales are made.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maintain a stock-based compensation plan as a long-term incentive for employees and non-employee consultants.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plan allows for the issuance of incentive stock options and non-qualified stock options.</w:t>
      </w:r>
    </w:p>
    <w:p>
      <w:pPr>
        <w:spacing w:after="0" w:line="19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on a straight-line basis over the requisite service period, which is the vesting period of the awards. Our stock-based compensation expense is based upon the grant date fair value of stock options estimated using the Black-Scholes option pricing model.</w:t>
      </w:r>
    </w:p>
    <w:p>
      <w:pPr>
        <w:spacing w:after="0" w:line="14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Estimating the fair value of stock options as of the grant date using the Black-Scholes option pricing model is affected by input assumptions which consider a number of variables. The input assumption relating to the fair value of our common stock for grants made prior to our initial public offering was subjective and required judgment to develop.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Sarbanes-Oxley.</w:t>
      </w:r>
    </w:p>
    <w:p>
      <w:pPr>
        <w:spacing w:after="0" w:line="175"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total annual gross revenue of at least $1.235 billion, (iii) the day on which we are deemed to be a “large accelerated filer” as defined in Rule 12b-2 under the Exchange Act, or (iv) the date on which we have issued more than $1.0 billion in non-convertible debt securities during the prior three-year period.</w:t>
      </w:r>
    </w:p>
    <w:p>
      <w:pPr>
        <w:spacing w:after="0" w:line="162"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8460" w:type="dxa"/>
            <w:vAlign w:val="bottom"/>
            <w:gridSpan w:val="8"/>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(PCAOB ID: 238)</w:t>
            </w:r>
          </w:p>
        </w:tc>
        <w:tc>
          <w:tcPr>
            <w:tcW w:w="44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185)</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F-3</w:t>
            </w:r>
          </w:p>
        </w:tc>
      </w:tr>
      <w:tr>
        <w:trPr>
          <w:trHeight w:val="412"/>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4240" w:type="dxa"/>
            <w:vAlign w:val="bottom"/>
            <w:gridSpan w:val="4"/>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7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Operations and Comprehensive Loss for the Years Ended December 31, 2025 and 2024</w:t>
            </w:r>
          </w:p>
        </w:tc>
        <w:tc>
          <w:tcPr>
            <w:tcW w:w="1140" w:type="dxa"/>
            <w:vAlign w:val="bottom"/>
            <w:gridSpan w:val="2"/>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Convertible Preferred Stock and Stockholders’ Equity (Deficit) for the Years Ended December 31,</w:t>
            </w:r>
          </w:p>
        </w:tc>
        <w:tc>
          <w:tcPr>
            <w:tcW w:w="440" w:type="dxa"/>
            <w:vAlign w:val="bottom"/>
          </w:tcPr>
          <w:p>
            <w:pPr>
              <w:spacing w:after="0"/>
              <w:rPr>
                <w:sz w:val="24"/>
                <w:szCs w:val="24"/>
                <w:color w:val="auto"/>
              </w:rPr>
            </w:pPr>
          </w:p>
        </w:tc>
      </w:tr>
      <w:tr>
        <w:trPr>
          <w:trHeight w:val="196"/>
        </w:trPr>
        <w:tc>
          <w:tcPr>
            <w:tcW w:w="8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360" w:type="dxa"/>
            <w:vAlign w:val="bottom"/>
          </w:tcPr>
          <w:p>
            <w:pPr>
              <w:spacing w:after="0"/>
              <w:rPr>
                <w:sz w:val="17"/>
                <w:szCs w:val="17"/>
                <w:color w:val="auto"/>
              </w:rPr>
            </w:pPr>
          </w:p>
        </w:tc>
        <w:tc>
          <w:tcPr>
            <w:tcW w:w="4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Cash Flows for the Years Ended December 31, 2025 and 2024</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5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2960" w:type="dxa"/>
            <w:vAlign w:val="bottom"/>
            <w:gridSpan w:val="3"/>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ArriVent BioPharma,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ArriVent BioPharma, Inc. (the "Company") as of December 31, 2025, and the related statement of operations and comprehensive loss, of convertible preferred stock and stockholders' equity (deficit) and of cash flows for the year then ended, including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5,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r>
        <w:rPr>
          <w:rFonts w:ascii="Georgia" w:cs="Georgia" w:eastAsia="Georgia" w:hAnsi="Georgia"/>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balance sheet of ArriVent BioPharma, Inc. (the Company) as of December 31, 2024, the related statements of operations and comprehensive loss, convertible preferred stock and stockholders’ equity (deficit), and cash flows for the year then ended, and the related notes (collectively, the financial statements). In our opinion, the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served as the Company’s auditor from 2023 to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42,452,251 and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33,706,765 shares issued and outstanding at December 31, 2025 and December 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307,224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153,351</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(166,083)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38,462,600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31,469,328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40" w:type="dxa"/>
            <w:vAlign w:val="bottom"/>
          </w:tcPr>
          <w:p>
            <w:pPr>
              <w:spacing w:after="0"/>
              <w:rPr>
                <w:sz w:val="12"/>
                <w:szCs w:val="12"/>
                <w:color w:val="auto"/>
              </w:rPr>
            </w:pPr>
          </w:p>
        </w:tc>
        <w:tc>
          <w:tcPr>
            <w:tcW w:w="160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1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convertible preferred stock convertible preferred stock</w:t>
            </w:r>
          </w:p>
        </w:tc>
        <w:tc>
          <w:tcPr>
            <w:tcW w:w="8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Other Comprehensive</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line="20" w:lineRule="exact"/>
              <w:rPr>
                <w:sz w:val="1"/>
                <w:szCs w:val="1"/>
                <w:color w:val="auto"/>
              </w:rPr>
            </w:pPr>
          </w:p>
        </w:tc>
        <w:tc>
          <w:tcPr>
            <w:tcW w:w="1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88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1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Balance, January 1,</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149,865</w:t>
            </w: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147,619,034</w:t>
            </w:r>
          </w:p>
        </w:tc>
        <w:tc>
          <w:tcPr>
            <w:tcW w:w="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154,625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2,745,480</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(157,845)</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(153,193)</w:t>
            </w:r>
          </w:p>
        </w:tc>
        <w:tc>
          <w:tcPr>
            <w:tcW w:w="0" w:type="dxa"/>
            <w:vAlign w:val="bottom"/>
          </w:tcPr>
          <w:p>
            <w:pPr>
              <w:spacing w:after="0"/>
              <w:rPr>
                <w:sz w:val="1"/>
                <w:szCs w:val="1"/>
                <w:color w:val="auto"/>
              </w:rPr>
            </w:pPr>
          </w:p>
        </w:tc>
      </w:tr>
      <w:tr>
        <w:trPr>
          <w:trHeight w:val="136"/>
        </w:trPr>
        <w:tc>
          <w:tcPr>
            <w:tcW w:w="1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stock in initial public</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offering, net of</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 of</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$18,032</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11,180,555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183,217</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Conversion of</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preferred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into common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(150,000,000)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(149,865)</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(147,619,034)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(154,625)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19,567,306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304,490</w:t>
            </w:r>
          </w:p>
        </w:tc>
        <w:tc>
          <w:tcPr>
            <w:tcW w:w="0" w:type="dxa"/>
            <w:vAlign w:val="bottom"/>
          </w:tcPr>
          <w:p>
            <w:pPr>
              <w:spacing w:after="0"/>
              <w:rPr>
                <w:sz w:val="1"/>
                <w:szCs w:val="1"/>
                <w:color w:val="auto"/>
              </w:rPr>
            </w:pPr>
          </w:p>
        </w:tc>
      </w:tr>
      <w:tr>
        <w:trPr>
          <w:trHeight w:val="136"/>
        </w:trPr>
        <w:tc>
          <w:tcPr>
            <w:tcW w:w="1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stock</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213,424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Stock-based</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0" w:type="dxa"/>
            <w:vAlign w:val="bottom"/>
          </w:tcPr>
          <w:p>
            <w:pPr>
              <w:spacing w:after="0"/>
              <w:rPr>
                <w:sz w:val="1"/>
                <w:szCs w:val="1"/>
                <w:color w:val="auto"/>
              </w:rPr>
            </w:pPr>
          </w:p>
        </w:tc>
      </w:tr>
      <w:tr>
        <w:trPr>
          <w:trHeight w:val="136"/>
        </w:trPr>
        <w:tc>
          <w:tcPr>
            <w:tcW w:w="1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Unrealized loss on</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(80,488)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(80,488)</w:t>
            </w:r>
          </w:p>
        </w:tc>
        <w:tc>
          <w:tcPr>
            <w:tcW w:w="0" w:type="dxa"/>
            <w:vAlign w:val="bottom"/>
          </w:tcPr>
          <w:p>
            <w:pPr>
              <w:spacing w:after="0"/>
              <w:rPr>
                <w:sz w:val="1"/>
                <w:szCs w:val="1"/>
                <w:color w:val="auto"/>
              </w:rPr>
            </w:pPr>
          </w:p>
        </w:tc>
      </w:tr>
      <w:tr>
        <w:trPr>
          <w:trHeight w:val="116"/>
        </w:trPr>
        <w:tc>
          <w:tcPr>
            <w:tcW w:w="12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Balance,</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33,706,765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496,195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(238,333)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257,654</w:t>
            </w:r>
          </w:p>
        </w:tc>
        <w:tc>
          <w:tcPr>
            <w:tcW w:w="0" w:type="dxa"/>
            <w:vAlign w:val="bottom"/>
          </w:tcPr>
          <w:p>
            <w:pPr>
              <w:spacing w:after="0"/>
              <w:rPr>
                <w:sz w:val="1"/>
                <w:szCs w:val="1"/>
                <w:color w:val="auto"/>
              </w:rPr>
            </w:pPr>
          </w:p>
        </w:tc>
      </w:tr>
      <w:tr>
        <w:trPr>
          <w:trHeight w:val="116"/>
        </w:trPr>
        <w:tc>
          <w:tcPr>
            <w:tcW w:w="120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and pre-funded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net of</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costs of</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$10,667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8,619,881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202,631</w:t>
            </w:r>
          </w:p>
        </w:tc>
        <w:tc>
          <w:tcPr>
            <w:tcW w:w="0" w:type="dxa"/>
            <w:vAlign w:val="bottom"/>
          </w:tcPr>
          <w:p>
            <w:pPr>
              <w:spacing w:after="0"/>
              <w:rPr>
                <w:sz w:val="1"/>
                <w:szCs w:val="1"/>
                <w:color w:val="auto"/>
              </w:rPr>
            </w:pPr>
          </w:p>
        </w:tc>
      </w:tr>
      <w:tr>
        <w:trPr>
          <w:trHeight w:val="136"/>
        </w:trPr>
        <w:tc>
          <w:tcPr>
            <w:tcW w:w="1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stock</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125,605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Stock-based</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w:t>
            </w:r>
          </w:p>
        </w:tc>
        <w:tc>
          <w:tcPr>
            <w:tcW w:w="0" w:type="dxa"/>
            <w:vAlign w:val="bottom"/>
          </w:tcPr>
          <w:p>
            <w:pPr>
              <w:spacing w:after="0"/>
              <w:rPr>
                <w:sz w:val="1"/>
                <w:szCs w:val="1"/>
                <w:color w:val="auto"/>
              </w:rPr>
            </w:pPr>
          </w:p>
        </w:tc>
      </w:tr>
      <w:tr>
        <w:trPr>
          <w:trHeight w:val="136"/>
        </w:trPr>
        <w:tc>
          <w:tcPr>
            <w:tcW w:w="1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Unrealized gain on</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(166,308)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(166,308)</w:t>
            </w:r>
          </w:p>
        </w:tc>
        <w:tc>
          <w:tcPr>
            <w:tcW w:w="0" w:type="dxa"/>
            <w:vAlign w:val="bottom"/>
          </w:tcPr>
          <w:p>
            <w:pPr>
              <w:spacing w:after="0"/>
              <w:rPr>
                <w:sz w:val="1"/>
                <w:szCs w:val="1"/>
                <w:color w:val="auto"/>
              </w:rPr>
            </w:pPr>
          </w:p>
        </w:tc>
      </w:tr>
      <w:tr>
        <w:trPr>
          <w:trHeight w:val="116"/>
        </w:trPr>
        <w:tc>
          <w:tcPr>
            <w:tcW w:w="12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Balance,</w:t>
            </w:r>
          </w:p>
        </w:tc>
        <w:tc>
          <w:tcPr>
            <w:tcW w:w="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42,452,251</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711,847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0"/>
                <w:szCs w:val="10"/>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(404,641)</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307,224</w:t>
            </w:r>
          </w:p>
        </w:tc>
        <w:tc>
          <w:tcPr>
            <w:tcW w:w="0" w:type="dxa"/>
            <w:vAlign w:val="bottom"/>
          </w:tcPr>
          <w:p>
            <w:pPr>
              <w:spacing w:after="0"/>
              <w:rPr>
                <w:sz w:val="1"/>
                <w:szCs w:val="1"/>
                <w:color w:val="auto"/>
              </w:rPr>
            </w:pPr>
          </w:p>
        </w:tc>
      </w:tr>
      <w:tr>
        <w:trPr>
          <w:trHeight w:val="148"/>
        </w:trPr>
        <w:tc>
          <w:tcPr>
            <w:tcW w:w="12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December 31, 2025</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-3702685</wp:posOffset>
            </wp:positionV>
            <wp:extent cx="8890" cy="3686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36861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center"/>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Amortization/Accretion of bond discounts/premiums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(160,588)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(272,934)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and maturities of short-term and long-term investments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203,063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offering costs transferred to additional paid-in-capital</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2"/>
          </w:tcPr>
          <w:p>
            <w:pPr>
              <w:jc w:val="right"/>
              <w:ind w:right="156"/>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11). The Company’s lead development candidate, firmonertinib, is a third-generation tyrosine kinase inhibitor currently being evaluated in multiple clinical trials across a range of epidermal growth factor receptor mutations in non-small cell lung cancer (“NSCLC”),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Development-Stage Risks and Liquidity</w:t>
      </w:r>
    </w:p>
    <w:p>
      <w:pPr>
        <w:spacing w:after="0" w:line="200" w:lineRule="exact"/>
        <w:rPr>
          <w:sz w:val="20"/>
          <w:szCs w:val="20"/>
          <w:color w:val="auto"/>
        </w:rPr>
      </w:pPr>
    </w:p>
    <w:p>
      <w:pPr>
        <w:spacing w:after="0" w:line="28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$404.6 million as of December 31, 2025. The Company has concluded that the aggregate balance of cash and cash equivalents and marketable securities of $312.8 million as of December 31, 2025 are sufficient to sustain planned operations through at least twelve months from the issuance date of these financial statements.</w:t>
      </w:r>
    </w:p>
    <w:p>
      <w:pPr>
        <w:spacing w:after="0" w:line="22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anticipates incurring additional losses until such time, if ever, that it can generate significant sales from its product candidates currently in development; as a result, additional capital will be needed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the Company’s financial condition or results of operations may be materially adversely affected.</w:t>
      </w:r>
    </w:p>
    <w:p>
      <w:pPr>
        <w:spacing w:after="0" w:line="183"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 Company is subject to those risks associated with any specialty biotechnology company that has substantial expenditures for research and development. In addition, geopolitical tensions, volatility of capital markets, and other adverse macroeconomic events, including those due to inflationary pressures, changing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Significant areas that require management’s estimates include the fair value of the Company’s common stock prior to its initial public offering, and accrued research and development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amounts of cash equivalents and accounts payable approximate fair value due to the short-term nature of those instruments.</w:t>
      </w:r>
    </w:p>
    <w:p>
      <w:pPr>
        <w:spacing w:after="0" w:line="162" w:lineRule="exact"/>
        <w:rPr>
          <w:sz w:val="20"/>
          <w:szCs w:val="20"/>
          <w:color w:val="auto"/>
        </w:rPr>
      </w:pPr>
    </w:p>
    <w:p>
      <w:pPr>
        <w:ind w:left="60" w:right="499" w:firstLine="441"/>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assets or liabilities between Level 1, Level 2 or Level 3 during the years ended December 31,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Cash equivalents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$40.5 million and $69.3 million at December 31, 2025 and 2024,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Investments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based upon its intent with regard to such investments. The Company classifies investments as short-term when their 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 Concentration of credit risk</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short and long-term investments. The Company maintains its balances at high quality, accredited financial institutions and, accordingly, it believes such funds are subject to minimal credit risk. The Company has not experienced any losses in such accounts and believes it is not exposed to significant risk on these balances. The Company has no financial instruments with off-balance sheet risk of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Leases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its classification, and its term at the lease commencement date. Leases with a term greater than one year will be recognized on the balance sheet as right-of-use (“ROU”) assets, current lease liabilities, and if applicable, long-term lease liabilities. The Company has elected certain practical expedients permitted under the transition guidance to not record short-term leases (terms less than 12 months). Lease liabilities and the corresponding ROU assets are recorded based on the present values of lease payments over the lease term. The interest rate implicit in lease contracts is typically not readily determinable. As such, the Company utilizes the appropriate incremental borrowing rates, which are the rates that would be incurred to borrow on a collateralized basis, over similar terms, amounts equal to the lease payments in a similar economic environment. Payments for non-lease components or that are variable in nature that do not depend on a rate or index are not included in the lease liability and are typically expensed as incurred. If significant events, changes in circumstances, or other events indicate that the lease term or other inputs have changed, the Company would reassess lease classification, remeasure the lease liability using revised inputs as of the reassessment date, and adjust the ROU assets. Lease expense is recognized on a straight-line basis over the expected lease term for operating-classified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 Research and Development Costs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recorded as expense as incurred and principally consist of contract research organization costs as well as personnel costs, and amounts paid to third parties for up-front and milestone payments made under license and collaboration agreements.</w:t>
      </w:r>
    </w:p>
    <w:p>
      <w:pPr>
        <w:spacing w:after="0" w:line="176" w:lineRule="exact"/>
        <w:rPr>
          <w:sz w:val="20"/>
          <w:szCs w:val="20"/>
          <w:color w:val="auto"/>
        </w:rPr>
      </w:pPr>
    </w:p>
    <w:p>
      <w:pPr>
        <w:ind w:left="60" w:right="259" w:firstLine="441"/>
        <w:spacing w:after="0" w:line="258" w:lineRule="auto"/>
        <w:rPr>
          <w:sz w:val="20"/>
          <w:szCs w:val="20"/>
          <w:color w:val="auto"/>
        </w:rPr>
      </w:pPr>
      <w:r>
        <w:rPr>
          <w:rFonts w:ascii="Times New Roman" w:cs="Times New Roman" w:eastAsia="Times New Roman" w:hAnsi="Times New Roman"/>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Stock-Based Compensation Expense</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including stock options, at their grant-date fair value and records compensation expense over the requisite service period, which is the vesting period of the awards. The Company accounts for forfeitures as they occur.</w:t>
      </w:r>
    </w:p>
    <w:p>
      <w:pPr>
        <w:spacing w:after="0" w:line="176"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Estimating the fair value of stock options requires the use of subjective assumptions, including the fair value of the Company’s common stock (prior to its initial public offering in January 2024), the expected term of the option and 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management uses different assumptions, stock-based compensation expense could be materially different for future awards.</w:t>
      </w:r>
    </w:p>
    <w:p>
      <w:pPr>
        <w:spacing w:after="0" w:line="23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fair value of the Company’s common stock, prior to its initial public offering, was estimated by the Company’s board of directors, with input from management considering the most recently available third-party valuation of the Company’s common stock. Subsequent to its initial public offering on January 26, 2024, the fair value of common stock is based on the closing market price of common stock on the date of grant.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the implied volatility of its own share trading activity, in addition to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p>
    <w:p>
      <w:pPr>
        <w:spacing w:after="0" w:line="18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Net Loss per Share</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Pre-funded warrants were included in the denominator as the exercise price is negligible and these warrants are fully vested and exercisable.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9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basic and diluted (in thousands, except share and per share data):</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320" w:type="dxa"/>
            <w:vAlign w:val="bottom"/>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40" w:type="dxa"/>
            <w:vAlign w:val="bottom"/>
            <w:gridSpan w:val="5"/>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vMerge w:val="restart"/>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37,786,469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 outstanding (1)</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38,462,600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20" w:right="139" w:hanging="319"/>
        <w:spacing w:after="0" w:line="255" w:lineRule="auto"/>
        <w:tabs>
          <w:tab w:leader="none" w:pos="720" w:val="left"/>
        </w:tabs>
        <w:numPr>
          <w:ilvl w:val="0"/>
          <w:numId w:val="69"/>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Represents the weighted average number of common shares issuable upon the exercise of pre-funded warrants issued in 2025, which are considered to be outstanding for the purposes of the basic and diluted net loss per share calculation from the date of issuance due to their nominal exercise price ($0.0001).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0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4,328,880</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2,531,144</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4,328,880</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2,531,144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 Income Taxes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 penalties related to uncertain tax positions as a component of income tax expense (benefit).</w:t>
      </w:r>
    </w:p>
    <w:p>
      <w:pPr>
        <w:spacing w:after="0" w:line="184"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Accounting Pronouncements Recently Adopted</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standard includes the requirement that public business entities, on an annual basis,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2025. Early adoption and retrospective application is permitted. The Company adopted this standard on a prospective basis in the year ended December 31, 2025.</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 Accounting Pronouncements Not Yet Adopted</w:t>
      </w:r>
    </w:p>
    <w:p>
      <w:pPr>
        <w:spacing w:after="0" w:line="227" w:lineRule="exact"/>
        <w:rPr>
          <w:sz w:val="20"/>
          <w:szCs w:val="20"/>
          <w:color w:val="auto"/>
        </w:rPr>
      </w:pPr>
    </w:p>
    <w:p>
      <w:pPr>
        <w:ind w:left="60" w:right="279"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Disclosures (Subtopic 220-40): Disaggregation of Income Statement Expenses</w:t>
      </w:r>
      <w:r>
        <w:rPr>
          <w:rFonts w:ascii="Times New Roman" w:cs="Times New Roman" w:eastAsia="Times New Roman" w:hAnsi="Times New Roman"/>
          <w:sz w:val="17"/>
          <w:szCs w:val="17"/>
          <w:color w:val="auto"/>
        </w:rPr>
        <w:t>. This standard requires</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an entity to disclose on an annual and interim basis, disaggregated information about specific income statement expense categories.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This standard is effective for the Company for the annual period beginning January 1, 2027 and interim periods beginning January 1, 2028. Early adoption is permitted. This standard can be applied prospectively for reporting periods after the effective date or retrospectively to any or all prior periods presented in the financial statements. The Company is currently evaluating the impact that this standard may have on its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 Reverse Stock Split</w:t>
      </w:r>
    </w:p>
    <w:p>
      <w:pPr>
        <w:spacing w:after="0" w:line="229" w:lineRule="exact"/>
        <w:rPr>
          <w:sz w:val="20"/>
          <w:szCs w:val="20"/>
          <w:color w:val="auto"/>
        </w:rPr>
      </w:pPr>
    </w:p>
    <w:p>
      <w:pPr>
        <w:jc w:val="both"/>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Certificate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 License and Collaboration Agreements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collaboration agreements discussed in Note 11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 Other Comprehensive Income (Loss)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income (loss) (“OCI”) consists of expenses, gains, and losses that are excluded from net income under GAAP. The Company’s OCI includes, when applicable, unrealized gains and losses on available-for-sale debt securities.</w:t>
      </w:r>
    </w:p>
    <w:p>
      <w:pPr>
        <w:spacing w:after="0" w:line="176"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Unrealized gains and losses on available-for-sale debt securities are recorded net of tax in accumulated other comprehensive income (loss) (“AOCI”), a component of stockholders’ equity, until realized. Upon realization, these amounts are reclassified from AOCI into earnings.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fair values, and fair value hierarchy as of December 31, 2025 and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9"/>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8"/>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jc w:val="right"/>
              <w:ind w:right="10"/>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$ 40,494</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$ 307,749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$ 56,841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250,934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gridSpan w:val="4"/>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9"/>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3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gridSpan w:val="2"/>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114,577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$ 261,758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261,547</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120" w:type="dxa"/>
            <w:vAlign w:val="bottom"/>
            <w:gridSpan w:val="2"/>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Cash balances were $5.0 million at each of December 31, 2025 and 2024. Money market funds are highly liquid investments. The pricing information on the Company’s money market funds are based on quoted prices in active markets. This approach results in a classification of these securities as Level 1 of the fair value hierarchy.</w:t>
      </w:r>
    </w:p>
    <w:p>
      <w:pPr>
        <w:spacing w:after="0" w:line="176" w:lineRule="exact"/>
        <w:rPr>
          <w:sz w:val="20"/>
          <w:szCs w:val="20"/>
          <w:color w:val="auto"/>
        </w:rPr>
      </w:pPr>
    </w:p>
    <w:p>
      <w:pPr>
        <w:ind w:left="60" w:right="99" w:firstLine="441"/>
        <w:spacing w:after="0" w:line="255"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9" w:lineRule="exact"/>
        <w:rPr>
          <w:sz w:val="20"/>
          <w:szCs w:val="20"/>
          <w:color w:val="auto"/>
        </w:rPr>
      </w:pPr>
    </w:p>
    <w:p>
      <w:pPr>
        <w:ind w:left="60" w:right="259"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2025, $267.3 million of the Company’s fixed income securities have maturity dates within the next twelve months. All securities are considered available for sale. During the year ended December 31, 2025, the Company had proceeds from the sale of available-for-sale marketable securities of $18.9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50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3"/>
          </w:tcPr>
          <w:p>
            <w:pPr>
              <w:jc w:val="right"/>
              <w:ind w:right="284"/>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220" w:type="dxa"/>
            <w:vAlign w:val="bottom"/>
            <w:gridSpan w:val="2"/>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20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operating leases that it subleases for its office space in California, one of which commenced in January 2024 with an original lease term through January 2026 (which ended in January 2026). The Company’s other lease has an initial lease term of less than twelve months; therefore, it does not recognize this lease as an operating lease on the balance sheet.</w:t>
      </w:r>
    </w:p>
    <w:p>
      <w:pPr>
        <w:spacing w:after="0" w:line="180"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Operating lease expense was $0.2 million for each of the years ended December 31, 2025 and 2024. The Company’s remaining lease term and discount rate for its operating lease as of December 31, 2025 are 0.08 years and 10.0%,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maturities of operating lease liabilities were as follows as of December 31, 2025 (in thousands):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96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9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4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Cash paid for rent expense recorded during the years ended December 31, 2025 and 2024 was $0.2 million and $0.2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qualifies as a deferred salary arrangement under Section 401(k) of the Internal Revenue Code. Under the 401(k) plan, participating employees may defer a portion of their pre-tax earnings. The Company contributes 100% of employee salary deferral contributions up to 4% of pay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each payroll period. The Company contributions to the 401(k) plan during the years ended December 31, 2025 and 2024, were $0.7 million and $0.5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of the assessment and/or remediation can be reasonably estimated.</w:t>
      </w:r>
    </w:p>
    <w:p>
      <w:pPr>
        <w:spacing w:after="0" w:line="172" w:lineRule="exact"/>
        <w:rPr>
          <w:sz w:val="20"/>
          <w:szCs w:val="20"/>
          <w:color w:val="auto"/>
        </w:rPr>
      </w:pPr>
    </w:p>
    <w:p>
      <w:pPr>
        <w:ind w:left="60" w:right="4899" w:hanging="10"/>
        <w:spacing w:after="0" w:line="503" w:lineRule="auto"/>
        <w:tabs>
          <w:tab w:leader="none" w:pos="38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Common Stock Convertible Preferred Stock</w:t>
      </w: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June 2021, the Company sold 90,000,000 shares of Series A convertible preferred stock (“Series A”) at an original issuance price of $1.00 per share. In February 2022, the Company sold 60,000,000 shares of Series A at an original issuance price of $1.00 per share. In December 2022, the Company sold 104,761,894 shares of Series B convertible preferred stock (“Series B”) at an original issuance price of $1.05 per share. In March 2023, the Company sold 42,857,140 shares of Series B at an original issuance price of $1.05 per share. The Series A and Series B stock were converted to common stock at the Company’s January 2024 initial public offering.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Prior to their conversion into common stock, the Series A and Series B were classified outside of stockholders’ equity (deficit) because the holders of such shares had redemption rights in the event of a Deemed Liquidation Event that was not solely within the control of the Company. Because the occurrence of a Deemed Liquidation Event was never considered probable, the carrying values of the Convertible Preferred Stock were not accreted to their redemption values.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any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On February 3, 2025, the Company filed an automatic shelf registration statement on Form S-3ASR with the SEC pursuant to which the Company registered for sale an indeterminate amount of any combination of its common stock, preferred stock, debt securities, warrants, rights and/or units from time to time and at prices and on terms that the Company may determine, which is referred to as the “2025 WKSI Shelf”. The 2025 WKSI Shelf includes a prospectus covering up to an aggregate of $250.0 million of shares of common stock that the Company is able to issue and sell from time to time, through Jefferies LLC (“Jefferies”), acting as its sales agent, pursuant to the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8"/>
          <w:szCs w:val="18"/>
          <w:color w:val="auto"/>
        </w:rPr>
        <w:t>, dated February 3, 2025 (the “Sales Agreement”), for its “at-the-market” equity program.</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Under the Sales Agreement, Jefferies may sell shares of the Company’s common stock by any method permitted by law deemed to be an “at-the-market” offering as defined in Rule 415 of the Securities Act of 1933, as amended, subject to the terms of the Sales Agreement.</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sold 5,560,266 shares of common stock pursuant to the Sales Agreement for total proceeds of $122.2 million, net of commissions and other expenses. As of December 31, 2025, the Company has approximately $123.3 million remaining for future issuances of common stock pursuant to the Sales Agreement.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July Public Offering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July 3, 2025, the Company closed an underwritten public offering in which the Company issued and sold an aggregate of 3,059,615 shares of its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pre-funded warrants were recorded as a component of shareholders’ equity within additional paid-in-capital and have no expiration date. As of December 31, 2025, none of the pre-funded warrants have been exercised. The proceeds to the Company, net of underwriting discounts, commissions, and other expenses were $80.5 million.</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 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 As of December 31, 2025, there have been no exercises of pre-funded warrants since their issuance.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December 31, 2025, there were 3,504,507 shares available to be granted under the 2024 Plan. The Company’s stock options vest based on the terms in the awards agreements and generally vest over four years. The Company recorded stock-based compensation expense in the following expense categories in its accompanying statements of operations and comprehensive loss (in thousands):</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5,387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7,133</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12,520</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5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3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(years)</w:t>
            </w:r>
          </w:p>
        </w:tc>
        <w:tc>
          <w:tcPr>
            <w:tcW w:w="20" w:type="dxa"/>
            <w:vAlign w:val="bottom"/>
          </w:tcPr>
          <w:p>
            <w:pPr>
              <w:spacing w:after="0"/>
              <w:rPr>
                <w:sz w:val="15"/>
                <w:szCs w:val="15"/>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2,531,144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2,182,326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4,328,880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90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1,503,536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CCEEFF"/>
            </w:tcBorders>
            <w:gridSpan w:val="3"/>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4,328,880</w:t>
            </w:r>
          </w:p>
        </w:tc>
        <w:tc>
          <w:tcPr>
            <w:tcW w:w="760" w:type="dxa"/>
            <w:vAlign w:val="bottom"/>
            <w:tcBorders>
              <w:bottom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$ 15.56</w:t>
            </w:r>
          </w:p>
        </w:tc>
        <w:tc>
          <w:tcPr>
            <w:tcW w:w="900" w:type="dxa"/>
            <w:vAlign w:val="bottom"/>
            <w:tcBorders>
              <w:bottom w:val="single" w:sz="8" w:color="CCEEFF"/>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280" w:type="dxa"/>
            <w:vAlign w:val="bottom"/>
            <w:tcBorders>
              <w:bottom w:val="single" w:sz="8" w:color="CCEEFF"/>
            </w:tcBorders>
            <w:gridSpan w:val="4"/>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31,675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2025 and 2024 were $20.47 and $7.52 per share, respectively. The fair value was estimated using the Black-Scholes option-pricing model based on the following assumptions: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3.78% - 4.37%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3.69% - 4.66%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96.1% - 98.3%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93.1% - 98.6%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 (a)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18.03 - 27.56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5.85 - 24.58</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right="79" w:hanging="330"/>
        <w:spacing w:after="0" w:line="298" w:lineRule="auto"/>
        <w:tabs>
          <w:tab w:leader="none" w:pos="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initial public offering on January 26, 2024, the fair value of common stock is based on the closing market price of common stock on the date of grant.</w:t>
      </w:r>
    </w:p>
    <w:p>
      <w:pPr>
        <w:spacing w:after="0" w:line="160"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December 31, 2025 was $37.6 million and will be expensed over a weighted-average period of 2.7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ASC 740. The Company has incurred losses since inception and has not recognized any current or deferred income tax expense for the year ended December 31, 2025. It is more likely than not that the Company’s deferred tax assets will not be realized. Accordingly, a full valuation allowance has been recorded against the deferred tax assets. A reconciliation of the provision for income taxes to the amount computed by applying the 21% statutory U.S. federal income tax rate to income before income taxes after the adoption of ASU 2023-09 is as follows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8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2020" w:type="dxa"/>
            <w:vAlign w:val="bottom"/>
            <w:gridSpan w:val="2"/>
          </w:tcPr>
          <w:p>
            <w:pPr>
              <w:ind w:left="19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US Dollars ($)</w:t>
            </w:r>
          </w:p>
        </w:tc>
        <w:tc>
          <w:tcPr>
            <w:tcW w:w="2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at U.S. federal rate</w:t>
            </w:r>
          </w:p>
        </w:tc>
        <w:tc>
          <w:tcPr>
            <w:tcW w:w="1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Nontaxable/Nondeductible items</w:t>
            </w: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Stock Compensation</w:t>
            </w: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 Credit</w:t>
            </w: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Although state income taxes are net zero due to the Company's valuation allowance, Pennsylvania and Maryland made up the majority (greater than 50 percent) of the tax effect in this category. There were no cash tax payments made or refunds received for the year ended December 31, 2025. A reconciliation of the provision for income taxes to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amount computed by applying the 21% statutory U.S. federal income tax rate to income before income taxes before the adoption of ASU 2023-09 is as follows:</w:t>
      </w:r>
    </w:p>
    <w:p>
      <w:pPr>
        <w:spacing w:after="0" w:line="10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7420" w:type="dxa"/>
            <w:vAlign w:val="bottom"/>
            <w:tcBorders>
              <w:bottom w:val="single" w:sz="8" w:color="CCEEFF"/>
            </w:tcBorders>
          </w:tcPr>
          <w:p>
            <w:pPr>
              <w:ind w:left="7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U.S. federal rate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8"/>
                <w:szCs w:val="18"/>
                <w:color w:val="auto"/>
              </w:rPr>
            </w:pP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the financial statement carrying amounts and tax bases of assets and liabilities using enacted tax rates in effect for years in which differences are expected to reverse.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6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3"/>
          </w:tcPr>
          <w:p>
            <w:pPr>
              <w:jc w:val="right"/>
              <w:ind w:right="284"/>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520" w:type="dxa"/>
            <w:vAlign w:val="bottom"/>
            <w:gridSpan w:val="3"/>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records a valuation allowance against its net deferred tax asset when it is not more likely than not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such assets will be realized. The realization of deferred tax assets depends upon the Company’s ability to generate future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taxable income or other tax planning strategies available in the relevant taxing jurisdiction. In evaluating the realizability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its deferred tax assets, Management must determine whether there will be sufficient taxable income to allow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realization of deferred tax assets. Based upon the historical and anticipated future losses, Management has determined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deferred tax assets do not meet the more-likely-than-not threshold for realizability. As a result, the Company recorded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valuation allowance against its net deferred tax assets as of December 31, 2025. The valuation allowance increased by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$40.4 million and $24.7 million during the year ended December 31, 2025 and 2024, respectively due to the current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pre-tax losses and research and development tax credits.</w:t>
      </w:r>
    </w:p>
    <w:p>
      <w:pPr>
        <w:spacing w:after="0" w:line="207"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As of December 31, 2025 and 2024, the Company had federal net operating loss (“NOL”) carryforwards of $138.5 million and $67.4 million, which will be carried forward indefinitely to offset future taxable income, subject to an 80 percent limitation of taxable income annually. In addition, as of December 31, 2025 and 2024, state NOLs exist of approximately $121.7 million and $58.8 million subject to various carryforward periods with the first state NOLs beginning to expire in 2043. The Company also had research and development tax credit carryforwards of approximately</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$9.1 million and $7.1 million as of December 31, 2025 and 2024. The research credit carryforward will begin to expire in 2041. Under Sections 382 and 383 of the Internal Revenue Code of 1986, as amended, the Code, if a corporation undergoes an “ownership change,” the corporation’s ability to use its pre-change NOL carryforwards and credits to offset its post-change income and taxes may be limited. In general, an “ownership change” occurs if there is a cumulative change in ownership by one or more “5% shareholders” (as defined under U.S. income tax laws) that exceeds 50 percentage points over a rolling three-year period. Similar rules apply under state tax laws. The Company has not determined if it has experienced Section 382 ownership changes in the past and if a portion of the NOL and tax credit carryforwards are subject to an annual limitation under Section 382. In addition, the Company may experience ownership changes in the future as a result of subsequent shifts in stock ownership, some of which may be outside of our control.</w:t>
      </w:r>
    </w:p>
    <w:p>
      <w:pPr>
        <w:spacing w:after="0" w:line="188"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As of December 31, 2025, the Company had no accrued interest or penalties related to uncertain tax positions and no amounts have been recognized in the Company’s financial statements. The Company is currently subject to U.S. Federal and state tax examination. As a result of tax attribute carryforwards, all U.S. federal and state tax periods from the Company’s inception in 2021 through 2025 remain open. The Company does not have a reserve for uncertain tax positions.</w:t>
      </w:r>
    </w:p>
    <w:p>
      <w:pPr>
        <w:spacing w:after="0" w:line="200" w:lineRule="exact"/>
        <w:rPr>
          <w:sz w:val="20"/>
          <w:szCs w:val="20"/>
          <w:color w:val="auto"/>
        </w:rPr>
      </w:pPr>
    </w:p>
    <w:p>
      <w:pPr>
        <w:spacing w:after="0" w:line="392" w:lineRule="exact"/>
        <w:rPr>
          <w:sz w:val="20"/>
          <w:szCs w:val="20"/>
          <w:color w:val="auto"/>
        </w:rPr>
      </w:pPr>
    </w:p>
    <w:p>
      <w:pPr>
        <w:ind w:left="380" w:right="5639" w:hanging="330"/>
        <w:spacing w:after="0" w:line="503" w:lineRule="auto"/>
        <w:tabs>
          <w:tab w:leader="none" w:pos="39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i w:val="1"/>
          <w:iCs w:val="1"/>
          <w:color w:val="auto"/>
        </w:rPr>
        <w:t>Allist</w:t>
      </w: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spacing w:after="0" w:line="18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Upon the achievement of certain clinical, regulatory and commercial milestones using the licensed technology, the Company is obligated to make future milestone payments to Allist of up to $105.0 million in clinical and regulatory milestones and up to $655.0 million in commercial milestones. Furthermore, royalties, ranging from high single digit to low mid-teen percentages will be payable to Allist on net sales of licensed products in licensed territories.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years ended December 31, 2025 and 2024, the Company incurred $0.6 million and $0.9 million, respectively, in cost reimbursements to Allist under the Clinical Collaboration which have been recorded as research and development expense. The Company also received cost reimbursements from Allist of $1.4 million and $0.3 million for the years ended December 31, 2025 and 2024, respectively, which has been recorded as a reduction of research and development expenses. The Company incurred $5.0 million in clinical milestone payments to Allist during the year ended December 31, 2025. During the year ended December 31, 2025, no additional milestones were met, achieved, or were probable of achievement.</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 (“Alphamab Agreement”).</w:t>
      </w:r>
    </w:p>
    <w:p>
      <w:pPr>
        <w:spacing w:after="0" w:line="176"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Under the Alphamab Agreement, both companies seek to leverage Alphamab’s proprietary linker-payload platform and glycan-conjugation technology to identify novel ADCs for oncology indications. The Alphamab Agreement gives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Company exclusive rights to develop and commercialize ADCs globally, except greater China, which includes mainland China, Hong Kong, Macau and Taiwan where Alphamab retains the right to develop and commercialize the ADCs.</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terms of the Alphamab Agreement include combined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year ended December 31, 2024. During the years ended December 31, 2025 and 2024, the Company paid $4.6 million and $0.2 million in cost reimbursements, respectively, to Alphamab under the Alphamab Agreement. $1.7 million of these payments were expensed in the year ended December 31, 2025, also as research and development. Finally, during the year ended December 31, 2025, the Company paid $1.2 million upon the approval of a target pair selection, which was also included in research and development expense. During the year ended December 31, 2025, no additional milestones were met, achieved, or were probable of achievement.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spacing w:after="0" w:line="194"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On August 9, 2024, the Company entered into an amendment and restatement of the Aarvik Collaboration Agreement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w:t>
      </w:r>
    </w:p>
    <w:p>
      <w:pPr>
        <w:spacing w:after="0" w:line="3" w:lineRule="exact"/>
        <w:rPr>
          <w:sz w:val="20"/>
          <w:szCs w:val="20"/>
          <w:color w:val="auto"/>
        </w:rPr>
      </w:pPr>
    </w:p>
    <w:p>
      <w:pPr>
        <w:ind w:left="60" w:right="99" w:hanging="10"/>
        <w:spacing w:after="0" w:line="252" w:lineRule="auto"/>
        <w:tabs>
          <w:tab w:leader="none" w:pos="2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agreed targets to which the compounds being developed under the collaboration bind, which is referred to as the Target Pair, and (ii) the acquisition of exclusive rights to certain intellectual property generated during the collaboration. The Company has not yet selected the indication or indications that it would pursue in the collaboration and anticipates doing so in connection with the identification of a lead candidate for IND-enabling activities. Under the Amended and Restated Aarvik Collaboration Agreement, the Company has paid Aarvik a collaboration initiation fee and research fees as provided in the SOWs in an aggregate amount of $4.9 million.</w:t>
      </w:r>
    </w:p>
    <w:p>
      <w:pPr>
        <w:spacing w:after="0" w:line="19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$0.5 million and $2.3 million in research and development expenses related to the Aarvik SOWs during the years ended December 31, 2025 and 2024, respectively. No milestones have been met or achieved, or are probable of achievement, since the inception of the Aarvik Collaboration Agreement.</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Lepu</w:t>
      </w:r>
    </w:p>
    <w:p>
      <w:pPr>
        <w:spacing w:after="0" w:line="227" w:lineRule="exact"/>
        <w:rPr>
          <w:sz w:val="20"/>
          <w:szCs w:val="20"/>
          <w:color w:val="auto"/>
        </w:rPr>
      </w:pPr>
    </w:p>
    <w:p>
      <w:pPr>
        <w:ind w:left="100" w:right="279" w:firstLine="292"/>
        <w:spacing w:after="0" w:line="266" w:lineRule="auto"/>
        <w:rPr>
          <w:sz w:val="20"/>
          <w:szCs w:val="20"/>
          <w:color w:val="auto"/>
        </w:rPr>
      </w:pPr>
      <w:r>
        <w:rPr>
          <w:rFonts w:ascii="Times New Roman" w:cs="Times New Roman" w:eastAsia="Times New Roman" w:hAnsi="Times New Roman"/>
          <w:sz w:val="18"/>
          <w:szCs w:val="18"/>
          <w:color w:val="auto"/>
        </w:rPr>
        <w:t>On January 21, 2025, the Company entered into an Exclusive License Agreement (the “Lepu Biopharma Agreement”) with Lepu Biopharma Co., Ltd. (“Lepu”), pursuant to which Lepu granted the Company a right to develop and commercialize ARR-217, an antibody drug conjugate for gastrointestinal cancers outside Greater China.</w:t>
      </w:r>
    </w:p>
    <w:p>
      <w:pPr>
        <w:spacing w:after="0" w:line="176" w:lineRule="exact"/>
        <w:rPr>
          <w:sz w:val="20"/>
          <w:szCs w:val="20"/>
          <w:color w:val="auto"/>
        </w:rPr>
      </w:pPr>
    </w:p>
    <w:p>
      <w:pPr>
        <w:ind w:left="100" w:right="639" w:firstLine="292"/>
        <w:spacing w:after="0" w:line="282" w:lineRule="auto"/>
        <w:rPr>
          <w:sz w:val="20"/>
          <w:szCs w:val="20"/>
          <w:color w:val="auto"/>
        </w:rPr>
      </w:pPr>
      <w:r>
        <w:rPr>
          <w:rFonts w:ascii="Times New Roman" w:cs="Times New Roman" w:eastAsia="Times New Roman" w:hAnsi="Times New Roman"/>
          <w:sz w:val="18"/>
          <w:szCs w:val="18"/>
          <w:color w:val="auto"/>
        </w:rPr>
        <w:t>Under the Lepu Biopharma Agreement, Lepu granted to the Company: (i) an exclusive, royalty-bearing, sublicensable license under certain intellectual property owned or controlled by Lepu, to develop, manufacture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79"/>
        <w:spacing w:after="0" w:line="252" w:lineRule="auto"/>
        <w:rPr>
          <w:sz w:val="20"/>
          <w:szCs w:val="20"/>
          <w:color w:val="auto"/>
        </w:rPr>
      </w:pPr>
      <w:r>
        <w:rPr>
          <w:rFonts w:ascii="Times New Roman" w:cs="Times New Roman" w:eastAsia="Times New Roman" w:hAnsi="Times New Roman"/>
          <w:sz w:val="18"/>
          <w:szCs w:val="18"/>
          <w:color w:val="auto"/>
        </w:rPr>
        <w:t>commercialize any product containing ARR-217 for all uses in all countries and territories other than Greater China (as defined in the Lepu Biopharma Agreement)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 million and, during the three months ended June 30, 2025, the Company paid $1.0 million to Lepu for the achievement of the first developmental milestone under the Lepu Biopharma Agreement as it became probable of achievement during the second quarter. Lepu is eligible to receive a potential near-term clinical milestone payment for $6.0 million in cash. The upfront payment was included in research and development expenses. Finally, Lepu is eligible to receive payments of up to $0.3 billion in development and regulatory milestones, and up to</w:t>
      </w:r>
    </w:p>
    <w:p>
      <w:pPr>
        <w:spacing w:after="0" w:line="6" w:lineRule="exact"/>
        <w:rPr>
          <w:sz w:val="20"/>
          <w:szCs w:val="20"/>
          <w:color w:val="auto"/>
        </w:rPr>
      </w:pPr>
    </w:p>
    <w:p>
      <w:pPr>
        <w:ind w:left="100" w:right="399"/>
        <w:spacing w:after="0" w:line="260" w:lineRule="auto"/>
        <w:rPr>
          <w:sz w:val="20"/>
          <w:szCs w:val="20"/>
          <w:color w:val="auto"/>
        </w:rPr>
      </w:pPr>
      <w:r>
        <w:rPr>
          <w:rFonts w:ascii="Times New Roman" w:cs="Times New Roman" w:eastAsia="Times New Roman" w:hAnsi="Times New Roman"/>
          <w:sz w:val="18"/>
          <w:szCs w:val="18"/>
          <w:color w:val="auto"/>
        </w:rPr>
        <w:t>$0.89 billion in commercial milestones, and tiered royalties in high single-digit to low-teen percentages on net sales in the ArriVent Territory.</w:t>
      </w:r>
    </w:p>
    <w:p>
      <w:pPr>
        <w:spacing w:after="0" w:line="181" w:lineRule="exact"/>
        <w:rPr>
          <w:sz w:val="20"/>
          <w:szCs w:val="20"/>
          <w:color w:val="auto"/>
        </w:rPr>
      </w:pPr>
    </w:p>
    <w:p>
      <w:pPr>
        <w:ind w:left="100" w:right="779" w:firstLine="292"/>
        <w:spacing w:after="0" w:line="261" w:lineRule="auto"/>
        <w:rPr>
          <w:sz w:val="20"/>
          <w:szCs w:val="20"/>
          <w:color w:val="auto"/>
        </w:rPr>
      </w:pPr>
      <w:r>
        <w:rPr>
          <w:rFonts w:ascii="Times New Roman" w:cs="Times New Roman" w:eastAsia="Times New Roman" w:hAnsi="Times New Roman"/>
          <w:sz w:val="18"/>
          <w:szCs w:val="18"/>
          <w:color w:val="auto"/>
        </w:rPr>
        <w:t>Other than the milestone payment of $1.0 million recorded in the second quarter of 2025, no milestones have been met or achieved, or are probable of achievement, since the inception of the Lepu Biopharma Agreement. During year ended December 31, 2025, the Company paid $1.7 million in research and development expenses related to the Lepu Biopharma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life science segment based on net loss, which is reported on the statement of operations and comprehensive loss. The measure of segment assets is reported on the balance sheet as total assets. All of the Company’s assets are located in the United States.</w:t>
      </w:r>
    </w:p>
    <w:p>
      <w:pPr>
        <w:spacing w:after="0" w:line="180"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1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Firmonertinib (excluding personnel-related and other</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6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Firmonertinib</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Early-stage programs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Personnel-related and other internal costs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Personnel-related costs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Other costs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segment items (a)</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4"/>
          <w:szCs w:val="14"/>
          <w:color w:val="auto"/>
        </w:rPr>
        <w:t>(a)</w:t>
        <w:tab/>
        <w:t>Other segment items is comprised of interest and investment income.</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May 8, 2025, the Company entered into a Loan and Security Agreement (the “Loan Agreement”) between the Company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 certain conditions, a third tranche commitment of $25.0 million. If not drawn, each tranche commitment is subject to an expiration date. In March 2026, the Company entered into an amendment of the Loan Agreement in which one of the conditions of the second tranche commitment was eliminated. No amounts have been drawn on this Term Loan as of December 31, 2025.</w:t>
      </w:r>
    </w:p>
    <w:p>
      <w:pPr>
        <w:spacing w:after="0" w:line="188" w:lineRule="exact"/>
        <w:rPr>
          <w:sz w:val="20"/>
          <w:szCs w:val="20"/>
          <w:color w:val="auto"/>
        </w:rPr>
      </w:pPr>
    </w:p>
    <w:p>
      <w:pPr>
        <w:jc w:val="both"/>
        <w:ind w:left="60" w:right="219" w:firstLine="324"/>
        <w:spacing w:after="0" w:line="272" w:lineRule="auto"/>
        <w:rPr>
          <w:sz w:val="20"/>
          <w:szCs w:val="20"/>
          <w:color w:val="auto"/>
        </w:rPr>
      </w:pPr>
      <w:r>
        <w:rPr>
          <w:rFonts w:ascii="Times New Roman" w:cs="Times New Roman" w:eastAsia="Times New Roman" w:hAnsi="Times New Roman"/>
          <w:sz w:val="17"/>
          <w:szCs w:val="17"/>
          <w:color w:val="auto"/>
        </w:rPr>
        <w:t>The Term Loan matures on March 1, 2030 (or, if the Company does not satisfy certain conditions, on March 1, 2029) unless otherwise accelerated following the occurrence and continuation of an event of default pursuant to the terms of the Loan Agreement. Amounts borrowed under the Term Loan bear interest at a variable annual rate equal to the greater of</w:t>
      </w:r>
    </w:p>
    <w:p>
      <w:pPr>
        <w:spacing w:after="0" w:line="2" w:lineRule="exact"/>
        <w:rPr>
          <w:sz w:val="20"/>
          <w:szCs w:val="20"/>
          <w:color w:val="auto"/>
        </w:rPr>
      </w:pPr>
    </w:p>
    <w:p>
      <w:pPr>
        <w:ind w:left="60" w:right="159" w:hanging="10"/>
        <w:spacing w:after="0" w:line="260" w:lineRule="auto"/>
        <w:tabs>
          <w:tab w:leader="none" w:pos="2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and (ii) (A) the Prime Rate, minus (B) 0.75%. The Company may, at their option, prepay the Term Loan subject to a prepayment premium.</w:t>
      </w:r>
    </w:p>
    <w:p>
      <w:pPr>
        <w:spacing w:after="0" w:line="18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are secured by a first priority, perfected lien on substantially all the property and assets of the Company, except for intellectual property (other than the security interest in proceeds from any intellectual property) and certain other customary excluded assets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8" w:lineRule="exact"/>
        <w:rPr>
          <w:sz w:val="20"/>
          <w:szCs w:val="20"/>
          <w:color w:val="auto"/>
        </w:rPr>
      </w:pPr>
    </w:p>
    <w:p>
      <w:pPr>
        <w:ind w:left="60" w:right="99" w:firstLine="324"/>
        <w:spacing w:after="0" w:line="293" w:lineRule="auto"/>
        <w:rPr>
          <w:sz w:val="20"/>
          <w:szCs w:val="20"/>
          <w:color w:val="auto"/>
        </w:rPr>
      </w:pPr>
      <w:r>
        <w:rPr>
          <w:rFonts w:ascii="Times New Roman" w:cs="Times New Roman" w:eastAsia="Times New Roman" w:hAnsi="Times New Roman"/>
          <w:sz w:val="17"/>
          <w:szCs w:val="17"/>
          <w:color w:val="auto"/>
        </w:rPr>
        <w:t>As of December 31, 2025, we conducted an evaluation, under the supervision and with the participation of our management, including our Chief Executive Officer and Chief Financial Officer, of our disclosure controls and procedures, as such term is defined under Rule 13a-15(e) and Rule 15d-15(e) promulgated under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720" w:right="359" w:hanging="319"/>
        <w:spacing w:after="0" w:line="282"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under the Exchange Act. Our internal control over financial reporting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designed to provide reasonable assurance regarding the reliability of financial reporting and the preparation of financial statements for external purposes in accordance with accounting principles generally accepted in the United States.</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management assessed the effectiveness of the Company's internal control over financial reporting as of December 31, 2025, using the criteria set forth by the Committee of Sponsoring Organizations of the Treadway Commission in Internal Control - Integrated Framework (2013). We have evaluated the effectiveness of our internal control over financial reporting as of the end of the period covered by this Annual Report on Form 10-K, with the participation of our Chief Executive Officer and Chief Financial Officer, as well as other key members of our management. Based on this assessment, management concluded that, as of December 31, 2025, the Company's internal control over financial reporting was effective.</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and is not required to include, an attestation report of our registered public accounting firm. Additionally, our independent registered public accounting firm will not be required to opine on our internal control over financial reporting until we are no longer an emerging growth company.</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There were no changes in our internal control over financial reporting during the quarter ended December 31, 2025 that have materially affected, or are reasonably likely to materially affect, our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ind w:left="60" w:right="119" w:firstLine="441"/>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“Delinquent Section 16(a) Reports,” “Corporate Code of Conduct” and “Insider Trading Policies” in our Proxy Statement for the 2026 Annual Meeting of Stockholders expected to be held on June 18, 2026.</w:t>
      </w:r>
    </w:p>
    <w:p>
      <w:pPr>
        <w:spacing w:after="0" w:line="17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in our Proxy Statement for the 2026 Annual Meeting of Stockholders expected to be held on June 18, 2026.</w:t>
      </w:r>
    </w:p>
    <w:p>
      <w:pPr>
        <w:spacing w:after="0" w:line="388" w:lineRule="exact"/>
        <w:rPr>
          <w:sz w:val="20"/>
          <w:szCs w:val="20"/>
          <w:color w:val="auto"/>
        </w:rPr>
      </w:pPr>
    </w:p>
    <w:p>
      <w:pPr>
        <w:jc w:val="center"/>
        <w:ind w:right="2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“Security Ownership of Certain Beneficial Owners and Management” in our Proxy Statement for the 2026 Annual Meeting of Stockholders expected to be held on June 18, 2026.</w:t>
      </w:r>
    </w:p>
    <w:p>
      <w:pPr>
        <w:spacing w:after="0" w:line="3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“Certain Relationships and Related Person Transactions” and “Management and Corporate Governance – Director Independence” in our Proxy Statement for the 2026 Annual Meeting of Stockholders expected to be held on June 18, 2026.</w:t>
      </w:r>
    </w:p>
    <w:p>
      <w:pPr>
        <w:spacing w:after="0" w:line="3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proposal entitled “Selection of Independent Registered Public Accounting Firm” in our Proxy Statement for the 2026 Annual Meeting of the Stockholders expected to be held on June18,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80" w:right="139" w:hanging="330"/>
        <w:spacing w:after="0" w:line="266"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filed as part of this Annual Report are listed in the Index to Financial Statements. Certain schedules are omitted because they are not applicable, or not required, or because the required information is included in the financial statements or notes thereto. The Exhibits are listed in Item 15 (b) below.</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18"/>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4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Amended and Restated Certificate of Incorporation (incorporated by reference to Exhibit 3.1 of the</w:t>
              </w:r>
            </w:hyperlink>
          </w:p>
        </w:tc>
        <w:tc>
          <w:tcPr>
            <w:tcW w:w="700" w:type="dxa"/>
            <w:vAlign w:val="bottom"/>
            <w:gridSpan w:val="9"/>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Registrant’s Current Report on Form 8-K (File No. 001-41929) filed with the SEC on January 30,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Amended and Restated Bylaws (incorporated by reference to Exhibit 3.2 of the Registrant’s Current Report</w:t>
              </w:r>
            </w:hyperlink>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on Form 8-K (File No. 001-41929) filed with the SEC on January 30, 2024).</w:t>
              </w:r>
            </w:hyperlink>
          </w:p>
        </w:tc>
        <w:tc>
          <w:tcPr>
            <w:tcW w:w="2320" w:type="dxa"/>
            <w:vAlign w:val="bottom"/>
            <w:gridSpan w:val="14"/>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Specimen Common Stock Certificate (incorporated by reference to Exhibit 4.1 of the Registrant’s</w:t>
              </w:r>
            </w:hyperlink>
          </w:p>
        </w:tc>
        <w:tc>
          <w:tcPr>
            <w:tcW w:w="80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Registration Statement on Form S-1 (File No. 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20"/>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Amended and Restated Investors’ Rights Agreement, dated as of December 16, 2022 (incorporated by</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reference to Exhibit 4.2 of the Registrant’s Registration Statement on Form S-1 (File No. 333-276397) filed</w:t>
              </w:r>
            </w:hyperlink>
          </w:p>
        </w:tc>
        <w:tc>
          <w:tcPr>
            <w:tcW w:w="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on January 5, 2024).</w:t>
              </w:r>
            </w:hyperlink>
          </w:p>
        </w:tc>
        <w:tc>
          <w:tcPr>
            <w:tcW w:w="6360" w:type="dxa"/>
            <w:vAlign w:val="bottom"/>
            <w:gridSpan w:val="19"/>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Description of Securities (incorporated by reference to Exhibit 4.3 of the Registrant’s Annual Report on</w:t>
              </w:r>
            </w:hyperlink>
          </w:p>
        </w:tc>
        <w:tc>
          <w:tcPr>
            <w:tcW w:w="3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10-K (File No. 001-41929) filed on March 28,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Form of Pre-Funded Warrant (incorporated by reference to Exhibit 4.1 of the Registrant’s Current Report on</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Form 8-K (File No. 001-41929) filed on July 2, 2025).</w:t>
              </w:r>
            </w:hyperlink>
          </w:p>
        </w:tc>
        <w:tc>
          <w:tcPr>
            <w:tcW w:w="3900" w:type="dxa"/>
            <w:vAlign w:val="bottom"/>
            <w:gridSpan w:val="17"/>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20"/>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Form of Indemnification Agreement (incorporated by reference to Exhibit 10.1 of the Registrant’s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Registration Statement on Form S-1 (File No. 333-276397) filed on January 5, 2024).</w:t>
              </w:r>
            </w:hyperlink>
          </w:p>
        </w:tc>
        <w:tc>
          <w:tcPr>
            <w:tcW w:w="78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2021 Employee, Director and Consultant Equity Incentive Plan, as amended and form of stock option</w:t>
              </w:r>
            </w:hyperlink>
          </w:p>
        </w:tc>
        <w:tc>
          <w:tcPr>
            <w:tcW w:w="48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agreement thereunder (incorporated by reference to Exhibit 10.2 of the Registrant’s Registration Statement</w:t>
              </w:r>
            </w:hyperlink>
          </w:p>
        </w:tc>
        <w:tc>
          <w:tcPr>
            <w:tcW w:w="14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on Form S-1 (File No. 333-276397) filed on January 5, 2024)</w:t>
              </w:r>
            </w:hyperlink>
          </w:p>
        </w:tc>
        <w:tc>
          <w:tcPr>
            <w:tcW w:w="3400" w:type="dxa"/>
            <w:vAlign w:val="bottom"/>
            <w:gridSpan w:val="15"/>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2024 Employee, Director and Consultant Equity Incentive Plan, form of stock option agreement and form of</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restricted stock agreement thereunder (incorporated by reference to Exhibit 10.3 of the Registrant’s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Registration Statement on Form S-1/A (File No. 333-276397) filed on January 22, 2024).</w:t>
              </w:r>
            </w:hyperlink>
          </w:p>
        </w:tc>
        <w:tc>
          <w:tcPr>
            <w:tcW w:w="700" w:type="dxa"/>
            <w:vAlign w:val="bottom"/>
            <w:tcBorders>
              <w:top w:val="single" w:sz="8" w:color="0000EE"/>
            </w:tcBorders>
            <w:gridSpan w:val="3"/>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ArriVent BioPharma, Inc. Executive Severance Plan (incorporated by reference to Exhibit 10.4 of the</w:t>
              </w:r>
            </w:hyperlink>
          </w:p>
        </w:tc>
        <w:tc>
          <w:tcPr>
            <w:tcW w:w="5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Registrant’s Registration Statement on Form S-1 (File No. 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240" w:type="dxa"/>
            <w:vAlign w:val="bottom"/>
            <w:gridSpan w:val="8"/>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Amended and Restated Non-Employee Director Compensation Policy (incorporated by reference to Exhibit</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Registrant’s Quarterly Report on Form 10-Q (File No. 001-41929) filed on November 10, 2025)</w:t>
              </w:r>
            </w:hyperlink>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940" w:type="dxa"/>
            <w:vAlign w:val="bottom"/>
            <w:tcBorders>
              <w:right w:val="single" w:sz="8" w:color="0000EE"/>
            </w:tcBorders>
            <w:gridSpan w:val="1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Offer Letter Agreement, by and between the Registrant and Zhengbin (Bing) Yao, Ph.D., dated May 5, 2021</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(incorporated by reference to Exhibit 10.7 of the Registrant’s Registration Statement on Form S-1 (File No.</w:t>
              </w:r>
            </w:hyperlink>
          </w:p>
        </w:tc>
        <w:tc>
          <w:tcPr>
            <w:tcW w:w="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94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20"/>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Offer Letter Agreement, by and between the Registrant and Stuart Lutzker, M.D., Ph.D., dated May 1, 2021</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(incorporated by reference to Exhibit 10.8 of the Registrant’s Registration Statement on Form S-1 (File No.</w:t>
              </w:r>
            </w:hyperlink>
          </w:p>
        </w:tc>
        <w:tc>
          <w:tcPr>
            <w:tcW w:w="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20"/>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79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28"/>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80" w:type="dxa"/>
            <w:vAlign w:val="bottom"/>
            <w:tcBorders>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Offer Letter Agreement, by and between the Registrant and Robin LaChapelle, dated May 21, 2021</w:t>
              </w:r>
            </w:hyperlink>
          </w:p>
        </w:tc>
        <w:tc>
          <w:tcPr>
            <w:tcW w:w="660" w:type="dxa"/>
            <w:vAlign w:val="bottom"/>
            <w:gridSpan w:val="16"/>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(incorporated by reference to Exhibit 10.9 of the Registrant’s Registration Statement on Form S-1 (File No.</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Offer Letter Agreement, by and between the Registrant and James Kastenmayer, J.D., Ph.D., dated August</w:t>
              </w:r>
            </w:hyperlink>
          </w:p>
        </w:tc>
        <w:tc>
          <w:tcPr>
            <w:tcW w:w="1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11, 2023 (incorporated by reference to Exhibit 10.10 of the Registrant’s Registration Statement on Form S-1</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(File No. 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Offer Letter Agreement, by and between the Registrant and Winston Kung, MBA, dated January 3, 2024</w:t>
              </w:r>
            </w:hyperlink>
          </w:p>
        </w:tc>
        <w:tc>
          <w:tcPr>
            <w:tcW w:w="2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(incorporated by reference to Exhibit 10.11 of the Registrant’s Registration Statement on Form S-1 (File No.</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License Agreement, by and between the Registrant and Shanghai Allist Pharmaceuticals Co., Ltd., dated</w:t>
              </w:r>
            </w:hyperlink>
          </w:p>
        </w:tc>
        <w:tc>
          <w:tcPr>
            <w:tcW w:w="30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June 29, 2021, as amended by Amendment No. 1, dated November 6, 2023 (incorporated by reference to</w:t>
              </w:r>
            </w:hyperlink>
          </w:p>
        </w:tc>
        <w:tc>
          <w:tcPr>
            <w:tcW w:w="28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Exhibit 10.12 of the Registrant’s Registration Statement on Form S-1 (File No. 333-276397) filed on</w:t>
              </w:r>
            </w:hyperlink>
          </w:p>
        </w:tc>
        <w:tc>
          <w:tcPr>
            <w:tcW w:w="580" w:type="dxa"/>
            <w:vAlign w:val="bottom"/>
            <w:gridSpan w:val="1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January 5, 2024).</w:t>
              </w:r>
            </w:hyperlink>
          </w:p>
        </w:tc>
        <w:tc>
          <w:tcPr>
            <w:tcW w:w="6580" w:type="dxa"/>
            <w:vAlign w:val="bottom"/>
            <w:gridSpan w:val="29"/>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Joint Clinical Collaboration Agreement, by and between the Registrant and Shanghai Allist Pharmaceuticals</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Co., Ltd., dated December 24, 2021 (incorporated by reference to Exhibit 10.13 of the Registrant’s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Registration Statement on Form S-1 (File No. 333-276397) filed on January 5, 2024).</w:t>
              </w:r>
            </w:hyperlink>
          </w:p>
        </w:tc>
        <w:tc>
          <w:tcPr>
            <w:tcW w:w="740" w:type="dxa"/>
            <w:vAlign w:val="bottom"/>
            <w:gridSpan w:val="17"/>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Amended and Restated Research Collaboration Agreement, by and between the Registrant and Aarvik</w:t>
              </w:r>
            </w:hyperlink>
          </w:p>
        </w:tc>
        <w:tc>
          <w:tcPr>
            <w:tcW w:w="4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Therapeutics, Inc., dated August 9, 2024 (incorporated by reference to Exhibit 10.1 of the Registrant’s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Quarterly Report on Form 10-Q (File No. 001-41929) filed on November 14, 2024).</w:t>
              </w:r>
            </w:hyperlink>
          </w:p>
        </w:tc>
        <w:tc>
          <w:tcPr>
            <w:tcW w:w="480" w:type="dxa"/>
            <w:vAlign w:val="bottom"/>
            <w:gridSpan w:val="1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30"/>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Amendment No. 1 to the Amended and Restated Research Collaboration Agreement, by and between the</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Registrant and Aarvik Therapeutics, Inc., dated July 2, 2025 (incorporated by reference to Exhibit 10.2 of</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the Registrant’s Quarterly Report on Form 10-Q (File No. 001-41929) filed on November 10, 2025).</w:t>
              </w:r>
            </w:hyperlink>
          </w:p>
        </w:tc>
        <w:tc>
          <w:tcPr>
            <w:tcW w:w="360" w:type="dxa"/>
            <w:vAlign w:val="bottom"/>
            <w:tcBorders>
              <w:top w:val="single" w:sz="8" w:color="0000EE"/>
            </w:tcBorders>
            <w:gridSpan w:val="8"/>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30"/>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Clinical Collaboration Agreement, by and between the Registrant and Beijing InnoCare Pharma</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Tech Co., Ltd., dated June 23, 2023 (incorporated by reference to Exhibit 10.15 of the Registrant’s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Registration Statement on Form S-1 (File No. 333-276397) filed on January 5, 2024).</w:t>
              </w:r>
            </w:hyperlink>
          </w:p>
        </w:tc>
        <w:tc>
          <w:tcPr>
            <w:tcW w:w="820" w:type="dxa"/>
            <w:vAlign w:val="bottom"/>
            <w:gridSpan w:val="19"/>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Research and Collaboration Agreement, by and between the Registrant and Jiangsu Alphamab</w:t>
              </w:r>
            </w:hyperlink>
          </w:p>
        </w:tc>
        <w:tc>
          <w:tcPr>
            <w:tcW w:w="1040" w:type="dxa"/>
            <w:vAlign w:val="bottom"/>
            <w:gridSpan w:val="2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Biopharmaceuticals Co., Ltd, dated June 2, 2024 (incorporated by reference to Exhibit 10.1 of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Registrant's Quarterly Report on Form 10-Q (File No. 001-41929) filed on August 14, 2024).</w:t>
              </w:r>
            </w:hyperlink>
          </w:p>
        </w:tc>
        <w:tc>
          <w:tcPr>
            <w:tcW w:w="320" w:type="dxa"/>
            <w:vAlign w:val="bottom"/>
            <w:tcBorders>
              <w:top w:val="single" w:sz="8" w:color="0000EE"/>
            </w:tcBorders>
            <w:gridSpan w:val="4"/>
          </w:tcPr>
          <w:p>
            <w:pPr>
              <w:spacing w:after="0"/>
              <w:rPr>
                <w:sz w:val="17"/>
                <w:szCs w:val="17"/>
                <w:color w:val="auto"/>
              </w:rPr>
            </w:pPr>
          </w:p>
        </w:tc>
        <w:tc>
          <w:tcPr>
            <w:tcW w:w="800" w:type="dxa"/>
            <w:vAlign w:val="bottom"/>
            <w:gridSpan w:val="18"/>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Open Market Sale AgreementSM, by and between Jefferies LLC and the Registrant, dated February 3, 2025</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(incorporated by reference to Exhibit 1.2 of the Registrant’s Registration Statement on Form S-3 (File No.</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333-284661) filed with the SEC on February 3, 2025).</w:t>
              </w:r>
            </w:hyperlink>
          </w:p>
        </w:tc>
        <w:tc>
          <w:tcPr>
            <w:tcW w:w="20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30"/>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Exclusive License Agreement, dated January 21, 2025, by and between Lepu Biopharma Co., Ltd and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Registrant (incorporated by reference to Exhibit 10.1 of the Registrant’s Quarterly Report on Form 10-Q</w:t>
              </w:r>
            </w:hyperlink>
          </w:p>
        </w:tc>
        <w:tc>
          <w:tcPr>
            <w:tcW w:w="24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(File No. 001-41929) filed on May 12, 2025).</w:t>
              </w:r>
            </w:hyperlink>
          </w:p>
        </w:tc>
        <w:tc>
          <w:tcPr>
            <w:tcW w:w="4220" w:type="dxa"/>
            <w:vAlign w:val="bottom"/>
            <w:tcBorders>
              <w:top w:val="single" w:sz="8" w:color="0000EE"/>
            </w:tcBorders>
            <w:gridSpan w:val="17"/>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Loan and Security Agreement, dated May 8, 2025, by and between Silicon Valley Bank, a Division of First-</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30"/>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Citizens Bank &amp; Trust Company, and the Registrant (incorporated by reference to Exhibit 10.2 of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Registrant’s Quarterly Report on Form 10-Q (File No. 001-41929) filed on August 11, 2025).</w:t>
              </w:r>
            </w:hyperlink>
          </w:p>
        </w:tc>
        <w:tc>
          <w:tcPr>
            <w:tcW w:w="560" w:type="dxa"/>
            <w:vAlign w:val="bottom"/>
            <w:gridSpan w:val="1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1100" w:right="79" w:hanging="1050"/>
        <w:spacing w:after="0" w:line="282" w:lineRule="auto"/>
        <w:tabs>
          <w:tab w:leader="none" w:pos="1100" w:val="left"/>
        </w:tabs>
        <w:numPr>
          <w:ilvl w:val="0"/>
          <w:numId w:val="77"/>
        </w:numPr>
        <w:rPr>
          <w:rFonts w:ascii="Times New Roman" w:cs="Times New Roman" w:eastAsia="Times New Roman" w:hAnsi="Times New Roman"/>
          <w:sz w:val="18"/>
          <w:szCs w:val="18"/>
          <w:u w:val="single" w:color="auto"/>
          <w:color w:val="0000EE"/>
        </w:rPr>
      </w:pPr>
      <w:hyperlink r:id="rId244">
        <w:r>
          <w:rPr>
            <w:rFonts w:ascii="Times New Roman" w:cs="Times New Roman" w:eastAsia="Times New Roman" w:hAnsi="Times New Roman"/>
            <w:sz w:val="18"/>
            <w:szCs w:val="18"/>
            <w:u w:val="single" w:color="auto"/>
            <w:color w:val="0000EE"/>
          </w:rPr>
          <w:t>Letter from KPMG LLP, dated March 13, 2025 (incorporated by reference to Exhibit 16.1 of the Registrant’s</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Current Report on Form 8-K (File No. 001-41929) filed on March 13, 2025.</w:t>
        </w:r>
      </w:hyperlink>
    </w:p>
    <w:p>
      <w:pPr>
        <w:spacing w:after="0" w:line="94" w:lineRule="exact"/>
        <w:rPr>
          <w:rFonts w:ascii="Times New Roman" w:cs="Times New Roman" w:eastAsia="Times New Roman" w:hAnsi="Times New Roman"/>
          <w:sz w:val="18"/>
          <w:szCs w:val="18"/>
          <w:color w:val="auto"/>
        </w:rPr>
      </w:pPr>
    </w:p>
    <w:p>
      <w:pPr>
        <w:ind w:left="1100" w:right="199" w:hanging="1050"/>
        <w:spacing w:after="0" w:line="282" w:lineRule="auto"/>
        <w:tabs>
          <w:tab w:leader="none" w:pos="1100" w:val="left"/>
        </w:tabs>
        <w:numPr>
          <w:ilvl w:val="0"/>
          <w:numId w:val="78"/>
        </w:numPr>
        <w:rPr>
          <w:rFonts w:ascii="Times New Roman" w:cs="Times New Roman" w:eastAsia="Times New Roman" w:hAnsi="Times New Roman"/>
          <w:sz w:val="18"/>
          <w:szCs w:val="18"/>
          <w:u w:val="single" w:color="auto"/>
          <w:color w:val="0000EE"/>
        </w:rPr>
      </w:pPr>
      <w:hyperlink r:id="rId245">
        <w:r>
          <w:rPr>
            <w:rFonts w:ascii="Times New Roman" w:cs="Times New Roman" w:eastAsia="Times New Roman" w:hAnsi="Times New Roman"/>
            <w:sz w:val="18"/>
            <w:szCs w:val="18"/>
            <w:u w:val="single" w:color="auto"/>
            <w:color w:val="0000EE"/>
          </w:rPr>
          <w:t>Insider Trading Policy. (incorporated by reference to Exhibit 19 of the Registrant’s Annual Report on Form</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10-K (File No. 001-41929) filed on March 3, 2025.</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79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40" w:type="dxa"/>
            <w:vAlign w:val="bottom"/>
            <w:gridSpan w:val="13"/>
          </w:tcPr>
          <w:p>
            <w:pPr>
              <w:spacing w:after="0" w:line="182"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Subsidiaries of the Registrant (incorporated by reference to Exhibit 21.1 of the Registrant’s Registration</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Statement on Form S-1 (File No. 333-276397) filed on January 5, 2024).</w:t>
              </w:r>
            </w:hyperlink>
          </w:p>
        </w:tc>
        <w:tc>
          <w:tcPr>
            <w:tcW w:w="360" w:type="dxa"/>
            <w:vAlign w:val="bottom"/>
            <w:gridSpan w:val="4"/>
          </w:tcPr>
          <w:p>
            <w:pPr>
              <w:spacing w:after="0"/>
              <w:rPr>
                <w:sz w:val="17"/>
                <w:szCs w:val="17"/>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2220" w:type="dxa"/>
            <w:vAlign w:val="bottom"/>
            <w:tcBorders>
              <w:top w:val="single" w:sz="8" w:color="0000EE"/>
            </w:tcBorders>
            <w:gridSpan w:val="2"/>
          </w:tcPr>
          <w:p>
            <w:pPr>
              <w:spacing w:after="0"/>
              <w:rPr>
                <w:sz w:val="24"/>
                <w:szCs w:val="24"/>
                <w:color w:val="auto"/>
              </w:rPr>
            </w:pPr>
          </w:p>
        </w:tc>
        <w:tc>
          <w:tcPr>
            <w:tcW w:w="2600" w:type="dxa"/>
            <w:vAlign w:val="bottom"/>
            <w:gridSpan w:val="9"/>
          </w:tcPr>
          <w:p>
            <w:pPr>
              <w:spacing w:after="0"/>
              <w:rPr>
                <w:sz w:val="24"/>
                <w:szCs w:val="24"/>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KPMG LLP.</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13a-15(e) or Rule 15d-15(e) under the Securities</w:t>
            </w:r>
          </w:p>
        </w:tc>
        <w:tc>
          <w:tcPr>
            <w:tcW w:w="1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13a-15(e) or Rule 15d-15(e) under the Securities</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22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of Periodic Report Pursuant to 18</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c>
          <w:tcPr>
            <w:tcW w:w="48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4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ArriVent BioPharma, Inc. Clawback Policy (incorporated by reference to Exhibit 10.6 of the Registrant’s</w:t>
              </w:r>
            </w:hyperlink>
          </w:p>
        </w:tc>
        <w:tc>
          <w:tcPr>
            <w:tcW w:w="2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Registration Statement on Form S-1 (File No. 333-276397) filed on January 5, 2024).</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r>
      <w:tr>
        <w:trPr>
          <w:trHeight w:val="36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r>
      <w:tr>
        <w:trPr>
          <w:trHeight w:val="36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30" w:lineRule="exact"/>
        <w:rPr>
          <w:sz w:val="20"/>
          <w:szCs w:val="20"/>
          <w:color w:val="auto"/>
        </w:rPr>
      </w:pPr>
    </w:p>
    <w:p>
      <w:pPr>
        <w:ind w:left="1100" w:right="939" w:hanging="1050"/>
        <w:spacing w:after="0" w:line="282" w:lineRule="auto"/>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14141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50" w:lineRule="exact"/>
        <w:rPr>
          <w:sz w:val="20"/>
          <w:szCs w:val="20"/>
          <w:color w:val="auto"/>
        </w:rPr>
      </w:pPr>
    </w:p>
    <w:p>
      <w:pPr>
        <w:ind w:left="700" w:hanging="650"/>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10-K.</w:t>
      </w:r>
    </w:p>
    <w:p>
      <w:pPr>
        <w:spacing w:after="0" w:line="225" w:lineRule="exact"/>
        <w:rPr>
          <w:sz w:val="20"/>
          <w:szCs w:val="20"/>
          <w:color w:val="auto"/>
        </w:rPr>
      </w:pPr>
    </w:p>
    <w:p>
      <w:pPr>
        <w:ind w:left="60" w:right="199" w:hanging="10"/>
        <w:spacing w:after="0" w:line="258" w:lineRule="auto"/>
        <w:tabs>
          <w:tab w:leader="none" w:pos="7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Annual Report on Form 10-K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10-K, irrespective of any general incorporation language contained in such filing.</w:t>
      </w:r>
    </w:p>
    <w:p>
      <w:pPr>
        <w:spacing w:after="0" w:line="183" w:lineRule="exact"/>
        <w:rPr>
          <w:sz w:val="20"/>
          <w:szCs w:val="20"/>
          <w:color w:val="auto"/>
        </w:rPr>
      </w:pPr>
    </w:p>
    <w:p>
      <w:pPr>
        <w:ind w:left="60" w:right="599" w:hanging="10"/>
        <w:spacing w:after="0" w:line="266" w:lineRule="auto"/>
        <w:tabs>
          <w:tab w:leader="none" w:pos="7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176" w:lineRule="exact"/>
        <w:rPr>
          <w:sz w:val="20"/>
          <w:szCs w:val="20"/>
          <w:color w:val="auto"/>
        </w:rPr>
      </w:pPr>
    </w:p>
    <w:p>
      <w:pPr>
        <w:ind w:left="700" w:hanging="650"/>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compensation plan or contract.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60"/>
        <w:spacing w:after="0"/>
        <w:tabs>
          <w:tab w:leader="none" w:pos="4560" w:val="left"/>
          <w:tab w:leader="none" w:pos="580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Zhengbin (Bing)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17145</wp:posOffset>
            </wp:positionV>
            <wp:extent cx="25546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Zhengbin (Bing) Yao, Ph.D.</w:t>
      </w:r>
    </w:p>
    <w:p>
      <w:pPr>
        <w:spacing w:after="0" w:line="2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Zhengbin (Bing) Yao, Ph.D. and Winston Kung, MBA, and each of them, with full power of substitution and resubstitution and full power to act without the other, as their respective true and lawful attorney-in-fact and agent to act in their respective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8"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5"/>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Chairman, Chief Executive Officer and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189"/>
        </w:trPr>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Zhengbin (Bing) Yao, Ph.D.</w:t>
            </w:r>
          </w:p>
        </w:tc>
        <w:tc>
          <w:tcPr>
            <w:tcW w:w="160" w:type="dxa"/>
            <w:vAlign w:val="bottom"/>
          </w:tcPr>
          <w:p>
            <w:pPr>
              <w:spacing w:after="0"/>
              <w:rPr>
                <w:sz w:val="16"/>
                <w:szCs w:val="16"/>
                <w:color w:val="auto"/>
              </w:rPr>
            </w:pPr>
          </w:p>
        </w:tc>
        <w:tc>
          <w:tcPr>
            <w:tcW w:w="37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 MBA</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189"/>
        </w:trPr>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Winston Kung, MBA</w:t>
            </w:r>
          </w:p>
        </w:tc>
        <w:tc>
          <w:tcPr>
            <w:tcW w:w="160" w:type="dxa"/>
            <w:vAlign w:val="bottom"/>
          </w:tcPr>
          <w:p>
            <w:pPr>
              <w:spacing w:after="0"/>
              <w:rPr>
                <w:sz w:val="16"/>
                <w:szCs w:val="16"/>
                <w:color w:val="auto"/>
              </w:rPr>
            </w:pPr>
          </w:p>
        </w:tc>
        <w:tc>
          <w:tcPr>
            <w:tcW w:w="37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(Principal Accounting Officer and</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Merdad Parsey, M.D., Ph.D.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Merdad Parsey, M.D.,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Healy, M.D., Ph.D.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Healy, M.D.,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Hohneker, M.D.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Hohneker,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Stuart Lutzker, M.D., Ph.D.</w:t>
            </w:r>
          </w:p>
        </w:tc>
        <w:tc>
          <w:tcPr>
            <w:tcW w:w="160" w:type="dxa"/>
            <w:vAlign w:val="bottom"/>
          </w:tcPr>
          <w:p>
            <w:pPr>
              <w:spacing w:after="0"/>
              <w:rPr>
                <w:sz w:val="24"/>
                <w:szCs w:val="24"/>
                <w:color w:val="auto"/>
              </w:rPr>
            </w:pPr>
          </w:p>
        </w:tc>
        <w:tc>
          <w:tcPr>
            <w:tcW w:w="3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President of Research and Development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1"/>
        </w:trPr>
        <w:tc>
          <w:tcPr>
            <w:tcW w:w="2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Stuart Lutzker, M.D., Ph.D.</w:t>
            </w:r>
          </w:p>
        </w:tc>
        <w:tc>
          <w:tcPr>
            <w:tcW w:w="160" w:type="dxa"/>
            <w:vAlign w:val="bottom"/>
          </w:tcPr>
          <w:p>
            <w:pPr>
              <w:spacing w:after="0"/>
              <w:rPr>
                <w:sz w:val="19"/>
                <w:szCs w:val="19"/>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and Director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Chris W. Nolet</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 W. Nolet</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(No. 333-284661) and S-8 (Nos. 333-276840 and 333-285480) of ArriVent BioPharma, Inc. of our report dated March 5, 2026 relating to the financial statements, which appears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554355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1" w:name="page182"/>
    <w:bookmarkEnd w:id="181"/>
    <w:p>
      <w:pPr>
        <w:jc w:val="right"/>
        <w:ind w:right="219"/>
        <w:spacing w:after="0"/>
        <w:rPr>
          <w:sz w:val="20"/>
          <w:szCs w:val="20"/>
          <w:color w:val="auto"/>
        </w:rPr>
      </w:pPr>
      <w:r>
        <w:rPr>
          <w:rFonts w:ascii="Times New Roman" w:cs="Times New Roman" w:eastAsia="Times New Roman" w:hAnsi="Times New Roman"/>
          <w:sz w:val="18"/>
          <w:szCs w:val="18"/>
          <w:color w:val="auto"/>
        </w:rPr>
        <w:t>Exhibit 23.2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left="200" w:right="599"/>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333-276840 and 333-285480) on Form S-8 and (No. 333-284661) on Form S-3 of our report dated March 3, 2025, with respect to the financial statements of ArriVent BioPharma,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626110</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CERTIFICATIONS UNDER SECTION 302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Zhengbin (Bing) Yao, Ph.D., certify that:</w:t>
      </w:r>
    </w:p>
    <w:p>
      <w:pPr>
        <w:spacing w:after="0" w:line="243" w:lineRule="exact"/>
        <w:rPr>
          <w:sz w:val="20"/>
          <w:szCs w:val="20"/>
          <w:color w:val="auto"/>
        </w:rPr>
      </w:pPr>
    </w:p>
    <w:p>
      <w:pPr>
        <w:ind w:left="900" w:hanging="244"/>
        <w:spacing w:after="0"/>
        <w:tabs>
          <w:tab w:leader="none" w:pos="9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ArriVent BioPharma, Inc.;</w:t>
      </w:r>
    </w:p>
    <w:p>
      <w:pPr>
        <w:spacing w:after="0" w:line="256" w:lineRule="exact"/>
        <w:rPr>
          <w:rFonts w:ascii="Times New Roman" w:cs="Times New Roman" w:eastAsia="Times New Roman" w:hAnsi="Times New Roman"/>
          <w:sz w:val="20"/>
          <w:szCs w:val="20"/>
          <w:color w:val="auto"/>
        </w:rPr>
      </w:pPr>
    </w:p>
    <w:p>
      <w:pPr>
        <w:ind w:right="140" w:firstLine="656"/>
        <w:spacing w:after="0" w:line="254" w:lineRule="auto"/>
        <w:tabs>
          <w:tab w:leader="none" w:pos="89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20"/>
          <w:szCs w:val="20"/>
          <w:color w:val="auto"/>
        </w:rPr>
      </w:pPr>
    </w:p>
    <w:p>
      <w:pPr>
        <w:ind w:right="20" w:firstLine="656"/>
        <w:spacing w:after="0" w:line="254" w:lineRule="auto"/>
        <w:tabs>
          <w:tab w:leader="none" w:pos="89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right="440" w:firstLine="656"/>
        <w:spacing w:after="0" w:line="254" w:lineRule="auto"/>
        <w:tabs>
          <w:tab w:leader="none" w:pos="89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right="140" w:firstLine="656"/>
        <w:spacing w:after="0" w:line="249" w:lineRule="auto"/>
        <w:tabs>
          <w:tab w:leader="none" w:pos="90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Times New Roman" w:cs="Times New Roman" w:eastAsia="Times New Roman" w:hAnsi="Times New Roman"/>
          <w:sz w:val="20"/>
          <w:szCs w:val="20"/>
          <w:color w:val="auto"/>
        </w:rPr>
      </w:pPr>
    </w:p>
    <w:p>
      <w:pPr>
        <w:ind w:right="60" w:firstLine="656"/>
        <w:spacing w:after="0" w:line="254" w:lineRule="auto"/>
        <w:tabs>
          <w:tab w:leader="none" w:pos="91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ind w:right="200" w:firstLine="656"/>
        <w:spacing w:after="0" w:line="254" w:lineRule="auto"/>
        <w:tabs>
          <w:tab w:leader="none" w:pos="85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Times New Roman" w:cs="Times New Roman" w:eastAsia="Times New Roman" w:hAnsi="Times New Roman"/>
          <w:sz w:val="20"/>
          <w:szCs w:val="20"/>
          <w:color w:val="auto"/>
        </w:rPr>
      </w:pPr>
    </w:p>
    <w:p>
      <w:pPr>
        <w:ind w:right="60" w:firstLine="656"/>
        <w:spacing w:after="0" w:line="274" w:lineRule="auto"/>
        <w:tabs>
          <w:tab w:leader="none" w:pos="86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ind w:right="140" w:firstLine="656"/>
        <w:spacing w:after="0" w:line="254" w:lineRule="auto"/>
        <w:tabs>
          <w:tab w:leader="none" w:pos="89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sz w:val="20"/>
          <w:szCs w:val="20"/>
          <w:color w:val="auto"/>
        </w:rPr>
      </w:pPr>
    </w:p>
    <w:p>
      <w:pPr>
        <w:ind w:right="240" w:firstLine="656"/>
        <w:spacing w:after="0" w:line="254" w:lineRule="auto"/>
        <w:tabs>
          <w:tab w:leader="none" w:pos="90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Times New Roman" w:cs="Times New Roman" w:eastAsia="Times New Roman" w:hAnsi="Times New Roman"/>
          <w:sz w:val="20"/>
          <w:szCs w:val="20"/>
          <w:color w:val="auto"/>
        </w:rPr>
      </w:pPr>
    </w:p>
    <w:p>
      <w:pPr>
        <w:ind w:right="160" w:firstLine="656"/>
        <w:spacing w:after="0" w:line="269" w:lineRule="auto"/>
        <w:tabs>
          <w:tab w:leader="none" w:pos="91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5,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Zhengbin (Bing) Yao, Ph.D.</w:t>
      </w:r>
      <w:r>
        <w:rPr>
          <w:rFonts w:ascii="Times New Roman" w:cs="Times New Roman" w:eastAsia="Times New Roman" w:hAnsi="Times New Roman"/>
          <w:sz w:val="20"/>
          <w:szCs w:val="20"/>
          <w:color w:val="auto"/>
        </w:rPr>
        <w:t>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Zhengbin (Bing) Yao, Ph.D.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CERTIFICATIONS UNDER SECTION 302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Winston Kung, MBA, certify that:</w:t>
      </w:r>
    </w:p>
    <w:p>
      <w:pPr>
        <w:spacing w:after="0" w:line="243" w:lineRule="exact"/>
        <w:rPr>
          <w:sz w:val="20"/>
          <w:szCs w:val="20"/>
          <w:color w:val="auto"/>
        </w:rPr>
      </w:pPr>
    </w:p>
    <w:p>
      <w:pPr>
        <w:ind w:left="900" w:hanging="244"/>
        <w:spacing w:after="0"/>
        <w:tabs>
          <w:tab w:leader="none" w:pos="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ArriVent BioPharma, Inc.;</w:t>
      </w:r>
    </w:p>
    <w:p>
      <w:pPr>
        <w:spacing w:after="0" w:line="256" w:lineRule="exact"/>
        <w:rPr>
          <w:rFonts w:ascii="Times New Roman" w:cs="Times New Roman" w:eastAsia="Times New Roman" w:hAnsi="Times New Roman"/>
          <w:sz w:val="20"/>
          <w:szCs w:val="20"/>
          <w:color w:val="auto"/>
        </w:rPr>
      </w:pPr>
    </w:p>
    <w:p>
      <w:pPr>
        <w:ind w:right="140" w:firstLine="656"/>
        <w:spacing w:after="0" w:line="254" w:lineRule="auto"/>
        <w:tabs>
          <w:tab w:leader="none" w:pos="89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20"/>
          <w:szCs w:val="20"/>
          <w:color w:val="auto"/>
        </w:rPr>
      </w:pPr>
    </w:p>
    <w:p>
      <w:pPr>
        <w:ind w:right="20" w:firstLine="656"/>
        <w:spacing w:after="0" w:line="254" w:lineRule="auto"/>
        <w:tabs>
          <w:tab w:leader="none" w:pos="89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right="440" w:firstLine="656"/>
        <w:spacing w:after="0" w:line="254" w:lineRule="auto"/>
        <w:tabs>
          <w:tab w:leader="none" w:pos="89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right="140" w:firstLine="656"/>
        <w:spacing w:after="0" w:line="249" w:lineRule="auto"/>
        <w:tabs>
          <w:tab w:leader="none" w:pos="90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Times New Roman" w:cs="Times New Roman" w:eastAsia="Times New Roman" w:hAnsi="Times New Roman"/>
          <w:sz w:val="20"/>
          <w:szCs w:val="20"/>
          <w:color w:val="auto"/>
        </w:rPr>
      </w:pPr>
    </w:p>
    <w:p>
      <w:pPr>
        <w:ind w:right="60" w:firstLine="656"/>
        <w:spacing w:after="0" w:line="254" w:lineRule="auto"/>
        <w:tabs>
          <w:tab w:leader="none" w:pos="91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ind w:right="200" w:firstLine="656"/>
        <w:spacing w:after="0" w:line="254" w:lineRule="auto"/>
        <w:tabs>
          <w:tab w:leader="none" w:pos="85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Times New Roman" w:cs="Times New Roman" w:eastAsia="Times New Roman" w:hAnsi="Times New Roman"/>
          <w:sz w:val="20"/>
          <w:szCs w:val="20"/>
          <w:color w:val="auto"/>
        </w:rPr>
      </w:pPr>
    </w:p>
    <w:p>
      <w:pPr>
        <w:ind w:right="60" w:firstLine="656"/>
        <w:spacing w:after="0" w:line="274" w:lineRule="auto"/>
        <w:tabs>
          <w:tab w:leader="none" w:pos="862"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ind w:right="140" w:firstLine="656"/>
        <w:spacing w:after="0" w:line="254" w:lineRule="auto"/>
        <w:tabs>
          <w:tab w:leader="none" w:pos="89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sz w:val="20"/>
          <w:szCs w:val="20"/>
          <w:color w:val="auto"/>
        </w:rPr>
      </w:pPr>
    </w:p>
    <w:p>
      <w:pPr>
        <w:ind w:right="240" w:firstLine="656"/>
        <w:spacing w:after="0" w:line="254" w:lineRule="auto"/>
        <w:tabs>
          <w:tab w:leader="none" w:pos="90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Times New Roman" w:cs="Times New Roman" w:eastAsia="Times New Roman" w:hAnsi="Times New Roman"/>
          <w:sz w:val="20"/>
          <w:szCs w:val="20"/>
          <w:color w:val="auto"/>
        </w:rPr>
      </w:pPr>
    </w:p>
    <w:p>
      <w:pPr>
        <w:ind w:right="160" w:firstLine="656"/>
        <w:spacing w:after="0" w:line="269" w:lineRule="auto"/>
        <w:tabs>
          <w:tab w:leader="none" w:pos="91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Date: March 5, 2026</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12"/>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/s/ Winston Kung, MBA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___</w:t>
            </w:r>
          </w:p>
        </w:tc>
      </w:tr>
      <w:tr>
        <w:trPr>
          <w:trHeight w:val="25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Winston Kung, MBA</w:t>
            </w:r>
          </w:p>
        </w:tc>
        <w:tc>
          <w:tcPr>
            <w:tcW w:w="3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5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0"/>
          <w:szCs w:val="20"/>
          <w:color w:val="auto"/>
        </w:rPr>
        <w:t>CERTIFICATIONS UNDER SECTION 906</w:t>
      </w:r>
    </w:p>
    <w:p>
      <w:pPr>
        <w:spacing w:after="0" w:line="24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Pursuant to section 906 of the Sarbanes-Oxley Act of 2002 (subsections (a) and (b) of section 1350, chapter 63 of title 18, United States Code), each of the undersigned officers of ArriVent BioPharma, Inc., a Delaware corporation (the “Company”), does hereby certify, to such officer’s knowledge, that:</w:t>
      </w:r>
    </w:p>
    <w:p>
      <w:pPr>
        <w:spacing w:after="0" w:line="215"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Dated: March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Zhengbin (Bing) Yao, Ph.D.____________________</w:t>
            </w:r>
          </w:p>
        </w:tc>
      </w:tr>
      <w:tr>
        <w:trPr>
          <w:trHeight w:val="256"/>
        </w:trPr>
        <w:tc>
          <w:tcPr>
            <w:tcW w:w="324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Zhengbin (Bing) Yao, Ph.D.</w:t>
            </w:r>
          </w:p>
        </w:tc>
      </w:tr>
      <w:tr>
        <w:trPr>
          <w:trHeight w:val="305"/>
        </w:trPr>
        <w:tc>
          <w:tcPr>
            <w:tcW w:w="3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62"/>
        </w:trPr>
        <w:tc>
          <w:tcPr>
            <w:tcW w:w="324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Dated: March 5, 2026</w:t>
            </w: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Winston Kung, MBA__________________________</w:t>
            </w:r>
          </w:p>
        </w:tc>
      </w:tr>
      <w:tr>
        <w:trPr>
          <w:trHeight w:val="256"/>
        </w:trPr>
        <w:tc>
          <w:tcPr>
            <w:tcW w:w="3900" w:type="dxa"/>
            <w:vAlign w:val="bottom"/>
          </w:tcPr>
          <w:p>
            <w:pPr>
              <w:spacing w:after="0"/>
              <w:rPr>
                <w:sz w:val="22"/>
                <w:szCs w:val="22"/>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Winston Kung, MBA</w:t>
            </w:r>
          </w:p>
        </w:tc>
        <w:tc>
          <w:tcPr>
            <w:tcW w:w="4080" w:type="dxa"/>
            <w:vAlign w:val="bottom"/>
          </w:tcPr>
          <w:p>
            <w:pPr>
              <w:spacing w:after="0"/>
              <w:rPr>
                <w:sz w:val="22"/>
                <w:szCs w:val="22"/>
                <w:color w:val="auto"/>
              </w:rPr>
            </w:pPr>
          </w:p>
        </w:tc>
      </w:tr>
      <w:tr>
        <w:trPr>
          <w:trHeight w:val="305"/>
        </w:trPr>
        <w:tc>
          <w:tcPr>
            <w:tcW w:w="390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900" w:type="dxa"/>
            <w:vAlign w:val="bottom"/>
          </w:tcPr>
          <w:p>
            <w:pPr>
              <w:spacing w:after="0"/>
              <w:rPr>
                <w:sz w:val="22"/>
                <w:szCs w:val="22"/>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r>
        <w:trPr>
          <w:trHeight w:val="757"/>
        </w:trPr>
        <w:tc>
          <w:tcPr>
            <w:tcW w:w="3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1)"/>
      <w:numFmt w:val="lowerLetter"/>
      <w:start w:val="3"/>
    </w:lvl>
  </w:abstractNum>
  <w:abstractNum w:abstractNumId="17">
    <w:nsid w:val="4F4EF005"/>
    <w:multiLevelType w:val="hybridMultilevel"/>
    <w:lvl w:ilvl="0">
      <w:lvlJc w:val="left"/>
      <w:lvlText w:val="%1."/>
      <w:numFmt w:val="decimal"/>
      <w:start w:val="217"/>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lowerRoman"/>
      <w:start w:val="2"/>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lowerRoman"/>
      <w:start w:val="1"/>
    </w:lvl>
  </w:abstractNum>
  <w:abstractNum w:abstractNumId="49">
    <w:nsid w:val="98A3148"/>
    <w:multiLevelType w:val="hybridMultilevel"/>
    <w:lvl w:ilvl="0">
      <w:lvlJc w:val="left"/>
      <w:lvlText w:val="(%1)"/>
      <w:numFmt w:val="lowerRoman"/>
      <w:start w:val="5"/>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1)"/>
      <w:numFmt w:val="lowerRoman"/>
      <w:start w:val="3"/>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8"/>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decimal"/>
      <w:start w:val="11"/>
    </w:lvl>
  </w:abstractNum>
  <w:abstractNum w:abstractNumId="72">
    <w:nsid w:val="14330624"/>
    <w:multiLevelType w:val="hybridMultilevel"/>
    <w:lvl w:ilvl="0">
      <w:lvlJc w:val="left"/>
      <w:lvlText w:val="(%1)"/>
      <w:numFmt w:val="lowerRoman"/>
      <w:start w:val="1"/>
    </w:lvl>
  </w:abstractNum>
  <w:abstractNum w:abstractNumId="73">
    <w:nsid w:val="7FFFCA11"/>
    <w:multiLevelType w:val="hybridMultilevel"/>
    <w:lvl w:ilvl="0">
      <w:lvlJc w:val="left"/>
      <w:lvlText w:val="(%1)"/>
      <w:numFmt w:val="lowerRoman"/>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decimal"/>
      <w:start w:val="16"/>
    </w:lvl>
  </w:abstractNum>
  <w:abstractNum w:abstractNumId="77">
    <w:nsid w:val="7FB7E0AA"/>
    <w:multiLevelType w:val="hybridMultilevel"/>
    <w:lvl w:ilvl="0">
      <w:lvlJc w:val="left"/>
      <w:lvlText w:val="%1"/>
      <w:numFmt w:val="decimal"/>
      <w:start w:val="19"/>
    </w:lvl>
  </w:abstractNum>
  <w:abstractNum w:abstractNumId="78">
    <w:nsid w:val="6EB5BD4"/>
    <w:multiLevelType w:val="hybridMultilevel"/>
    <w:lvl w:ilvl="0">
      <w:lvlJc w:val="left"/>
      <w:lvlText w:val="%1"/>
      <w:numFmt w:val="decimal"/>
      <w:start w:val="104"/>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5"/>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5"/>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31" Type="http://schemas.openxmlformats.org/officeDocument/2006/relationships/image" Target="media/image211.png"/><Relationship Id="rId246"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18" Type="http://schemas.openxmlformats.org/officeDocument/2006/relationships/hyperlink" Target="https://www.sec.gov/Archives/edgar/data/1868279/000110465924008228/tm2321853d25_ex3-1.htm" TargetMode="External"/><Relationship Id="rId219" Type="http://schemas.openxmlformats.org/officeDocument/2006/relationships/hyperlink" Target="https://www.sec.gov/Archives/edgar/data/1868279/000110465924008228/tm2321853d25_ex3-2.htm" TargetMode="External"/><Relationship Id="rId220" Type="http://schemas.openxmlformats.org/officeDocument/2006/relationships/hyperlink" Target="https://www.sec.gov/Archives/edgar/data/1868279/000110465924001804/tm2321853d13_ex4-1.htm" TargetMode="External"/><Relationship Id="rId221" Type="http://schemas.openxmlformats.org/officeDocument/2006/relationships/hyperlink" Target="https://www.sec.gov/Archives/edgar/data/1868279/000110465924001804/tm2321853d13_ex4-2.htm" TargetMode="External"/><Relationship Id="rId222" Type="http://schemas.openxmlformats.org/officeDocument/2006/relationships/hyperlink" Target="https://www.sec.gov/Archives/edgar/data/1868279/000155837024004280/tmb-20231231xex4d3.htm" TargetMode="External"/><Relationship Id="rId223" Type="http://schemas.openxmlformats.org/officeDocument/2006/relationships/hyperlink" Target="https://www.sec.gov/Archives/edgar/data/1868279/000110465925065386/tm2519401d3_ex4-1.htm" TargetMode="External"/><Relationship Id="rId224" Type="http://schemas.openxmlformats.org/officeDocument/2006/relationships/hyperlink" Target="https://www.sec.gov/Archives/edgar/data/1868279/000110465924001804/tm2321853d13_ex10-1.htm" TargetMode="External"/><Relationship Id="rId225" Type="http://schemas.openxmlformats.org/officeDocument/2006/relationships/hyperlink" Target="https://www.sec.gov/Archives/edgar/data/1868279/000110465924001804/tm2321853d13_ex10-2.htm" TargetMode="External"/><Relationship Id="rId226" Type="http://schemas.openxmlformats.org/officeDocument/2006/relationships/hyperlink" Target="https://www.sec.gov/Archives/edgar/data/1868279/000110465924005364/tm2321853d16_ex10-3.htm" TargetMode="External"/><Relationship Id="rId227" Type="http://schemas.openxmlformats.org/officeDocument/2006/relationships/hyperlink" Target="https://www.sec.gov/Archives/edgar/data/1868279/000110465924001804/tm2321853d13_ex10-4.htm" TargetMode="External"/><Relationship Id="rId228" Type="http://schemas.openxmlformats.org/officeDocument/2006/relationships/hyperlink" Target="https://www.sec.gov/Archives/edgar/data/1868279/000110465925108847/avbp-20250930xex10d1.htm" TargetMode="External"/><Relationship Id="rId229" Type="http://schemas.openxmlformats.org/officeDocument/2006/relationships/hyperlink" Target="https://www.sec.gov/Archives/edgar/data/1868279/000110465924001804/tm2321853d13_ex10-7.htm" TargetMode="External"/><Relationship Id="rId230" Type="http://schemas.openxmlformats.org/officeDocument/2006/relationships/hyperlink" Target="https://www.sec.gov/Archives/edgar/data/1868279/000110465924001804/tm2321853d13_ex10-8.htm" TargetMode="External"/><Relationship Id="rId232" Type="http://schemas.openxmlformats.org/officeDocument/2006/relationships/hyperlink" Target="https://www.sec.gov/Archives/edgar/data/1868279/000110465924001804/tm2321853d13_ex10-9.htm" TargetMode="External"/><Relationship Id="rId233" Type="http://schemas.openxmlformats.org/officeDocument/2006/relationships/hyperlink" Target="https://www.sec.gov/Archives/edgar/data/1868279/000110465924001804/tm2321853d13_ex10-10.htm" TargetMode="External"/><Relationship Id="rId234" Type="http://schemas.openxmlformats.org/officeDocument/2006/relationships/hyperlink" Target="https://www.sec.gov/Archives/edgar/data/1868279/000110465924001804/tm2321853d13_ex10-11.htm" TargetMode="External"/><Relationship Id="rId235" Type="http://schemas.openxmlformats.org/officeDocument/2006/relationships/hyperlink" Target="https://www.sec.gov/Archives/edgar/data/1868279/000110465924001804/tm2321853d13_ex10-12.htm" TargetMode="External"/><Relationship Id="rId236" Type="http://schemas.openxmlformats.org/officeDocument/2006/relationships/hyperlink" Target="https://www.sec.gov/Archives/edgar/data/1868279/000110465924001804/tm2321853d13_ex10-13.htm" TargetMode="External"/><Relationship Id="rId237" Type="http://schemas.openxmlformats.org/officeDocument/2006/relationships/hyperlink" Target="https://www.sec.gov/Archives/edgar/data/1868279/000155837024015624/avbp-20240930xex10d1.htm" TargetMode="External"/><Relationship Id="rId238" Type="http://schemas.openxmlformats.org/officeDocument/2006/relationships/hyperlink" Target="https://www.sec.gov/Archives/edgar/data/1868279/000110465925108847/avbp-20250930xex10d2.htm" TargetMode="External"/><Relationship Id="rId239" Type="http://schemas.openxmlformats.org/officeDocument/2006/relationships/hyperlink" Target="https://www.sec.gov/Archives/edgar/data/1868279/000110465924001804/tm2321853d13_ex10-15.htm" TargetMode="External"/><Relationship Id="rId240" Type="http://schemas.openxmlformats.org/officeDocument/2006/relationships/hyperlink" Target="https://www.sec.gov/Archives/edgar/data/1868279/000155837024012236/avbp-20240630xex10d1.htm" TargetMode="External"/><Relationship Id="rId241" Type="http://schemas.openxmlformats.org/officeDocument/2006/relationships/hyperlink" Target="https://www.sec.gov/Archives/edgar/data/1868279/000110465925008356/tm254783d2_ex1-2.htm" TargetMode="External"/><Relationship Id="rId242" Type="http://schemas.openxmlformats.org/officeDocument/2006/relationships/hyperlink" Target="https://www.sec.gov/Archives/edgar/data/1868279/000155837025007276/avbp-20250331xex10d1.htm" TargetMode="External"/><Relationship Id="rId243" Type="http://schemas.openxmlformats.org/officeDocument/2006/relationships/hyperlink" Target="https://www.sec.gov/Archives/edgar/data/1868279/000155837025010975/avbp-20250630xex10d2.htm" TargetMode="External"/><Relationship Id="rId244" Type="http://schemas.openxmlformats.org/officeDocument/2006/relationships/hyperlink" Target="https://www.sec.gov/Archives/edgar/data/1868279/000155837025002912/avbp-20250311xex16d1.htm" TargetMode="External"/><Relationship Id="rId245" Type="http://schemas.openxmlformats.org/officeDocument/2006/relationships/hyperlink" Target="https://www.sec.gov/Archives/edgar/data/1868279/000155837025001999/avbp-20241231xex19.htm" TargetMode="External"/><Relationship Id="rId247" Type="http://schemas.openxmlformats.org/officeDocument/2006/relationships/hyperlink" Target="https://www.sec.gov/Archives/edgar/data/1868279/000110465924001804/tm2321853d13_ex21-1.htm" TargetMode="External"/><Relationship Id="rId248" Type="http://schemas.openxmlformats.org/officeDocument/2006/relationships/hyperlink" Target="https://www.sec.gov/Archives/edgar/data/1868279/000110465924001804/tm2321853d1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2026-03-05T15:37:17Z</dcterms:created>
  <dcterms:modified xsi:type="dcterms:W3CDTF">2026-03-05T15:37:17Z</dcterms:modified>
</cp:coreProperties>
</file>